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4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8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Prasad Raju</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00"/>
        <w:spacing w:after="0" w:line="327" w:lineRule="auto"/>
        <w:rPr>
          <w:sz w:val="20"/>
          <w:szCs w:val="20"/>
          <w:color w:val="auto"/>
        </w:rPr>
      </w:pPr>
      <w:r>
        <w:rPr>
          <w:rFonts w:ascii="Times New Roman" w:cs="Times New Roman" w:eastAsia="Times New Roman" w:hAnsi="Times New Roman"/>
          <w:sz w:val="16"/>
          <w:szCs w:val="16"/>
          <w:color w:val="0000FF"/>
        </w:rPr>
        <w:t>C/O CRISPR THERAPEUTICS 105 WEST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CRISPR Therapeutics AG</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88"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02127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01/06/2026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23,361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30,128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01/06/2026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6,339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36,467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18,933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60.1799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17,534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12,530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60.2134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6,767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45.15</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01/06/2026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23,361</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03/14/2033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9"/>
              <w:spacing w:after="0" w:line="194" w:lineRule="exact"/>
              <w:rPr>
                <w:sz w:val="20"/>
                <w:szCs w:val="20"/>
                <w:color w:val="auto"/>
              </w:rPr>
            </w:pPr>
            <w:r>
              <w:rPr>
                <w:rFonts w:ascii="Times New Roman" w:cs="Times New Roman" w:eastAsia="Times New Roman" w:hAnsi="Times New Roman"/>
                <w:sz w:val="17"/>
                <w:szCs w:val="17"/>
                <w:color w:val="0000FF"/>
              </w:rPr>
              <w:t>23,361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76,639</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44.31</w:t>
            </w:r>
          </w:p>
        </w:tc>
        <w:tc>
          <w:tcPr>
            <w:tcW w:w="14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01/06/2026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6,339</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10/13/2033</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6,339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7,493</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August 18, 2025.</w:t>
      </w:r>
    </w:p>
    <w:p>
      <w:pPr>
        <w:spacing w:after="0" w:line="43" w:lineRule="exact"/>
        <w:rPr>
          <w:rFonts w:ascii="Times New Roman" w:cs="Times New Roman" w:eastAsia="Times New Roman" w:hAnsi="Times New Roman"/>
          <w:sz w:val="13"/>
          <w:szCs w:val="13"/>
          <w:color w:val="008000"/>
        </w:rPr>
      </w:pPr>
    </w:p>
    <w:p>
      <w:pPr>
        <w:ind w:left="40" w:right="18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$60.0000 to $60.7300,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18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$60.0000 to $60.4800,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14, 2023 with respect to 100,000 Common Shares, with 25% of the shares vesting on March 14, 2024 and the remaining shares vesting on each monthly anniversary thereafter for a period of 36 months.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13, 2023 with respect to 13,832 Common Shares. 100% of the shares will vest in 48 equal monthly installments, with the first vesting date of November 13, 2023.</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Elizabeth Ryland Waldinger, </w:t>
      </w:r>
      <w:r>
        <w:rPr>
          <w:rFonts w:ascii="Times New Roman" w:cs="Times New Roman" w:eastAsia="Times New Roman" w:hAnsi="Times New Roman"/>
          <w:sz w:val="33"/>
          <w:szCs w:val="33"/>
          <w:color w:val="0000FF"/>
          <w:vertAlign w:val="subscript"/>
        </w:rPr>
        <w:t>01/08/2026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661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616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68317"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2026-01-08T16:42:36Z</dcterms:created>
  <dcterms:modified xsi:type="dcterms:W3CDTF">2026-01-08T16:42:36Z</dcterms:modified>
</cp:coreProperties>
</file>