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KASINGER JAMES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CRISPR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WEST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1,040</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95,857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CRSP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represents the number of shares required to be sold by the reporting person to cover the tax withholding obligation in connection with the vesting of these restricted stock units. This sale is mandated by the Company's RSU Settlement Policy to fund the tax withholding obligation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restricted stock unit award was granted on October 13, 2023 with respect to 6,340 Common Shares, with (i) one third of the shares vesting on October 13, 2024, (ii) one third of the shares vesting on October 13, 2025, and (iii) one third of the shares vesting on October 13,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Ryland Waldinger,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8172"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3851</Characters>
  <CharactersWithSpaces>4482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