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Patel Naimish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00"/>
        <w:spacing w:after="0" w:line="327" w:lineRule="auto"/>
        <w:rPr>
          <w:sz w:val="20"/>
          <w:szCs w:val="20"/>
          <w:color w:val="auto"/>
        </w:rPr>
      </w:pPr>
      <w:r>
        <w:rPr>
          <w:rFonts w:ascii="Times New Roman" w:cs="Times New Roman" w:eastAsia="Times New Roman" w:hAnsi="Times New Roman"/>
          <w:sz w:val="16"/>
          <w:szCs w:val="16"/>
          <w:color w:val="0000FF"/>
        </w:rPr>
        <w:t>C/O CRISPR THERAPEUTICS 105 WEST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CRISPR Therapeutics AG</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02127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49.01</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10/26/2026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10/26/2036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10/26/2026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12,000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12,000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26, 2026 with respect to 24,000 Common Shares. 100% of the shares will vest in 48 equal monthly installments, with the first vesting date of November 26,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CRSP Common Shares.</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award was granted on October 26, 2026 with respect to 12,000 Common Shares, with (i) one quarter of the shares vesting on October 26, 2027, (ii) one quarter of the shares vesting on October 26, 2028, (iii) one quarter of the shares vesting on October 26, 2029, and (iv) one quarter of the shares vesting on October 26, 2030.</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Elizabeth Ryland Waldinger,</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10/28/2026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1679"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2026-10-28T16:52:08Z</dcterms:created>
  <dcterms:modified xsi:type="dcterms:W3CDTF">2026-10-28T16:52:08Z</dcterms:modified>
</cp:coreProperties>
</file>