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688340</wp:posOffset>
            </wp:positionH>
            <wp:positionV relativeFrom="page">
              <wp:posOffset>766445</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782955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CRISPR THERAPEUTICS AG</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6"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120" w:type="dxa"/>
            <w:vAlign w:val="bottom"/>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001-37923</w:t>
            </w:r>
          </w:p>
        </w:tc>
        <w:tc>
          <w:tcPr>
            <w:tcW w:w="1780" w:type="dxa"/>
            <w:vAlign w:val="bottom"/>
          </w:tcPr>
          <w:p>
            <w:pPr>
              <w:jc w:val="center"/>
              <w:ind w:left="54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spacing w:after="0"/>
              <w:rPr>
                <w:sz w:val="12"/>
                <w:szCs w:val="12"/>
                <w:color w:val="auto"/>
              </w:rPr>
            </w:pPr>
          </w:p>
        </w:tc>
        <w:tc>
          <w:tcPr>
            <w:tcW w:w="1780" w:type="dxa"/>
            <w:vAlign w:val="bottom"/>
          </w:tcPr>
          <w:p>
            <w:pPr>
              <w:jc w:val="center"/>
              <w:ind w:left="5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jc w:val="center"/>
              <w:ind w:left="1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780" w:type="dxa"/>
            <w:vAlign w:val="bottom"/>
          </w:tcPr>
          <w:p>
            <w:pPr>
              <w:jc w:val="center"/>
              <w:ind w:left="5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Baarerstrasse 14</w:t>
            </w:r>
          </w:p>
        </w:tc>
        <w:tc>
          <w:tcPr>
            <w:tcW w:w="3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5"/>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6300 Zug, Switzerland</w:t>
            </w:r>
          </w:p>
        </w:tc>
        <w:tc>
          <w:tcPr>
            <w:tcW w:w="3120" w:type="dxa"/>
            <w:vAlign w:val="bottom"/>
          </w:tcPr>
          <w:p>
            <w:pPr>
              <w:spacing w:after="0"/>
              <w:rPr>
                <w:sz w:val="20"/>
                <w:szCs w:val="20"/>
                <w:color w:val="auto"/>
              </w:rPr>
            </w:pPr>
          </w:p>
        </w:tc>
        <w:tc>
          <w:tcPr>
            <w:tcW w:w="1780" w:type="dxa"/>
            <w:vAlign w:val="bottom"/>
          </w:tcPr>
          <w:p>
            <w:pPr>
              <w:jc w:val="center"/>
              <w:ind w:left="54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1780" w:type="dxa"/>
            <w:vAlign w:val="bottom"/>
          </w:tcPr>
          <w:p>
            <w:pPr>
              <w:jc w:val="center"/>
              <w:ind w:left="5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 (0)41 561 32 79</w:t>
      </w:r>
    </w:p>
    <w:p>
      <w:pPr>
        <w:spacing w:after="0" w:line="1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58" w:lineRule="exact"/>
        <w:rPr>
          <w:sz w:val="24"/>
          <w:szCs w:val="24"/>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240" w:hanging="22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2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2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23"/>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nominal value CHF 0.03</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CRSP</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9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827405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42545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59690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89" w:right="1099" w:bottom="1440" w:gutter="0" w:footer="0" w:header="0"/>
        </w:sectPr>
      </w:pPr>
    </w:p>
    <w:bookmarkStart w:id="1" w:name="page2"/>
    <w:bookmarkEnd w:id="1"/>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CRISPR Therapeutics AG 2026 Stock Option and Incentive Plan</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4, 2026, at the 2026 Annual General Meeting of Shareholders (the “Annual Meeting”), the shareholders of CRISPR Therapeutics AG (the “Company”) approved the CRISPR Therapeutics AG 2026 Stock Option and Incentive Plan (the “2026 Plan”).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2026 Plan will reserve the remaining number of shares reserved for issuance under the CRISPR Therapeutics AG 2018 Stock Option and Incentive Plan (the “2018 Plan”) on the effective date of the 2026 Plan, plus any common shares underlying any awards that are forfeited, canceled or are otherwise terminated, other than by exercise, under the 2026 Plan, the 2018 Plan, and the CRISPR Therapeutics AG Amended and Restated 2016 Stock Option and Incentive Plan. If the Company’s capital structure changes because of a reorganization, recapitalization, reclassification, stock dividend, stock split or similar event, the number of shares that can be issued under the 2026 Plan will be appropriately adjusted. The 2026 Plan permits the award of stock options (both incentive and non-qualified options), stock appreciation rights, restricted stock, restricted stock units, unrestricted stock, cash-based performance awards, performance shares and dividend equivalent rights.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detailed summary of the material features of the 2026 Plan is set forth in the Company’s definitive proxy statement for the Annual Meeting filed with the Securities and Exchange Commission on April 21, 2026 (the “Proxy Statement”). That summary and the foregoing description are qualified in their entirety by reference to the text of the 2026 Plan, which is filed as Exhibit 10.1 hereto and incorporated herein by reference.</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June 4, 2026, at the Annual Meeting, the shareholders of the Company approved amendments to the articles of association of the Company (the “Articles of Association”) as described in the Company’s Proxy Statement. The Company’s amended and restated Articles of Association become effective upon registration in the Commercial Register in the canton of Zug, Switzerland on or about June 5, 2026, subject to the approval by the Swiss Federal Commercial Authority. A copy of the amended and restated Articles of Association is attached hereto as Exhibit 3.1 and incorporated herein by reference.</w:t>
      </w:r>
    </w:p>
    <w:p>
      <w:pPr>
        <w:spacing w:after="0" w:line="1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was held on June 4, 2026. Proxies were solicited pursuant to the Proxy Statement.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Annual Meeting, the Company’s shareholders were asked (i) to approve the Swiss management report, the consolidated financial statements and the statutory financial statements of the Company for the year ended December 31, 2025, (ii) to approve the appropriation of financial results, (iii) to discharge the members of the Company’s Board of Directors and Executive Committee, (iv) to re-elect eleven members, including the chairman to the Company’s Board of Directors, (v) to re-elect four members of the Compensation Committee of the Board of Directors, (vi) to approve the compensation for the Board of Directors and the Executive Committee and, on a non-binding basis, the Swiss statutory compensation report of the Company for the year ended December 31, 2025 (the “2025 Compensation Report”), (vii) to approve, on a non-binding basis, the compensation paid to the Company’s named executive officers under U.S. securities law requirements, (viii) to approve an increase to the Company’s capital band (ix) to approve an increase to the conditional share capital for the conversion of bonds and similar debt instruments, (x) to approve the 2026 Plan, (xi) to re-elect the independent voting rights representative, (xii) to re-elect Ernst &amp; Young AG as the Company’s statutory auditor and to re-elect Ernst &amp; Young LLP as the Company’s independent registered public accounting firm for the year ending December 31, 2026, and (xiii) to approve the transaction of any other business that may properly come before the Annual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33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 – Approval of the Swiss Management Report, the Consolidated Financial Statements and the Statutory Financial Statements of the Company for the Year Ended December 31, 2025</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Swiss management report, the consolidated financial statements and the statutory financial statements of the Company for the year ended December 31, 2025 were approved. The results of the vote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667385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5" w:right="10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80" w:type="dxa"/>
            <w:vAlign w:val="bottom"/>
            <w:vMerge w:val="continue"/>
          </w:tcPr>
          <w:p>
            <w:pPr>
              <w:spacing w:after="0"/>
              <w:rPr>
                <w:sz w:val="19"/>
                <w:szCs w:val="19"/>
                <w:color w:val="auto"/>
              </w:rPr>
            </w:pPr>
          </w:p>
        </w:tc>
        <w:tc>
          <w:tcPr>
            <w:tcW w:w="19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70,716,663</w:t>
            </w:r>
          </w:p>
        </w:tc>
        <w:tc>
          <w:tcPr>
            <w:tcW w:w="160" w:type="dxa"/>
            <w:vAlign w:val="bottom"/>
          </w:tcPr>
          <w:p>
            <w:pPr>
              <w:spacing w:after="0"/>
              <w:rPr>
                <w:sz w:val="19"/>
                <w:szCs w:val="19"/>
                <w:color w:val="auto"/>
              </w:rPr>
            </w:pPr>
          </w:p>
        </w:tc>
        <w:tc>
          <w:tcPr>
            <w:tcW w:w="16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288,652</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248,393</w:t>
            </w:r>
          </w:p>
        </w:tc>
        <w:tc>
          <w:tcPr>
            <w:tcW w:w="1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Approval of the Appropriation of Financial Results</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proposal to carry forward the net loss resulting from the appropriation of financial results was approved. The results of the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80" w:type="dxa"/>
            <w:vAlign w:val="bottom"/>
            <w:vMerge w:val="continue"/>
          </w:tcPr>
          <w:p>
            <w:pPr>
              <w:spacing w:after="0"/>
              <w:rPr>
                <w:sz w:val="19"/>
                <w:szCs w:val="19"/>
                <w:color w:val="auto"/>
              </w:rPr>
            </w:pPr>
          </w:p>
        </w:tc>
        <w:tc>
          <w:tcPr>
            <w:tcW w:w="19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70,554,606</w:t>
            </w:r>
          </w:p>
        </w:tc>
        <w:tc>
          <w:tcPr>
            <w:tcW w:w="160" w:type="dxa"/>
            <w:vAlign w:val="bottom"/>
          </w:tcPr>
          <w:p>
            <w:pPr>
              <w:spacing w:after="0"/>
              <w:rPr>
                <w:sz w:val="19"/>
                <w:szCs w:val="19"/>
                <w:color w:val="auto"/>
              </w:rPr>
            </w:pPr>
          </w:p>
        </w:tc>
        <w:tc>
          <w:tcPr>
            <w:tcW w:w="16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415,599</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283,503</w:t>
            </w:r>
          </w:p>
        </w:tc>
        <w:tc>
          <w:tcPr>
            <w:tcW w:w="1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Discharge of the Members of the Company’s Board of Directors and Executive Committee</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discharge of the members of the Company’s Board of Directors and the Executive Committee from personal liability for their activities during the year ended December 31, 2025 was approved. The results of the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80" w:type="dxa"/>
            <w:vAlign w:val="bottom"/>
            <w:vMerge w:val="continue"/>
          </w:tcPr>
          <w:p>
            <w:pPr>
              <w:spacing w:after="0"/>
              <w:rPr>
                <w:sz w:val="19"/>
                <w:szCs w:val="19"/>
                <w:color w:val="auto"/>
              </w:rPr>
            </w:pPr>
          </w:p>
        </w:tc>
        <w:tc>
          <w:tcPr>
            <w:tcW w:w="19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48,379,678</w:t>
            </w:r>
          </w:p>
        </w:tc>
        <w:tc>
          <w:tcPr>
            <w:tcW w:w="160" w:type="dxa"/>
            <w:vAlign w:val="bottom"/>
          </w:tcPr>
          <w:p>
            <w:pPr>
              <w:spacing w:after="0"/>
              <w:rPr>
                <w:sz w:val="19"/>
                <w:szCs w:val="19"/>
                <w:color w:val="auto"/>
              </w:rPr>
            </w:pPr>
          </w:p>
        </w:tc>
        <w:tc>
          <w:tcPr>
            <w:tcW w:w="16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262,761</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112,414</w:t>
            </w:r>
          </w:p>
        </w:tc>
        <w:tc>
          <w:tcPr>
            <w:tcW w:w="1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 – Re-election of the Members to the Board of Directors and the Chairman</w:t>
      </w:r>
    </w:p>
    <w:p>
      <w:pPr>
        <w:spacing w:after="0" w:line="11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Samarth Kulkarni, Ph.D., Ali Behbahani, M.D., Maria Fardis, Ph.D., H. Edward Fleming Jr., M.D., Simeon J. George, M.D., John T. Greene, Katherine A. High, M.D., Sandesh Mahatme, LL.M., Briggs W. Morrison, M.D., Christian Rommel, Ph.D. and Douglas A. Treco, Ph.D. were each duly re-elected as members of the Company’s Board of Directors and Samarth Kulkarni, Ph.D. was duly re-elected as the chairman of the Company’s Board of Directors. The results of the election were as follows: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3"/>
                <w:szCs w:val="13"/>
                <w:color w:val="auto"/>
              </w:rPr>
            </w:pP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380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Samarth Kulkarni, Ph.D.</w:t>
            </w: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47,043,987</w:t>
            </w:r>
          </w:p>
        </w:tc>
        <w:tc>
          <w:tcPr>
            <w:tcW w:w="12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1,628,226</w:t>
            </w:r>
          </w:p>
        </w:tc>
        <w:tc>
          <w:tcPr>
            <w:tcW w:w="12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82,640</w:t>
            </w:r>
          </w:p>
        </w:tc>
        <w:tc>
          <w:tcPr>
            <w:tcW w:w="12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Ali Behbahani,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35,498,392</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13,174,523</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81,938</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Maria Fardis, Ph.D.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47,804,457</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874,207</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76,189</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H. Edward Fleming Jr.,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46,977,636</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1,686,127</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91,090</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Simeon J. George,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47,435,748</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1,225,519</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93,586</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46,876,367</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1,793,109</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85,377</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Katherine A. High,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47,779,619</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899,787</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75,447</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Sandesh Mahatme, LL.M.</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46,268,964</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2,405,580</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80,309</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Briggs W. Morrison,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46,013,911</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2,659,681</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81,261</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Christian Rommel, Ph.D.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47,802,202</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872,050</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80,601</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Douglas A. Treco, Ph.D.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44,359,453</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4,317,384</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78,016</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5 – Re-election of the Members of the Compensation Committee</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Ali Behbahani, M.D., H. Edward Fleming, Jr., M.D., John T. Greene and Briggs W. Morrison, M.D. were each duly re-elected as members of the Company’s Compensation Committee of the Board of Directors. The results of the election were as follows: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6"/>
                <w:szCs w:val="16"/>
                <w:color w:val="auto"/>
              </w:rPr>
            </w:pP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 w:type="dxa"/>
            <w:vAlign w:val="bottom"/>
          </w:tcPr>
          <w:p>
            <w:pPr>
              <w:spacing w:after="0"/>
              <w:rPr>
                <w:sz w:val="16"/>
                <w:szCs w:val="16"/>
                <w:color w:val="auto"/>
              </w:rPr>
            </w:pP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Ali Behbahani, M.D.</w:t>
            </w:r>
          </w:p>
        </w:tc>
        <w:tc>
          <w:tcPr>
            <w:tcW w:w="14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35,458,908</w:t>
            </w:r>
          </w:p>
        </w:tc>
        <w:tc>
          <w:tcPr>
            <w:tcW w:w="12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13,198,641</w:t>
            </w:r>
          </w:p>
        </w:tc>
        <w:tc>
          <w:tcPr>
            <w:tcW w:w="12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97,304</w:t>
            </w:r>
          </w:p>
        </w:tc>
        <w:tc>
          <w:tcPr>
            <w:tcW w:w="12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H. Edward Fleming Jr.,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46,322,476</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2,341,513</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90,864</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46,319,646</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2,326,146</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109,061</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Briggs W. Morrison, M.D.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45,317,635</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3,329,265</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107,953</w:t>
            </w:r>
          </w:p>
        </w:tc>
        <w:tc>
          <w:tcPr>
            <w:tcW w:w="1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6 – Approval of the Compensation for the Board of Directors and the Executive Committee and Non-Binding Advisory Vote on the 2025 Compensation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598805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0" w:right="1099" w:bottom="1440" w:gutter="0" w:footer="0" w:header="0"/>
        </w:sectPr>
      </w:pPr>
    </w:p>
    <w:bookmarkStart w:id="3" w:name="page4"/>
    <w:bookmarkEnd w:id="3"/>
    <w:p>
      <w:pPr>
        <w:ind w:right="120"/>
        <w:spacing w:after="0" w:line="282" w:lineRule="auto"/>
        <w:rPr>
          <w:sz w:val="20"/>
          <w:szCs w:val="20"/>
          <w:color w:val="auto"/>
        </w:rPr>
      </w:pPr>
      <w:r>
        <w:rPr>
          <w:rFonts w:ascii="Times New Roman" w:cs="Times New Roman" w:eastAsia="Times New Roman" w:hAnsi="Times New Roman"/>
          <w:sz w:val="18"/>
          <w:szCs w:val="18"/>
          <w:color w:val="auto"/>
        </w:rPr>
        <w:t>The total non-performance-related compensation for members of the Board of Directors from the Annual Meeting to the 2027 annual general meeting of shareholders was approved on a binding basis. The results of the 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80" w:type="dxa"/>
            <w:vAlign w:val="bottom"/>
            <w:vMerge w:val="continue"/>
          </w:tcPr>
          <w:p>
            <w:pPr>
              <w:spacing w:after="0"/>
              <w:rPr>
                <w:sz w:val="19"/>
                <w:szCs w:val="19"/>
                <w:color w:val="auto"/>
              </w:rPr>
            </w:pPr>
          </w:p>
        </w:tc>
        <w:tc>
          <w:tcPr>
            <w:tcW w:w="196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48,085,285</w:t>
            </w:r>
          </w:p>
        </w:tc>
        <w:tc>
          <w:tcPr>
            <w:tcW w:w="160" w:type="dxa"/>
            <w:vAlign w:val="bottom"/>
          </w:tcPr>
          <w:p>
            <w:pPr>
              <w:spacing w:after="0"/>
              <w:rPr>
                <w:sz w:val="19"/>
                <w:szCs w:val="19"/>
                <w:color w:val="auto"/>
              </w:rPr>
            </w:pPr>
          </w:p>
        </w:tc>
        <w:tc>
          <w:tcPr>
            <w:tcW w:w="16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516,488</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153,080</w:t>
            </w:r>
          </w:p>
        </w:tc>
        <w:tc>
          <w:tcPr>
            <w:tcW w:w="1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grant of equity for members of the Board of Directors from the Annual Meeting to the 2027 annual general meeting of shareholders was approved on a binding basis. The results of the 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39,099,507</w:t>
            </w:r>
          </w:p>
        </w:tc>
        <w:tc>
          <w:tcPr>
            <w:tcW w:w="160" w:type="dxa"/>
            <w:vAlign w:val="bottom"/>
          </w:tcPr>
          <w:p>
            <w:pPr>
              <w:spacing w:after="0"/>
              <w:rPr>
                <w:sz w:val="19"/>
                <w:szCs w:val="19"/>
                <w:color w:val="auto"/>
              </w:rPr>
            </w:pPr>
          </w:p>
        </w:tc>
        <w:tc>
          <w:tcPr>
            <w:tcW w:w="18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9,503,941</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151,405</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total non-performance related compensation for members of the Executive Committee from July 1, 2026 to June 30, 2027 was approved on a binding basis. The results of the 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40" w:type="dxa"/>
            <w:vAlign w:val="bottom"/>
            <w:vMerge w:val="continue"/>
          </w:tcPr>
          <w:p>
            <w:pPr>
              <w:spacing w:after="0"/>
              <w:rPr>
                <w:sz w:val="19"/>
                <w:szCs w:val="19"/>
                <w:color w:val="auto"/>
              </w:rPr>
            </w:pP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41,987,938</w:t>
            </w:r>
          </w:p>
        </w:tc>
        <w:tc>
          <w:tcPr>
            <w:tcW w:w="180" w:type="dxa"/>
            <w:vAlign w:val="bottom"/>
          </w:tcPr>
          <w:p>
            <w:pPr>
              <w:spacing w:after="0"/>
              <w:rPr>
                <w:sz w:val="19"/>
                <w:szCs w:val="19"/>
                <w:color w:val="auto"/>
              </w:rPr>
            </w:pPr>
          </w:p>
        </w:tc>
        <w:tc>
          <w:tcPr>
            <w:tcW w:w="170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6,608,726</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158,189</w:t>
            </w:r>
          </w:p>
        </w:tc>
        <w:tc>
          <w:tcPr>
            <w:tcW w:w="16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total variable compensation for members of the Executive Committee for the current year ending December 31, 2026 was approved on a binding basis. The results of the 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40" w:type="dxa"/>
            <w:vAlign w:val="bottom"/>
            <w:vMerge w:val="continue"/>
          </w:tcPr>
          <w:p>
            <w:pPr>
              <w:spacing w:after="0"/>
              <w:rPr>
                <w:sz w:val="19"/>
                <w:szCs w:val="19"/>
                <w:color w:val="auto"/>
              </w:rPr>
            </w:pP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41,997,078</w:t>
            </w:r>
          </w:p>
        </w:tc>
        <w:tc>
          <w:tcPr>
            <w:tcW w:w="180" w:type="dxa"/>
            <w:vAlign w:val="bottom"/>
          </w:tcPr>
          <w:p>
            <w:pPr>
              <w:spacing w:after="0"/>
              <w:rPr>
                <w:sz w:val="19"/>
                <w:szCs w:val="19"/>
                <w:color w:val="auto"/>
              </w:rPr>
            </w:pPr>
          </w:p>
        </w:tc>
        <w:tc>
          <w:tcPr>
            <w:tcW w:w="170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6,612,356</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145,419</w:t>
            </w:r>
          </w:p>
        </w:tc>
        <w:tc>
          <w:tcPr>
            <w:tcW w:w="16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grant of equity for members of the Executive Committee from the Annual Meeting to the 2027 annual general meeting of shareholders was approved on a binding basis. The results of the 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33,726,778</w:t>
            </w:r>
          </w:p>
        </w:tc>
        <w:tc>
          <w:tcPr>
            <w:tcW w:w="160" w:type="dxa"/>
            <w:vAlign w:val="bottom"/>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14,883,412</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144,663</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endorsement of the 2025 Compensation Report was approved on a non-binding basis. The results of the non-binding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39,906,651</w:t>
            </w:r>
          </w:p>
        </w:tc>
        <w:tc>
          <w:tcPr>
            <w:tcW w:w="160" w:type="dxa"/>
            <w:vAlign w:val="bottom"/>
          </w:tcPr>
          <w:p>
            <w:pPr>
              <w:spacing w:after="0"/>
              <w:rPr>
                <w:sz w:val="19"/>
                <w:szCs w:val="19"/>
                <w:color w:val="auto"/>
              </w:rPr>
            </w:pPr>
          </w:p>
        </w:tc>
        <w:tc>
          <w:tcPr>
            <w:tcW w:w="18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8,704,469</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143,733</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7 – Non-Binding Advisory Vote on the Compensation Paid to the Company’s Named Executive Officers Under U.S. Securities Law Requirements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paid to the named executive officers was approved on a non-binding basis. The results of the non-binding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33,742,001</w:t>
            </w:r>
          </w:p>
        </w:tc>
        <w:tc>
          <w:tcPr>
            <w:tcW w:w="160" w:type="dxa"/>
            <w:vAlign w:val="bottom"/>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14,867,591</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145,261</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8 – Approval of an Increase to the Company’s Capital Band</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 increase to the Company’s capital band was approved with at least two thirds of the votes represented and the absolute majority of the par value of the represented shares. The results of the vote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69,408,999</w:t>
            </w:r>
          </w:p>
        </w:tc>
        <w:tc>
          <w:tcPr>
            <w:tcW w:w="160" w:type="dxa"/>
            <w:vAlign w:val="bottom"/>
          </w:tcPr>
          <w:p>
            <w:pPr>
              <w:spacing w:after="0"/>
              <w:rPr>
                <w:sz w:val="19"/>
                <w:szCs w:val="19"/>
                <w:color w:val="auto"/>
              </w:rPr>
            </w:pPr>
          </w:p>
        </w:tc>
        <w:tc>
          <w:tcPr>
            <w:tcW w:w="18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1,361,697</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483,012</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9 – Approval of an Increase to the Conditional Share Capital for the Conversion of Bonds and Similar Debt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638810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07" w:right="1099" w:bottom="1440" w:gutter="0" w:footer="0" w:header="0"/>
        </w:sectPr>
      </w:pPr>
    </w:p>
    <w:bookmarkStart w:id="4" w:name="page5"/>
    <w:bookmarkEnd w:id="4"/>
    <w:p>
      <w:pPr>
        <w:ind w:left="660" w:right="880"/>
        <w:spacing w:after="0" w:line="266" w:lineRule="auto"/>
        <w:rPr>
          <w:sz w:val="20"/>
          <w:szCs w:val="20"/>
          <w:color w:val="auto"/>
        </w:rPr>
      </w:pPr>
      <w:r>
        <w:rPr>
          <w:rFonts w:ascii="Times New Roman" w:cs="Times New Roman" w:eastAsia="Times New Roman" w:hAnsi="Times New Roman"/>
          <w:sz w:val="18"/>
          <w:szCs w:val="18"/>
          <w:color w:val="auto"/>
        </w:rPr>
        <w:t>An increase to the conditional share capital for the conversion of bonds and similar debt instruments was approved with at least two thirds of the votes represented and the absolute majority of the par value of the represented shares. The results of the vote were as follows:</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47,341,035</w:t>
            </w:r>
          </w:p>
        </w:tc>
        <w:tc>
          <w:tcPr>
            <w:tcW w:w="160" w:type="dxa"/>
            <w:vAlign w:val="bottom"/>
          </w:tcPr>
          <w:p>
            <w:pPr>
              <w:spacing w:after="0"/>
              <w:rPr>
                <w:sz w:val="19"/>
                <w:szCs w:val="19"/>
                <w:color w:val="auto"/>
              </w:rPr>
            </w:pPr>
          </w:p>
        </w:tc>
        <w:tc>
          <w:tcPr>
            <w:tcW w:w="18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1,298,782</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115,036</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Proposal 10 – Approval of the 2026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2026 Plan was approved. The results of the vote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00" w:type="dxa"/>
            <w:vAlign w:val="bottom"/>
            <w:vMerge w:val="continue"/>
          </w:tcPr>
          <w:p>
            <w:pPr>
              <w:spacing w:after="0"/>
              <w:rPr>
                <w:sz w:val="19"/>
                <w:szCs w:val="19"/>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42,839,199</w:t>
            </w:r>
          </w:p>
        </w:tc>
        <w:tc>
          <w:tcPr>
            <w:tcW w:w="160" w:type="dxa"/>
            <w:vAlign w:val="bottom"/>
          </w:tcPr>
          <w:p>
            <w:pPr>
              <w:spacing w:after="0"/>
              <w:rPr>
                <w:sz w:val="19"/>
                <w:szCs w:val="19"/>
                <w:color w:val="auto"/>
              </w:rPr>
            </w:pPr>
          </w:p>
        </w:tc>
        <w:tc>
          <w:tcPr>
            <w:tcW w:w="18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5,763,564</w:t>
            </w:r>
          </w:p>
        </w:tc>
        <w:tc>
          <w:tcPr>
            <w:tcW w:w="160" w:type="dxa"/>
            <w:vAlign w:val="bottom"/>
          </w:tcPr>
          <w:p>
            <w:pPr>
              <w:spacing w:after="0"/>
              <w:rPr>
                <w:sz w:val="19"/>
                <w:szCs w:val="19"/>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152,090</w:t>
            </w: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Proposal 11 – Re-election of the Independent Voting Rights Representative</w:t>
      </w:r>
    </w:p>
    <w:p>
      <w:pPr>
        <w:spacing w:after="0" w:line="117"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Marius Meier, Attorney at Law, was duly re-elected as the independent voting rights representative. The results of the election were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40" w:type="dxa"/>
            <w:vAlign w:val="bottom"/>
            <w:vMerge w:val="continue"/>
          </w:tcPr>
          <w:p>
            <w:pPr>
              <w:spacing w:after="0"/>
              <w:rPr>
                <w:sz w:val="19"/>
                <w:szCs w:val="19"/>
                <w:color w:val="auto"/>
              </w:rPr>
            </w:pP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70,290,203</w:t>
            </w:r>
          </w:p>
        </w:tc>
        <w:tc>
          <w:tcPr>
            <w:tcW w:w="180" w:type="dxa"/>
            <w:vAlign w:val="bottom"/>
          </w:tcPr>
          <w:p>
            <w:pPr>
              <w:spacing w:after="0"/>
              <w:rPr>
                <w:sz w:val="19"/>
                <w:szCs w:val="19"/>
                <w:color w:val="auto"/>
              </w:rPr>
            </w:pPr>
          </w:p>
        </w:tc>
        <w:tc>
          <w:tcPr>
            <w:tcW w:w="170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640,943</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322,562</w:t>
            </w:r>
          </w:p>
        </w:tc>
        <w:tc>
          <w:tcPr>
            <w:tcW w:w="16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Proposal 12 –Re-election of the Auditors</w:t>
      </w:r>
    </w:p>
    <w:p>
      <w:pPr>
        <w:spacing w:after="0" w:line="117" w:lineRule="exact"/>
        <w:rPr>
          <w:sz w:val="20"/>
          <w:szCs w:val="20"/>
          <w:color w:val="auto"/>
        </w:rPr>
      </w:pPr>
    </w:p>
    <w:p>
      <w:pPr>
        <w:ind w:left="660" w:right="720"/>
        <w:spacing w:after="0" w:line="266" w:lineRule="auto"/>
        <w:rPr>
          <w:sz w:val="20"/>
          <w:szCs w:val="20"/>
          <w:color w:val="auto"/>
        </w:rPr>
      </w:pPr>
      <w:r>
        <w:rPr>
          <w:rFonts w:ascii="Times New Roman" w:cs="Times New Roman" w:eastAsia="Times New Roman" w:hAnsi="Times New Roman"/>
          <w:sz w:val="18"/>
          <w:szCs w:val="18"/>
          <w:color w:val="auto"/>
        </w:rPr>
        <w:t>Ernst &amp; Young AG was duly elected as the Company’s statutory auditor for the term of office of one year, and Ernst &amp; Young LLP was duly elected as the Company’s independent registered public accounting firm for the year ending December 31, 2026. The results of the election were as follows:</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9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2040" w:type="dxa"/>
            <w:vAlign w:val="bottom"/>
            <w:vMerge w:val="continue"/>
          </w:tcPr>
          <w:p>
            <w:pPr>
              <w:spacing w:after="0"/>
              <w:rPr>
                <w:sz w:val="19"/>
                <w:szCs w:val="19"/>
                <w:color w:val="auto"/>
              </w:rPr>
            </w:pPr>
          </w:p>
        </w:tc>
        <w:tc>
          <w:tcPr>
            <w:tcW w:w="192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69,875,653</w:t>
            </w:r>
          </w:p>
        </w:tc>
        <w:tc>
          <w:tcPr>
            <w:tcW w:w="180" w:type="dxa"/>
            <w:vAlign w:val="bottom"/>
          </w:tcPr>
          <w:p>
            <w:pPr>
              <w:spacing w:after="0"/>
              <w:rPr>
                <w:sz w:val="19"/>
                <w:szCs w:val="19"/>
                <w:color w:val="auto"/>
              </w:rPr>
            </w:pPr>
          </w:p>
        </w:tc>
        <w:tc>
          <w:tcPr>
            <w:tcW w:w="170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462,910</w:t>
            </w:r>
          </w:p>
        </w:tc>
        <w:tc>
          <w:tcPr>
            <w:tcW w:w="160" w:type="dxa"/>
            <w:vAlign w:val="bottom"/>
          </w:tcPr>
          <w:p>
            <w:pPr>
              <w:spacing w:after="0"/>
              <w:rPr>
                <w:sz w:val="19"/>
                <w:szCs w:val="19"/>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915,145</w:t>
            </w:r>
          </w:p>
        </w:tc>
        <w:tc>
          <w:tcPr>
            <w:tcW w:w="16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660" w:right="6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13 – Transact Any Other Business that may Properly Come Before the 2026 Annual General Meeting or any Adjournment or Postponement thereof</w:t>
      </w:r>
    </w:p>
    <w:p>
      <w:pPr>
        <w:spacing w:after="0" w:line="54" w:lineRule="exact"/>
        <w:rPr>
          <w:sz w:val="20"/>
          <w:szCs w:val="20"/>
          <w:color w:val="auto"/>
        </w:rPr>
      </w:pPr>
    </w:p>
    <w:p>
      <w:pPr>
        <w:ind w:left="660" w:right="820"/>
        <w:spacing w:after="0" w:line="266" w:lineRule="auto"/>
        <w:rPr>
          <w:sz w:val="20"/>
          <w:szCs w:val="20"/>
          <w:color w:val="auto"/>
        </w:rPr>
      </w:pPr>
      <w:r>
        <w:rPr>
          <w:rFonts w:ascii="Times New Roman" w:cs="Times New Roman" w:eastAsia="Times New Roman" w:hAnsi="Times New Roman"/>
          <w:sz w:val="18"/>
          <w:szCs w:val="18"/>
          <w:color w:val="auto"/>
        </w:rPr>
        <w:t>The proposal for the transaction of any other business that properly came before the Annual Meeting or any adjournment or postponement thereof, to follow the respective proposal of the Board of Directors as proposed at the Annual Meeting, was approved. The results of the election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3"/>
                <w:szCs w:val="13"/>
                <w:color w:val="auto"/>
              </w:rPr>
            </w:pP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28"/>
        </w:trPr>
        <w:tc>
          <w:tcPr>
            <w:tcW w:w="164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29,000,337</w:t>
            </w:r>
          </w:p>
        </w:tc>
        <w:tc>
          <w:tcPr>
            <w:tcW w:w="160" w:type="dxa"/>
            <w:vAlign w:val="bottom"/>
          </w:tcPr>
          <w:p>
            <w:pPr>
              <w:spacing w:after="0"/>
              <w:rPr>
                <w:sz w:val="19"/>
                <w:szCs w:val="19"/>
                <w:color w:val="auto"/>
              </w:rPr>
            </w:pPr>
          </w:p>
        </w:tc>
        <w:tc>
          <w:tcPr>
            <w:tcW w:w="18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19,464,339</w:t>
            </w:r>
          </w:p>
        </w:tc>
        <w:tc>
          <w:tcPr>
            <w:tcW w:w="160" w:type="dxa"/>
            <w:vAlign w:val="bottom"/>
          </w:tcPr>
          <w:p>
            <w:pPr>
              <w:spacing w:after="0"/>
              <w:rPr>
                <w:sz w:val="19"/>
                <w:szCs w:val="19"/>
                <w:color w:val="auto"/>
              </w:rPr>
            </w:pPr>
          </w:p>
        </w:tc>
        <w:tc>
          <w:tcPr>
            <w:tcW w:w="15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290,177</w:t>
            </w:r>
          </w:p>
        </w:tc>
        <w:tc>
          <w:tcPr>
            <w:tcW w:w="16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22,498,855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2"/>
        </w:trPr>
        <w:tc>
          <w:tcPr>
            <w:tcW w:w="1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Amended and Restated Articles of Association of CRISPR Therapeutics AG</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CRISPR Therapeutics AG 2026 Stock Option And Incentive Plan</w:t>
            </w:r>
          </w:p>
        </w:tc>
        <w:tc>
          <w:tcPr>
            <w:tcW w:w="20" w:type="dxa"/>
            <w:vAlign w:val="bottom"/>
            <w:tcBorders>
              <w:top w:val="single" w:sz="8" w:color="0000FF"/>
              <w:bottom w:val="single" w:sz="8" w:color="0000EE"/>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260" w:type="dxa"/>
            <w:vAlign w:val="bottom"/>
            <w:gridSpan w:val="6"/>
          </w:tcPr>
          <w:p>
            <w:pPr>
              <w:spacing w:after="0"/>
              <w:rPr>
                <w:sz w:val="17"/>
                <w:szCs w:val="17"/>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Incentive Stock Option Agreement under the CRISPR Therapeutics AG 2026 Stock Option And Incentive Plan</w:t>
            </w:r>
          </w:p>
        </w:tc>
        <w:tc>
          <w:tcPr>
            <w:tcW w:w="120" w:type="dxa"/>
            <w:vAlign w:val="bottom"/>
            <w:gridSpan w:val="3"/>
          </w:tcPr>
          <w:p>
            <w:pPr>
              <w:spacing w:after="0"/>
              <w:rPr>
                <w:sz w:val="17"/>
                <w:szCs w:val="17"/>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Form of Non-Qualified Stock Option Agreement for Company Employees under the CRISPR Therapeutics AG 2026</w:t>
            </w:r>
          </w:p>
        </w:tc>
        <w:tc>
          <w:tcPr>
            <w:tcW w:w="28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Stock Option And Incentive Plan</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Form of Non-Qualified Stock Option Agreement for Non-Employee Directors under the CRISPR Therapeutics AG 2026</w:t>
            </w: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Stock Option And Incentive Plan</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Form of Restricted Stock Award Agreement under the CRISPR Therapeutics AG 2026 Stock Option And Incentive Plan</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Form of Restricted Stock Unit Award Agreement for Company Employees under the CRISPR Therapeutics AG 2026</w:t>
            </w:r>
          </w:p>
        </w:tc>
        <w:tc>
          <w:tcPr>
            <w:tcW w:w="180" w:type="dxa"/>
            <w:vAlign w:val="bottom"/>
            <w:tcBorders>
              <w:top w:val="single" w:sz="8" w:color="0000FF"/>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Stock Option And Incentive Plan</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Restricted Stock Unit Award Agreement for Non-Employee Directors under the CRISPR Therapeutics AG 2026</w:t>
            </w:r>
          </w:p>
        </w:tc>
      </w:tr>
      <w:tr>
        <w:trPr>
          <w:trHeight w:val="196"/>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Stock Option And Incentive Plan</w:t>
            </w:r>
          </w:p>
        </w:tc>
        <w:tc>
          <w:tcPr>
            <w:tcW w:w="6340" w:type="dxa"/>
            <w:vAlign w:val="bottom"/>
            <w:gridSpan w:val="9"/>
          </w:tcPr>
          <w:p>
            <w:pPr>
              <w:spacing w:after="0"/>
              <w:rPr>
                <w:sz w:val="17"/>
                <w:szCs w:val="17"/>
                <w:color w:val="auto"/>
              </w:rPr>
            </w:pPr>
          </w:p>
        </w:tc>
      </w:tr>
    </w:tbl>
    <w:p>
      <w:pPr>
        <w:spacing w:after="0" w:line="9" w:lineRule="exact"/>
        <w:rPr>
          <w:sz w:val="20"/>
          <w:szCs w:val="20"/>
          <w:color w:val="auto"/>
        </w:rPr>
      </w:pPr>
    </w:p>
    <w:p>
      <w:pPr>
        <w:ind w:right="3000" w:firstLine="8"/>
        <w:spacing w:after="0" w:line="532" w:lineRule="auto"/>
        <w:tabs>
          <w:tab w:leader="none" w:pos="94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599440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5" w:right="10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6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CRISPR THERAPEUTICS AG</w:t>
            </w:r>
          </w:p>
        </w:tc>
      </w:tr>
      <w:tr>
        <w:trPr>
          <w:trHeight w:val="391"/>
        </w:trPr>
        <w:tc>
          <w:tcPr>
            <w:tcW w:w="3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 June 4, 2026</w:t>
            </w:r>
          </w:p>
        </w:tc>
        <w:tc>
          <w:tcPr>
            <w:tcW w:w="23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Samarth Kulkarni</w:t>
            </w:r>
          </w:p>
        </w:tc>
        <w:tc>
          <w:tcPr>
            <w:tcW w:w="3840" w:type="dxa"/>
            <w:vAlign w:val="bottom"/>
          </w:tcPr>
          <w:p>
            <w:pPr>
              <w:spacing w:after="0"/>
              <w:rPr>
                <w:sz w:val="24"/>
                <w:szCs w:val="24"/>
                <w:color w:val="auto"/>
              </w:rPr>
            </w:pPr>
          </w:p>
        </w:tc>
      </w:tr>
      <w:tr>
        <w:trPr>
          <w:trHeight w:val="232"/>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Samarth Kulkarni, Ph.D.</w:t>
            </w:r>
          </w:p>
        </w:tc>
      </w:tr>
      <w:tr>
        <w:trPr>
          <w:trHeight w:val="234"/>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34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3" w:right="439" w:bottom="1440" w:gutter="0" w:footer="0" w:header="0"/>
        </w:sectPr>
      </w:pPr>
    </w:p>
    <w:bookmarkStart w:id="7" w:name="page8"/>
    <w:bookmarkEnd w:id="7"/>
    <w:p>
      <w:pPr>
        <w:spacing w:after="0" w:line="36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ARTICLES OF ASSOCIATION</w:t>
      </w:r>
    </w:p>
    <w:p>
      <w:pPr>
        <w:spacing w:after="0" w:line="213" w:lineRule="exact"/>
        <w:rPr>
          <w:sz w:val="20"/>
          <w:szCs w:val="20"/>
          <w:color w:val="auto"/>
        </w:rPr>
      </w:pPr>
    </w:p>
    <w:p>
      <w:pPr>
        <w:ind w:left="2140"/>
        <w:spacing w:after="0"/>
        <w:rPr>
          <w:sz w:val="20"/>
          <w:szCs w:val="20"/>
          <w:color w:val="auto"/>
        </w:rPr>
      </w:pPr>
      <w:r>
        <w:rPr>
          <w:rFonts w:ascii="Verdana" w:cs="Verdana" w:eastAsia="Verdana" w:hAnsi="Verdana"/>
          <w:sz w:val="18"/>
          <w:szCs w:val="18"/>
          <w:b w:val="1"/>
          <w:bCs w:val="1"/>
          <w:color w:val="auto"/>
        </w:rPr>
        <w:t>of</w:t>
      </w:r>
    </w:p>
    <w:p>
      <w:pPr>
        <w:spacing w:after="0" w:line="210" w:lineRule="exact"/>
        <w:rPr>
          <w:sz w:val="20"/>
          <w:szCs w:val="20"/>
          <w:color w:val="auto"/>
        </w:rPr>
      </w:pPr>
    </w:p>
    <w:p>
      <w:pPr>
        <w:ind w:left="980"/>
        <w:spacing w:after="0"/>
        <w:rPr>
          <w:sz w:val="20"/>
          <w:szCs w:val="20"/>
          <w:color w:val="auto"/>
        </w:rPr>
      </w:pPr>
      <w:r>
        <w:rPr>
          <w:rFonts w:ascii="Verdana" w:cs="Verdana" w:eastAsia="Verdana" w:hAnsi="Verdana"/>
          <w:sz w:val="18"/>
          <w:szCs w:val="18"/>
          <w:b w:val="1"/>
          <w:bCs w:val="1"/>
          <w:color w:val="auto"/>
        </w:rPr>
        <w:t>CRISPR Therapeutics AG</w:t>
      </w:r>
    </w:p>
    <w:p>
      <w:pPr>
        <w:ind w:left="920"/>
        <w:spacing w:after="0" w:line="236" w:lineRule="auto"/>
        <w:rPr>
          <w:sz w:val="20"/>
          <w:szCs w:val="20"/>
          <w:color w:val="auto"/>
        </w:rPr>
      </w:pPr>
      <w:r>
        <w:rPr>
          <w:rFonts w:ascii="Verdana" w:cs="Verdana" w:eastAsia="Verdana" w:hAnsi="Verdana"/>
          <w:sz w:val="18"/>
          <w:szCs w:val="18"/>
          <w:b w:val="1"/>
          <w:bCs w:val="1"/>
          <w:color w:val="auto"/>
        </w:rPr>
        <w:t>(CRISPR Therapeutics SA)</w:t>
      </w:r>
    </w:p>
    <w:p>
      <w:pPr>
        <w:spacing w:after="0" w:line="1" w:lineRule="exact"/>
        <w:rPr>
          <w:sz w:val="20"/>
          <w:szCs w:val="20"/>
          <w:color w:val="auto"/>
        </w:rPr>
      </w:pPr>
    </w:p>
    <w:p>
      <w:pPr>
        <w:ind w:left="880"/>
        <w:spacing w:after="0"/>
        <w:rPr>
          <w:sz w:val="20"/>
          <w:szCs w:val="20"/>
          <w:color w:val="auto"/>
        </w:rPr>
      </w:pPr>
      <w:r>
        <w:rPr>
          <w:rFonts w:ascii="Verdana" w:cs="Verdana" w:eastAsia="Verdana" w:hAnsi="Verdana"/>
          <w:sz w:val="18"/>
          <w:szCs w:val="18"/>
          <w:b w:val="1"/>
          <w:bCs w:val="1"/>
          <w:color w:val="auto"/>
        </w:rPr>
        <w:t>(CRISPR Therapeutics Ltd)</w:t>
      </w:r>
    </w:p>
    <w:p>
      <w:pPr>
        <w:spacing w:after="0" w:line="213" w:lineRule="exact"/>
        <w:rPr>
          <w:sz w:val="20"/>
          <w:szCs w:val="20"/>
          <w:color w:val="auto"/>
        </w:rPr>
      </w:pPr>
    </w:p>
    <w:p>
      <w:pPr>
        <w:ind w:left="1040"/>
        <w:spacing w:after="0"/>
        <w:rPr>
          <w:sz w:val="20"/>
          <w:szCs w:val="20"/>
          <w:color w:val="auto"/>
        </w:rPr>
      </w:pPr>
      <w:r>
        <w:rPr>
          <w:rFonts w:ascii="Verdana" w:cs="Verdana" w:eastAsia="Verdana" w:hAnsi="Verdana"/>
          <w:sz w:val="18"/>
          <w:szCs w:val="18"/>
          <w:b w:val="1"/>
          <w:bCs w:val="1"/>
          <w:color w:val="auto"/>
        </w:rPr>
        <w:t>with registered office in</w:t>
      </w:r>
    </w:p>
    <w:p>
      <w:pPr>
        <w:spacing w:after="0" w:line="213" w:lineRule="exact"/>
        <w:rPr>
          <w:sz w:val="20"/>
          <w:szCs w:val="20"/>
          <w:color w:val="auto"/>
        </w:rPr>
      </w:pPr>
    </w:p>
    <w:p>
      <w:pPr>
        <w:ind w:left="2060"/>
        <w:spacing w:after="0"/>
        <w:rPr>
          <w:sz w:val="20"/>
          <w:szCs w:val="20"/>
          <w:color w:val="auto"/>
        </w:rPr>
      </w:pPr>
      <w:r>
        <w:rPr>
          <w:rFonts w:ascii="Verdana" w:cs="Verdana" w:eastAsia="Verdana" w:hAnsi="Verdana"/>
          <w:sz w:val="18"/>
          <w:szCs w:val="18"/>
          <w:b w:val="1"/>
          <w:bCs w:val="1"/>
          <w:color w:val="auto"/>
        </w:rPr>
        <w:t>Zug</w:t>
      </w:r>
    </w:p>
    <w:p>
      <w:pPr>
        <w:spacing w:after="0" w:line="210" w:lineRule="exact"/>
        <w:rPr>
          <w:sz w:val="20"/>
          <w:szCs w:val="20"/>
          <w:color w:val="auto"/>
        </w:rPr>
      </w:pPr>
    </w:p>
    <w:p>
      <w:pPr>
        <w:ind w:left="40"/>
        <w:spacing w:after="0"/>
        <w:rPr>
          <w:sz w:val="20"/>
          <w:szCs w:val="20"/>
          <w:color w:val="auto"/>
        </w:rPr>
      </w:pPr>
      <w:r>
        <w:rPr>
          <w:rFonts w:ascii="Verdana" w:cs="Verdana" w:eastAsia="Verdana" w:hAnsi="Verdana"/>
          <w:sz w:val="18"/>
          <w:szCs w:val="18"/>
          <w:color w:val="auto"/>
        </w:rPr>
        <w:t>(Translation; in case of controversy the German</w:t>
      </w:r>
    </w:p>
    <w:p>
      <w:pPr>
        <w:ind w:left="1460"/>
        <w:spacing w:after="0"/>
        <w:rPr>
          <w:sz w:val="20"/>
          <w:szCs w:val="20"/>
          <w:color w:val="auto"/>
        </w:rPr>
      </w:pPr>
      <w:r>
        <w:rPr>
          <w:rFonts w:ascii="Verdana" w:cs="Verdana" w:eastAsia="Verdana" w:hAnsi="Verdana"/>
          <w:sz w:val="18"/>
          <w:szCs w:val="18"/>
          <w:color w:val="auto"/>
        </w:rPr>
        <w:t>text shall prevail)</w:t>
      </w:r>
    </w:p>
    <w:p>
      <w:pPr>
        <w:spacing w:after="0" w:line="200" w:lineRule="exact"/>
        <w:rPr>
          <w:sz w:val="20"/>
          <w:szCs w:val="20"/>
          <w:color w:val="auto"/>
        </w:rPr>
      </w:pPr>
    </w:p>
    <w:p>
      <w:pPr>
        <w:spacing w:after="0" w:line="229" w:lineRule="exact"/>
        <w:rPr>
          <w:sz w:val="20"/>
          <w:szCs w:val="20"/>
          <w:color w:val="auto"/>
        </w:rPr>
      </w:pPr>
    </w:p>
    <w:p>
      <w:pPr>
        <w:ind w:left="720" w:right="280" w:hanging="719"/>
        <w:spacing w:after="0" w:line="245" w:lineRule="auto"/>
        <w:tabs>
          <w:tab w:leader="none" w:pos="501" w:val="left"/>
        </w:tabs>
        <w:numPr>
          <w:ilvl w:val="0"/>
          <w:numId w:val="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CORPORATE NAME, PRINCIPAL OFFICE, DURATION AND PURPOSE OF THE COMPANY</w:t>
      </w:r>
    </w:p>
    <w:p>
      <w:pPr>
        <w:spacing w:after="0" w:line="200" w:lineRule="exact"/>
        <w:rPr>
          <w:sz w:val="20"/>
          <w:szCs w:val="20"/>
          <w:color w:val="auto"/>
        </w:rPr>
      </w:pPr>
    </w:p>
    <w:p>
      <w:pPr>
        <w:spacing w:after="0" w:line="210" w:lineRule="exact"/>
        <w:rPr>
          <w:sz w:val="20"/>
          <w:szCs w:val="20"/>
          <w:color w:val="auto"/>
        </w:rPr>
      </w:pPr>
    </w:p>
    <w:p>
      <w:pPr>
        <w:ind w:left="980" w:right="180" w:hanging="1220"/>
        <w:spacing w:after="0" w:line="254" w:lineRule="auto"/>
        <w:tabs>
          <w:tab w:leader="none" w:pos="960" w:val="left"/>
        </w:tabs>
        <w:rPr>
          <w:sz w:val="20"/>
          <w:szCs w:val="20"/>
          <w:color w:val="auto"/>
        </w:rPr>
      </w:pPr>
      <w:r>
        <w:rPr>
          <w:rFonts w:ascii="Verdana" w:cs="Verdana" w:eastAsia="Verdana" w:hAnsi="Verdana"/>
          <w:sz w:val="18"/>
          <w:szCs w:val="18"/>
          <w:b w:val="1"/>
          <w:bCs w:val="1"/>
          <w:color w:val="auto"/>
        </w:rPr>
        <w:t>Art. 1</w:t>
      </w:r>
      <w:r>
        <w:rPr>
          <w:sz w:val="20"/>
          <w:szCs w:val="20"/>
          <w:color w:val="auto"/>
        </w:rPr>
        <w:tab/>
      </w:r>
      <w:r>
        <w:rPr>
          <w:rFonts w:ascii="Verdana" w:cs="Verdana" w:eastAsia="Verdana" w:hAnsi="Verdana"/>
          <w:sz w:val="18"/>
          <w:szCs w:val="18"/>
          <w:b w:val="1"/>
          <w:bCs w:val="1"/>
          <w:color w:val="auto"/>
        </w:rPr>
        <w:t>Corporate Name, Principal Office and Duration</w:t>
      </w:r>
    </w:p>
    <w:p>
      <w:pPr>
        <w:spacing w:after="0" w:line="185" w:lineRule="exact"/>
        <w:rPr>
          <w:sz w:val="20"/>
          <w:szCs w:val="20"/>
          <w:color w:val="auto"/>
        </w:rPr>
      </w:pPr>
    </w:p>
    <w:p>
      <w:pPr>
        <w:spacing w:after="0"/>
        <w:rPr>
          <w:sz w:val="20"/>
          <w:szCs w:val="20"/>
          <w:color w:val="auto"/>
        </w:rPr>
      </w:pPr>
      <w:r>
        <w:rPr>
          <w:rFonts w:ascii="Verdana" w:cs="Verdana" w:eastAsia="Verdana" w:hAnsi="Verdana"/>
          <w:sz w:val="18"/>
          <w:szCs w:val="18"/>
          <w:color w:val="auto"/>
        </w:rPr>
        <w:t>Under the name</w:t>
      </w:r>
    </w:p>
    <w:p>
      <w:pPr>
        <w:spacing w:after="0" w:line="102" w:lineRule="exact"/>
        <w:rPr>
          <w:sz w:val="20"/>
          <w:szCs w:val="20"/>
          <w:color w:val="auto"/>
        </w:rPr>
      </w:pPr>
    </w:p>
    <w:p>
      <w:pPr>
        <w:ind w:left="1100"/>
        <w:spacing w:after="0"/>
        <w:rPr>
          <w:sz w:val="20"/>
          <w:szCs w:val="20"/>
          <w:color w:val="auto"/>
        </w:rPr>
      </w:pPr>
      <w:r>
        <w:rPr>
          <w:rFonts w:ascii="Verdana" w:cs="Verdana" w:eastAsia="Verdana" w:hAnsi="Verdana"/>
          <w:sz w:val="18"/>
          <w:szCs w:val="18"/>
          <w:color w:val="auto"/>
        </w:rPr>
        <w:t>CRISPR Therapeutics AG</w:t>
      </w:r>
    </w:p>
    <w:p>
      <w:pPr>
        <w:ind w:left="1060"/>
        <w:spacing w:after="0" w:line="236" w:lineRule="auto"/>
        <w:rPr>
          <w:sz w:val="20"/>
          <w:szCs w:val="20"/>
          <w:color w:val="auto"/>
        </w:rPr>
      </w:pPr>
      <w:r>
        <w:rPr>
          <w:rFonts w:ascii="Verdana" w:cs="Verdana" w:eastAsia="Verdana" w:hAnsi="Verdana"/>
          <w:sz w:val="18"/>
          <w:szCs w:val="18"/>
          <w:color w:val="auto"/>
        </w:rPr>
        <w:t>(CRISPR Therapeutics SA)</w:t>
      </w:r>
    </w:p>
    <w:p>
      <w:pPr>
        <w:spacing w:after="0" w:line="1" w:lineRule="exact"/>
        <w:rPr>
          <w:sz w:val="20"/>
          <w:szCs w:val="20"/>
          <w:color w:val="auto"/>
        </w:rPr>
      </w:pPr>
    </w:p>
    <w:p>
      <w:pPr>
        <w:ind w:left="1040"/>
        <w:spacing w:after="0"/>
        <w:rPr>
          <w:sz w:val="20"/>
          <w:szCs w:val="20"/>
          <w:color w:val="auto"/>
        </w:rPr>
      </w:pPr>
      <w:r>
        <w:rPr>
          <w:rFonts w:ascii="Verdana" w:cs="Verdana" w:eastAsia="Verdana" w:hAnsi="Verdana"/>
          <w:sz w:val="18"/>
          <w:szCs w:val="18"/>
          <w:color w:val="auto"/>
        </w:rPr>
        <w:t>(CRISPR Therapeutics Ltd)</w:t>
      </w:r>
    </w:p>
    <w:p>
      <w:pPr>
        <w:spacing w:after="0" w:line="21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there exists a Company which is subject to the provisions of art. 620 et seq. of the Swiss Code of Obligations (CO) with registered office in Zug. The duration of the Company is unlimited.</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w:t>
      </w:r>
      <w:r>
        <w:rPr>
          <w:sz w:val="20"/>
          <w:szCs w:val="20"/>
          <w:color w:val="auto"/>
        </w:rPr>
        <w:tab/>
      </w:r>
      <w:r>
        <w:rPr>
          <w:rFonts w:ascii="Verdana" w:cs="Verdana" w:eastAsia="Verdana" w:hAnsi="Verdana"/>
          <w:sz w:val="18"/>
          <w:szCs w:val="18"/>
          <w:b w:val="1"/>
          <w:bCs w:val="1"/>
          <w:color w:val="auto"/>
        </w:rPr>
        <w:t>Purpose</w:t>
      </w:r>
    </w:p>
    <w:p>
      <w:pPr>
        <w:spacing w:after="0" w:line="21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The purpose of the Company is the research and development in the field of pharmaceutical</w:t>
      </w:r>
    </w:p>
    <w:p>
      <w:pPr>
        <w:spacing w:after="0" w:line="2"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products, including biological and biotechnological products, as well as the production and commercialisation of such products.</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Company may purchase, hold and sell patents, copy rights, trade marks and other intellectual property rights as well as licenses of any kind.</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Company may engage in and carry out any and all commercial, financial or other activity, which is directly or indirectly related to the purpose of the Company. In doing so, the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0"/>
          <w:szCs w:val="20"/>
          <w:color w:val="auto"/>
        </w:rPr>
        <w:t>Exhibit 3.1</w:t>
      </w:r>
    </w:p>
    <w:p>
      <w:pPr>
        <w:spacing w:after="0" w:line="13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STATUTEN</w:t>
      </w:r>
    </w:p>
    <w:p>
      <w:pPr>
        <w:spacing w:after="0" w:line="213" w:lineRule="exact"/>
        <w:rPr>
          <w:sz w:val="20"/>
          <w:szCs w:val="20"/>
          <w:color w:val="auto"/>
        </w:rPr>
      </w:pPr>
    </w:p>
    <w:p>
      <w:pPr>
        <w:ind w:left="2140"/>
        <w:spacing w:after="0"/>
        <w:rPr>
          <w:sz w:val="20"/>
          <w:szCs w:val="20"/>
          <w:color w:val="auto"/>
        </w:rPr>
      </w:pPr>
      <w:r>
        <w:rPr>
          <w:rFonts w:ascii="Verdana" w:cs="Verdana" w:eastAsia="Verdana" w:hAnsi="Verdana"/>
          <w:sz w:val="18"/>
          <w:szCs w:val="18"/>
          <w:b w:val="1"/>
          <w:bCs w:val="1"/>
          <w:color w:val="auto"/>
        </w:rPr>
        <w:t>der</w:t>
      </w:r>
    </w:p>
    <w:p>
      <w:pPr>
        <w:spacing w:after="0" w:line="210" w:lineRule="exact"/>
        <w:rPr>
          <w:sz w:val="20"/>
          <w:szCs w:val="20"/>
          <w:color w:val="auto"/>
        </w:rPr>
      </w:pPr>
    </w:p>
    <w:p>
      <w:pPr>
        <w:ind w:left="1040"/>
        <w:spacing w:after="0"/>
        <w:rPr>
          <w:sz w:val="20"/>
          <w:szCs w:val="20"/>
          <w:color w:val="auto"/>
        </w:rPr>
      </w:pPr>
      <w:r>
        <w:rPr>
          <w:rFonts w:ascii="Verdana" w:cs="Verdana" w:eastAsia="Verdana" w:hAnsi="Verdana"/>
          <w:sz w:val="18"/>
          <w:szCs w:val="18"/>
          <w:b w:val="1"/>
          <w:bCs w:val="1"/>
          <w:color w:val="auto"/>
        </w:rPr>
        <w:t>CRISPR Therapeutics AG</w:t>
      </w:r>
    </w:p>
    <w:p>
      <w:pPr>
        <w:ind w:left="980"/>
        <w:spacing w:after="0" w:line="236" w:lineRule="auto"/>
        <w:rPr>
          <w:sz w:val="20"/>
          <w:szCs w:val="20"/>
          <w:color w:val="auto"/>
        </w:rPr>
      </w:pPr>
      <w:r>
        <w:rPr>
          <w:rFonts w:ascii="Verdana" w:cs="Verdana" w:eastAsia="Verdana" w:hAnsi="Verdana"/>
          <w:sz w:val="18"/>
          <w:szCs w:val="18"/>
          <w:b w:val="1"/>
          <w:bCs w:val="1"/>
          <w:color w:val="auto"/>
        </w:rPr>
        <w:t>(CRISPR Therapeutics SA)</w:t>
      </w:r>
    </w:p>
    <w:p>
      <w:pPr>
        <w:spacing w:after="0" w:line="1" w:lineRule="exact"/>
        <w:rPr>
          <w:sz w:val="20"/>
          <w:szCs w:val="20"/>
          <w:color w:val="auto"/>
        </w:rPr>
      </w:pPr>
    </w:p>
    <w:p>
      <w:pPr>
        <w:ind w:left="940"/>
        <w:spacing w:after="0"/>
        <w:rPr>
          <w:sz w:val="20"/>
          <w:szCs w:val="20"/>
          <w:color w:val="auto"/>
        </w:rPr>
      </w:pPr>
      <w:r>
        <w:rPr>
          <w:rFonts w:ascii="Verdana" w:cs="Verdana" w:eastAsia="Verdana" w:hAnsi="Verdana"/>
          <w:sz w:val="18"/>
          <w:szCs w:val="18"/>
          <w:b w:val="1"/>
          <w:bCs w:val="1"/>
          <w:color w:val="auto"/>
        </w:rPr>
        <w:t>(CRISPR Therapeutics Ltd)</w:t>
      </w:r>
    </w:p>
    <w:p>
      <w:pPr>
        <w:spacing w:after="0" w:line="213" w:lineRule="exact"/>
        <w:rPr>
          <w:sz w:val="20"/>
          <w:szCs w:val="20"/>
          <w:color w:val="auto"/>
        </w:rPr>
      </w:pPr>
    </w:p>
    <w:p>
      <w:pPr>
        <w:jc w:val="center"/>
        <w:ind w:right="100"/>
        <w:spacing w:after="0"/>
        <w:rPr>
          <w:sz w:val="20"/>
          <w:szCs w:val="20"/>
          <w:color w:val="auto"/>
        </w:rPr>
      </w:pPr>
      <w:r>
        <w:rPr>
          <w:rFonts w:ascii="Verdana" w:cs="Verdana" w:eastAsia="Verdana" w:hAnsi="Verdana"/>
          <w:sz w:val="18"/>
          <w:szCs w:val="18"/>
          <w:b w:val="1"/>
          <w:bCs w:val="1"/>
          <w:color w:val="auto"/>
        </w:rPr>
        <w:t>mit Sitz in</w:t>
      </w:r>
    </w:p>
    <w:p>
      <w:pPr>
        <w:spacing w:after="0" w:line="213" w:lineRule="exact"/>
        <w:rPr>
          <w:sz w:val="20"/>
          <w:szCs w:val="20"/>
          <w:color w:val="auto"/>
        </w:rPr>
      </w:pPr>
    </w:p>
    <w:p>
      <w:pPr>
        <w:jc w:val="center"/>
        <w:ind w:right="100"/>
        <w:spacing w:after="0"/>
        <w:rPr>
          <w:sz w:val="20"/>
          <w:szCs w:val="20"/>
          <w:color w:val="auto"/>
        </w:rPr>
      </w:pPr>
      <w:r>
        <w:rPr>
          <w:rFonts w:ascii="Verdana" w:cs="Verdana" w:eastAsia="Verdana" w:hAnsi="Verdana"/>
          <w:sz w:val="18"/>
          <w:szCs w:val="18"/>
          <w:b w:val="1"/>
          <w:bCs w:val="1"/>
          <w:color w:val="auto"/>
        </w:rPr>
        <w:t>Zug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right="340" w:hanging="711"/>
        <w:spacing w:after="0" w:line="254" w:lineRule="auto"/>
        <w:tabs>
          <w:tab w:leader="none" w:pos="501" w:val="left"/>
        </w:tabs>
        <w:numPr>
          <w:ilvl w:val="0"/>
          <w:numId w:val="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FIRMA, SITZ, DAUER UND ZWECK DER GESELLSCHAFT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1</w:t>
      </w:r>
      <w:r>
        <w:rPr>
          <w:sz w:val="20"/>
          <w:szCs w:val="20"/>
          <w:color w:val="auto"/>
        </w:rPr>
        <w:tab/>
      </w:r>
      <w:r>
        <w:rPr>
          <w:rFonts w:ascii="Verdana" w:cs="Verdana" w:eastAsia="Verdana" w:hAnsi="Verdana"/>
          <w:sz w:val="17"/>
          <w:szCs w:val="17"/>
          <w:b w:val="1"/>
          <w:bCs w:val="1"/>
          <w:color w:val="auto"/>
        </w:rPr>
        <w:t>Firma, Sitz und Dauer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Verdana" w:cs="Verdana" w:eastAsia="Verdana" w:hAnsi="Verdana"/>
          <w:sz w:val="18"/>
          <w:szCs w:val="18"/>
          <w:color w:val="auto"/>
        </w:rPr>
        <w:t>Unter der Firma</w:t>
      </w:r>
    </w:p>
    <w:p>
      <w:pPr>
        <w:spacing w:after="0" w:line="102" w:lineRule="exact"/>
        <w:rPr>
          <w:sz w:val="20"/>
          <w:szCs w:val="20"/>
          <w:color w:val="auto"/>
        </w:rPr>
      </w:pPr>
    </w:p>
    <w:p>
      <w:pPr>
        <w:ind w:left="1160"/>
        <w:spacing w:after="0"/>
        <w:rPr>
          <w:sz w:val="20"/>
          <w:szCs w:val="20"/>
          <w:color w:val="auto"/>
        </w:rPr>
      </w:pPr>
      <w:r>
        <w:rPr>
          <w:rFonts w:ascii="Verdana" w:cs="Verdana" w:eastAsia="Verdana" w:hAnsi="Verdana"/>
          <w:sz w:val="18"/>
          <w:szCs w:val="18"/>
          <w:color w:val="auto"/>
        </w:rPr>
        <w:t>CRISPR Therapeutics AG</w:t>
      </w:r>
    </w:p>
    <w:p>
      <w:pPr>
        <w:ind w:left="1120"/>
        <w:spacing w:after="0" w:line="236" w:lineRule="auto"/>
        <w:rPr>
          <w:sz w:val="20"/>
          <w:szCs w:val="20"/>
          <w:color w:val="auto"/>
        </w:rPr>
      </w:pPr>
      <w:r>
        <w:rPr>
          <w:rFonts w:ascii="Verdana" w:cs="Verdana" w:eastAsia="Verdana" w:hAnsi="Verdana"/>
          <w:sz w:val="18"/>
          <w:szCs w:val="18"/>
          <w:color w:val="auto"/>
        </w:rPr>
        <w:t>(CRISPR Therapeutics SA)</w:t>
      </w:r>
    </w:p>
    <w:p>
      <w:pPr>
        <w:spacing w:after="0" w:line="1" w:lineRule="exact"/>
        <w:rPr>
          <w:sz w:val="20"/>
          <w:szCs w:val="20"/>
          <w:color w:val="auto"/>
        </w:rPr>
      </w:pPr>
    </w:p>
    <w:p>
      <w:pPr>
        <w:ind w:left="1100"/>
        <w:spacing w:after="0"/>
        <w:rPr>
          <w:sz w:val="20"/>
          <w:szCs w:val="20"/>
          <w:color w:val="auto"/>
        </w:rPr>
      </w:pPr>
      <w:r>
        <w:rPr>
          <w:rFonts w:ascii="Verdana" w:cs="Verdana" w:eastAsia="Verdana" w:hAnsi="Verdana"/>
          <w:sz w:val="18"/>
          <w:szCs w:val="18"/>
          <w:color w:val="auto"/>
        </w:rPr>
        <w:t>(CRISPR Therapeutics Ltd)</w:t>
      </w:r>
    </w:p>
    <w:p>
      <w:pPr>
        <w:spacing w:after="0" w:line="213" w:lineRule="exact"/>
        <w:rPr>
          <w:sz w:val="20"/>
          <w:szCs w:val="20"/>
          <w:color w:val="auto"/>
        </w:rPr>
      </w:pPr>
    </w:p>
    <w:p>
      <w:pPr>
        <w:jc w:val="both"/>
        <w:ind w:right="100"/>
        <w:spacing w:after="0" w:line="245" w:lineRule="auto"/>
        <w:rPr>
          <w:sz w:val="20"/>
          <w:szCs w:val="20"/>
          <w:color w:val="auto"/>
        </w:rPr>
      </w:pPr>
      <w:r>
        <w:rPr>
          <w:rFonts w:ascii="Verdana" w:cs="Verdana" w:eastAsia="Verdana" w:hAnsi="Verdana"/>
          <w:sz w:val="18"/>
          <w:szCs w:val="18"/>
          <w:color w:val="auto"/>
        </w:rPr>
        <w:t>besteht für unbeschränkte Dauer eine Aktiengesellschaft gemäss Art. 620 ff. OR mit Sitz in Zug.</w:t>
      </w:r>
    </w:p>
    <w:p>
      <w:pPr>
        <w:spacing w:after="0" w:line="200" w:lineRule="exact"/>
        <w:rPr>
          <w:sz w:val="20"/>
          <w:szCs w:val="20"/>
          <w:color w:val="auto"/>
        </w:rPr>
      </w:pPr>
    </w:p>
    <w:p>
      <w:pPr>
        <w:spacing w:after="0" w:line="210"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w:t>
      </w:r>
      <w:r>
        <w:rPr>
          <w:sz w:val="20"/>
          <w:szCs w:val="20"/>
          <w:color w:val="auto"/>
        </w:rPr>
        <w:tab/>
      </w:r>
      <w:r>
        <w:rPr>
          <w:rFonts w:ascii="Verdana" w:cs="Verdana" w:eastAsia="Verdana" w:hAnsi="Verdana"/>
          <w:sz w:val="17"/>
          <w:szCs w:val="17"/>
          <w:b w:val="1"/>
          <w:bCs w:val="1"/>
          <w:color w:val="auto"/>
        </w:rPr>
        <w:t>Zweck</w:t>
      </w:r>
    </w:p>
    <w:p>
      <w:pPr>
        <w:spacing w:after="0" w:line="210" w:lineRule="exact"/>
        <w:rPr>
          <w:sz w:val="20"/>
          <w:szCs w:val="20"/>
          <w:color w:val="auto"/>
        </w:rPr>
      </w:pPr>
    </w:p>
    <w:p>
      <w:pPr>
        <w:spacing w:after="0"/>
        <w:tabs>
          <w:tab w:leader="none" w:pos="440" w:val="left"/>
          <w:tab w:leader="none" w:pos="1700" w:val="left"/>
          <w:tab w:leader="none" w:pos="2720" w:val="left"/>
          <w:tab w:leader="none" w:pos="3140" w:val="left"/>
          <w:tab w:leader="none" w:pos="4240" w:val="left"/>
        </w:tabs>
        <w:rPr>
          <w:sz w:val="20"/>
          <w:szCs w:val="20"/>
          <w:color w:val="auto"/>
        </w:rPr>
      </w:pPr>
      <w:r>
        <w:rPr>
          <w:rFonts w:ascii="Verdana" w:cs="Verdana" w:eastAsia="Verdana" w:hAnsi="Verdana"/>
          <w:sz w:val="18"/>
          <w:szCs w:val="18"/>
          <w:color w:val="auto"/>
        </w:rPr>
        <w:t>Die</w:t>
        <w:tab/>
        <w:t>Gesellschaft</w:t>
        <w:tab/>
        <w:t>bezweckt</w:t>
        <w:tab/>
        <w:t>die</w:t>
        <w:tab/>
        <w:t>Forschung</w:t>
      </w:r>
      <w:r>
        <w:rPr>
          <w:sz w:val="20"/>
          <w:szCs w:val="20"/>
          <w:color w:val="auto"/>
        </w:rPr>
        <w:tab/>
      </w:r>
      <w:r>
        <w:rPr>
          <w:rFonts w:ascii="Verdana" w:cs="Verdana" w:eastAsia="Verdana" w:hAnsi="Verdana"/>
          <w:sz w:val="17"/>
          <w:szCs w:val="17"/>
          <w:color w:val="auto"/>
        </w:rPr>
        <w:t>und</w:t>
      </w:r>
    </w:p>
    <w:p>
      <w:pPr>
        <w:jc w:val="both"/>
        <w:ind w:right="100"/>
        <w:spacing w:after="0" w:line="241" w:lineRule="auto"/>
        <w:rPr>
          <w:sz w:val="20"/>
          <w:szCs w:val="20"/>
          <w:color w:val="auto"/>
        </w:rPr>
      </w:pPr>
      <w:r>
        <w:rPr>
          <w:rFonts w:ascii="Verdana" w:cs="Verdana" w:eastAsia="Verdana" w:hAnsi="Verdana"/>
          <w:sz w:val="18"/>
          <w:szCs w:val="18"/>
          <w:color w:val="auto"/>
        </w:rPr>
        <w:t>Entwicklung auf dem Gebiet von pharmazeutischen Produkten, einschliesslich biologischen und biotechnologischen Produkten, sowie die Herstellung und Kommerzialisierung derartiger Produkte.</w:t>
      </w:r>
    </w:p>
    <w:p>
      <w:pPr>
        <w:spacing w:after="0" w:line="198" w:lineRule="exact"/>
        <w:rPr>
          <w:sz w:val="20"/>
          <w:szCs w:val="20"/>
          <w:color w:val="auto"/>
        </w:rPr>
      </w:pPr>
    </w:p>
    <w:p>
      <w:pPr>
        <w:jc w:val="both"/>
        <w:ind w:right="100"/>
        <w:spacing w:after="0" w:line="242" w:lineRule="auto"/>
        <w:rPr>
          <w:sz w:val="20"/>
          <w:szCs w:val="20"/>
          <w:color w:val="auto"/>
        </w:rPr>
      </w:pPr>
      <w:r>
        <w:rPr>
          <w:rFonts w:ascii="Verdana" w:cs="Verdana" w:eastAsia="Verdana" w:hAnsi="Verdana"/>
          <w:sz w:val="18"/>
          <w:szCs w:val="18"/>
          <w:color w:val="auto"/>
        </w:rPr>
        <w:t>Die Gesellschaft kann Patente, Urheberrechte, Marken und andere Immaterialgüterrechte sowie Lizenzen jeder Art erwerben, halten und veräussern.</w:t>
      </w:r>
    </w:p>
    <w:p>
      <w:pPr>
        <w:spacing w:after="0" w:line="198" w:lineRule="exact"/>
        <w:rPr>
          <w:sz w:val="20"/>
          <w:szCs w:val="20"/>
          <w:color w:val="auto"/>
        </w:rPr>
      </w:pPr>
    </w:p>
    <w:p>
      <w:pPr>
        <w:jc w:val="both"/>
        <w:ind w:right="100"/>
        <w:spacing w:after="0" w:line="242" w:lineRule="auto"/>
        <w:rPr>
          <w:sz w:val="20"/>
          <w:szCs w:val="20"/>
          <w:color w:val="auto"/>
        </w:rPr>
      </w:pPr>
      <w:r>
        <w:rPr>
          <w:rFonts w:ascii="Verdana" w:cs="Verdana" w:eastAsia="Verdana" w:hAnsi="Verdana"/>
          <w:sz w:val="18"/>
          <w:szCs w:val="18"/>
          <w:color w:val="auto"/>
        </w:rPr>
        <w:t>Die Gesellschaft kann alle kommerziellen, finanziellen und anderen Tätigkeiten ausüben, welche mit dem Zweck der Gesellschaft direkt oder indirekt im Zusammenhang stehen.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382270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480" w:space="440"/>
            <w:col w:w="4700"/>
          </w:cols>
          <w:pgMar w:left="1180" w:top="387" w:right="1099" w:bottom="1440" w:gutter="0" w:footer="0" w:header="0"/>
        </w:sectPr>
      </w:pPr>
    </w:p>
    <w:bookmarkStart w:id="8" w:name="page9"/>
    <w:bookmarkEnd w:id="8"/>
    <w:p>
      <w:pPr>
        <w:spacing w:after="0" w:line="3"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Company may in particular place emphasis on creating long-term and sustainable value in the Company and companies controlled by the Company. The Company may purchase, hold and sell shares or interests in other companies in Switzerland or abroad. It may establish and maintain branches and subsidiaries in Switzerland and abroad.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80"/>
        <w:spacing w:after="0" w:line="254" w:lineRule="auto"/>
        <w:rPr>
          <w:sz w:val="20"/>
          <w:szCs w:val="20"/>
          <w:color w:val="auto"/>
        </w:rPr>
      </w:pPr>
      <w:r>
        <w:rPr>
          <w:rFonts w:ascii="Verdana" w:cs="Verdana" w:eastAsia="Verdana" w:hAnsi="Verdana"/>
          <w:sz w:val="18"/>
          <w:szCs w:val="18"/>
          <w:color w:val="auto"/>
        </w:rPr>
        <w:t>The Company may purchase, hold and sell real estate and carry out other investments.</w:t>
      </w:r>
    </w:p>
    <w:p>
      <w:pPr>
        <w:spacing w:after="0" w:line="200" w:lineRule="exact"/>
        <w:rPr>
          <w:sz w:val="20"/>
          <w:szCs w:val="20"/>
          <w:color w:val="auto"/>
        </w:rPr>
      </w:pPr>
    </w:p>
    <w:p>
      <w:pPr>
        <w:spacing w:after="0" w:line="201"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The Company may grant loans and other direct or indirect financing to companies controlled by or controlling the Company and provide collateral of all types for their liabilities, including by way of liens on or fiduciary transfer of assets of the Company or by way of guarantees of any type, whether for consideration or not.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hanging="499"/>
        <w:spacing w:after="0"/>
        <w:tabs>
          <w:tab w:leader="none" w:pos="500" w:val="left"/>
        </w:tabs>
        <w:numPr>
          <w:ilvl w:val="0"/>
          <w:numId w:val="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SHARE CAPITAL AND SHARES</w:t>
      </w: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w:t>
      </w:r>
      <w:r>
        <w:rPr>
          <w:sz w:val="20"/>
          <w:szCs w:val="20"/>
          <w:color w:val="auto"/>
        </w:rPr>
        <w:tab/>
      </w:r>
      <w:r>
        <w:rPr>
          <w:rFonts w:ascii="Verdana" w:cs="Verdana" w:eastAsia="Verdana" w:hAnsi="Verdana"/>
          <w:sz w:val="18"/>
          <w:szCs w:val="18"/>
          <w:b w:val="1"/>
          <w:bCs w:val="1"/>
          <w:color w:val="auto"/>
        </w:rPr>
        <w:t>Share Capital and Shares</w:t>
      </w:r>
    </w:p>
    <w:p>
      <w:pPr>
        <w:spacing w:after="0" w:line="213" w:lineRule="exact"/>
        <w:rPr>
          <w:sz w:val="20"/>
          <w:szCs w:val="20"/>
          <w:color w:val="auto"/>
        </w:rPr>
      </w:pPr>
    </w:p>
    <w:p>
      <w:pPr>
        <w:jc w:val="both"/>
        <w:ind w:right="400"/>
        <w:spacing w:after="0" w:line="242" w:lineRule="auto"/>
        <w:rPr>
          <w:sz w:val="20"/>
          <w:szCs w:val="20"/>
          <w:color w:val="auto"/>
        </w:rPr>
      </w:pPr>
      <w:r>
        <w:rPr>
          <w:rFonts w:ascii="Verdana" w:cs="Verdana" w:eastAsia="Verdana" w:hAnsi="Verdana"/>
          <w:sz w:val="18"/>
          <w:szCs w:val="18"/>
          <w:color w:val="auto"/>
        </w:rPr>
        <w:t>The share capital of the Company is CHF 2,957,983.32 and is fully paid in. It is divided into 98,599,444 registered shares with a nominal value of CHF 0.03 each.</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3a</w:t>
        <w:tab/>
        <w:t>Capital Band</w:t>
      </w:r>
    </w:p>
    <w:p>
      <w:pPr>
        <w:spacing w:after="0" w:line="213" w:lineRule="exact"/>
        <w:rPr>
          <w:sz w:val="20"/>
          <w:szCs w:val="20"/>
          <w:color w:val="auto"/>
        </w:rPr>
      </w:pPr>
    </w:p>
    <w:p>
      <w:pPr>
        <w:jc w:val="both"/>
        <w:ind w:right="380"/>
        <w:spacing w:after="0" w:line="238" w:lineRule="auto"/>
        <w:rPr>
          <w:sz w:val="20"/>
          <w:szCs w:val="20"/>
          <w:color w:val="auto"/>
        </w:rPr>
      </w:pPr>
      <w:r>
        <w:rPr>
          <w:rFonts w:ascii="Verdana" w:cs="Verdana" w:eastAsia="Verdana" w:hAnsi="Verdana"/>
          <w:sz w:val="18"/>
          <w:szCs w:val="18"/>
          <w:color w:val="auto"/>
        </w:rPr>
        <w:t>The Board of Directors is authorized to conduct one or more increases of the share capital at any time until June 8, 2028, or the expiry of the capital band if earlier, up to an upper limit of CHF 3,521,838.51 by issuing a corresponding number of registered shares with a nominal value of CHF 0.03 each to be fully paid in. An increase of the share capital by means of an offering underwritten by a financial institution, a syndicate or another third party or third parties, followed by an offer to the then-existing shareholders of the Company shall also be permissible.</w:t>
      </w:r>
    </w:p>
    <w:p>
      <w:pPr>
        <w:spacing w:after="0" w:line="20" w:lineRule="exact"/>
        <w:rPr>
          <w:sz w:val="20"/>
          <w:szCs w:val="20"/>
          <w:color w:val="auto"/>
        </w:rPr>
      </w:pPr>
      <w:r>
        <w:rPr>
          <w:sz w:val="20"/>
          <w:szCs w:val="20"/>
          <w:color w:val="auto"/>
        </w:rPr>
        <w:br w:type="column"/>
      </w:r>
    </w:p>
    <w:p>
      <w:pPr>
        <w:spacing w:after="0"/>
        <w:tabs>
          <w:tab w:leader="none" w:pos="1260" w:val="left"/>
          <w:tab w:leader="none" w:pos="1900" w:val="left"/>
          <w:tab w:leader="none" w:pos="2580" w:val="left"/>
          <w:tab w:leader="none" w:pos="3960" w:val="left"/>
        </w:tabs>
        <w:rPr>
          <w:sz w:val="20"/>
          <w:szCs w:val="20"/>
          <w:color w:val="auto"/>
        </w:rPr>
      </w:pPr>
      <w:r>
        <w:rPr>
          <w:rFonts w:ascii="Verdana" w:cs="Verdana" w:eastAsia="Verdana" w:hAnsi="Verdana"/>
          <w:sz w:val="18"/>
          <w:szCs w:val="18"/>
          <w:color w:val="auto"/>
        </w:rPr>
        <w:t>Gesellschaft</w:t>
        <w:tab/>
        <w:t>kann</w:t>
        <w:tab/>
        <w:t>dabei</w:t>
        <w:tab/>
        <w:t>insbesondere</w:t>
        <w:tab/>
        <w:t>die</w:t>
      </w:r>
    </w:p>
    <w:p>
      <w:pPr>
        <w:spacing w:after="0" w:line="236" w:lineRule="auto"/>
        <w:rPr>
          <w:sz w:val="20"/>
          <w:szCs w:val="20"/>
          <w:color w:val="auto"/>
        </w:rPr>
      </w:pPr>
      <w:r>
        <w:rPr>
          <w:rFonts w:ascii="Verdana" w:cs="Verdana" w:eastAsia="Verdana" w:hAnsi="Verdana"/>
          <w:sz w:val="18"/>
          <w:szCs w:val="18"/>
          <w:color w:val="auto"/>
        </w:rPr>
        <w:t>Schaffung von langfristigem und nachhaltigem</w:t>
      </w:r>
    </w:p>
    <w:p>
      <w:pPr>
        <w:spacing w:after="0" w:line="237" w:lineRule="auto"/>
        <w:rPr>
          <w:sz w:val="20"/>
          <w:szCs w:val="20"/>
          <w:color w:val="auto"/>
        </w:rPr>
      </w:pPr>
      <w:r>
        <w:rPr>
          <w:rFonts w:ascii="Verdana" w:cs="Verdana" w:eastAsia="Verdana" w:hAnsi="Verdana"/>
          <w:sz w:val="18"/>
          <w:szCs w:val="18"/>
          <w:color w:val="auto"/>
        </w:rPr>
        <w:t>Wert durch die Gesellschaft und durch die von</w:t>
      </w:r>
    </w:p>
    <w:p>
      <w:pPr>
        <w:spacing w:after="0" w:line="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ihr kontrollierten Unternehmen berücksichtigen. Die Gesellschaft kann Beteiligungen an anderen Unternehmen im In-und Ausland erwerben, halten und veräussern. Sie kann Zweigniederlassungen und Tochtergesellschaften im In- und Ausland errichten.</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color w:val="auto"/>
        </w:rPr>
        <w:t>Die Gesellschaft kann Grundstücke erwerben,</w:t>
      </w:r>
    </w:p>
    <w:p>
      <w:pPr>
        <w:jc w:val="both"/>
        <w:spacing w:after="0" w:line="254" w:lineRule="auto"/>
        <w:rPr>
          <w:sz w:val="20"/>
          <w:szCs w:val="20"/>
          <w:color w:val="auto"/>
        </w:rPr>
      </w:pPr>
      <w:r>
        <w:rPr>
          <w:rFonts w:ascii="Verdana" w:cs="Verdana" w:eastAsia="Verdana" w:hAnsi="Verdana"/>
          <w:sz w:val="18"/>
          <w:szCs w:val="18"/>
          <w:color w:val="auto"/>
        </w:rPr>
        <w:t>verwalten und veräussern sowie Vermögensanlagen anderer Art tätigen.</w:t>
      </w:r>
    </w:p>
    <w:p>
      <w:pPr>
        <w:spacing w:after="0" w:line="185" w:lineRule="exact"/>
        <w:rPr>
          <w:sz w:val="20"/>
          <w:szCs w:val="20"/>
          <w:color w:val="auto"/>
        </w:rPr>
      </w:pPr>
    </w:p>
    <w:p>
      <w:pPr>
        <w:jc w:val="both"/>
        <w:spacing w:after="0" w:line="255" w:lineRule="auto"/>
        <w:rPr>
          <w:sz w:val="20"/>
          <w:szCs w:val="20"/>
          <w:color w:val="auto"/>
        </w:rPr>
      </w:pPr>
      <w:r>
        <w:rPr>
          <w:rFonts w:ascii="Verdana" w:cs="Verdana" w:eastAsia="Verdana" w:hAnsi="Verdana"/>
          <w:sz w:val="17"/>
          <w:szCs w:val="17"/>
          <w:color w:val="auto"/>
        </w:rPr>
        <w:t>Die Gesellschaft kann den von ihr kontrollierten und die sie kontrollierenden Gesellschaften Darlehen und andere direkte oder indirekte Finanzierungen gewähren und für deren Verbindlichkeiten Sicherheiten aller Art stellen, einschliesslich mittels Pfandrechten an oder fiduziarischen Übereignungen von Aktiven der Gesellschaft oder Garantien jedwelcher Art, ob entgeltlich oder nicht.</w:t>
      </w:r>
    </w:p>
    <w:p>
      <w:pPr>
        <w:spacing w:after="0" w:line="400" w:lineRule="exact"/>
        <w:rPr>
          <w:sz w:val="20"/>
          <w:szCs w:val="20"/>
          <w:color w:val="auto"/>
        </w:rPr>
      </w:pPr>
    </w:p>
    <w:p>
      <w:pPr>
        <w:ind w:left="500" w:hanging="494"/>
        <w:spacing w:after="0"/>
        <w:tabs>
          <w:tab w:leader="none" w:pos="500" w:val="left"/>
        </w:tabs>
        <w:numPr>
          <w:ilvl w:val="0"/>
          <w:numId w:val="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AKTIENKAPITAL UND AKTIEN</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w:t>
      </w:r>
      <w:r>
        <w:rPr>
          <w:sz w:val="20"/>
          <w:szCs w:val="20"/>
          <w:color w:val="auto"/>
        </w:rPr>
        <w:tab/>
      </w:r>
      <w:r>
        <w:rPr>
          <w:rFonts w:ascii="Verdana" w:cs="Verdana" w:eastAsia="Verdana" w:hAnsi="Verdana"/>
          <w:sz w:val="17"/>
          <w:szCs w:val="17"/>
          <w:b w:val="1"/>
          <w:bCs w:val="1"/>
          <w:color w:val="auto"/>
        </w:rPr>
        <w:t>Aktienkapital und Aktien</w:t>
      </w:r>
    </w:p>
    <w:p>
      <w:pPr>
        <w:spacing w:after="0" w:line="21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Das Aktienkapital der Gesellschaft beträgt CHF 2'957'983.32 und ist voll liberiert. Es ist in 98'599'444 Namenaktien mit einem Nennwert von je CHF 0.03 eingeteilt.</w:t>
      </w:r>
    </w:p>
    <w:p>
      <w:pPr>
        <w:spacing w:after="0" w:line="198"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3a</w:t>
      </w:r>
      <w:r>
        <w:rPr>
          <w:sz w:val="20"/>
          <w:szCs w:val="20"/>
          <w:color w:val="auto"/>
        </w:rPr>
        <w:tab/>
      </w:r>
      <w:r>
        <w:rPr>
          <w:rFonts w:ascii="Verdana" w:cs="Verdana" w:eastAsia="Verdana" w:hAnsi="Verdana"/>
          <w:sz w:val="17"/>
          <w:szCs w:val="17"/>
          <w:b w:val="1"/>
          <w:bCs w:val="1"/>
          <w:color w:val="auto"/>
        </w:rPr>
        <w:t>Kapitalband</w:t>
      </w:r>
    </w:p>
    <w:p>
      <w:pPr>
        <w:spacing w:after="0" w:line="21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Der Verwaltungsrat ist ermächtigt, das Aktienkapital jederzeit bis zum 8. Juni 2028 oder dem früheren Dahinfallen des Kapitalbands einmal oder mehrmals bis zur Obergrenze von CHF 3'521'838.51 durch Ausgabe einer entsprechenden Anzahl vollständig zu liberierenden Namenaktien mit einem Nennwert von je CHF 0.03 zu erhöhen. Eine Erhöhung des Aktienkapitals durch die Zeichnung von Aktien aufgrund eines von einem Finanzinstitut, eines Verbandes, einer anderen Drittpartei oder Drittparteien unter-zeichneten Angebots, gefolgt von einem Angebot gegenüber den zu diesem Zeitpunkt bestehenden Aktionären der Gesellschaft ist zulässig.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452755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644" w:right="1199" w:bottom="1440" w:gutter="0" w:footer="0" w:header="0"/>
        </w:sectPr>
      </w:pPr>
    </w:p>
    <w:bookmarkStart w:id="9" w:name="page10"/>
    <w:bookmarkEnd w:id="9"/>
    <w:p>
      <w:pPr>
        <w:jc w:val="both"/>
        <w:spacing w:after="0" w:line="237" w:lineRule="auto"/>
        <w:rPr>
          <w:sz w:val="20"/>
          <w:szCs w:val="20"/>
          <w:color w:val="auto"/>
        </w:rPr>
      </w:pPr>
      <w:r>
        <w:rPr>
          <w:rFonts w:ascii="Verdana" w:cs="Verdana" w:eastAsia="Verdana" w:hAnsi="Verdana"/>
          <w:sz w:val="18"/>
          <w:szCs w:val="18"/>
          <w:color w:val="auto"/>
        </w:rPr>
        <w:t>The Board of Directors shall determine the number of shares, the time of the issuance, the issue price, the manner in which the new registered shares have to be paid in (including cash contributions, contributions in kind, set-off and conversion of freely usable reserves (including retained earnings) into share capital), the date from which the registered shares carry the right to dividends, the conditions for the exercise of the subscription rights and the allotment of subscription rights that have not been exercised or withdrawn. The Board of Directors is authorized to restrict or to prohibit the trading of subscription rights to the new shares. The Board of Directors may allow subscription rights that have not been exercised to expire, or it may place with third parties such rights or registered shares, the subscription rights of which have not been exercised, at market conditions or use them otherwise in the interest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The Board of Directors is authorized to withdraw or limit the subscription rights of the shareholders and to allot them to third parties:</w:t>
      </w:r>
    </w:p>
    <w:p>
      <w:pPr>
        <w:spacing w:after="0" w:line="194" w:lineRule="exact"/>
        <w:rPr>
          <w:sz w:val="20"/>
          <w:szCs w:val="20"/>
          <w:color w:val="auto"/>
        </w:rPr>
      </w:pPr>
    </w:p>
    <w:p>
      <w:pPr>
        <w:jc w:val="both"/>
        <w:ind w:left="380" w:right="20" w:hanging="379"/>
        <w:spacing w:after="0" w:line="245" w:lineRule="auto"/>
        <w:tabs>
          <w:tab w:leader="none" w:pos="380" w:val="left"/>
        </w:tabs>
        <w:numPr>
          <w:ilvl w:val="0"/>
          <w:numId w:val="7"/>
        </w:numPr>
        <w:rPr>
          <w:rFonts w:ascii="Times New Roman" w:cs="Times New Roman" w:eastAsia="Times New Roman" w:hAnsi="Times New Roman"/>
          <w:sz w:val="18"/>
          <w:szCs w:val="18"/>
          <w:color w:val="auto"/>
        </w:rPr>
      </w:pPr>
      <w:r>
        <w:rPr>
          <w:rFonts w:ascii="Verdana" w:cs="Verdana" w:eastAsia="Verdana" w:hAnsi="Verdana"/>
          <w:sz w:val="18"/>
          <w:szCs w:val="18"/>
          <w:color w:val="auto"/>
        </w:rPr>
        <w:t>if the issue price of the new registered shares is determined by reference to the market price; or</w:t>
      </w:r>
    </w:p>
    <w:p>
      <w:pPr>
        <w:spacing w:after="0" w:line="192" w:lineRule="exact"/>
        <w:rPr>
          <w:rFonts w:ascii="Times New Roman" w:cs="Times New Roman" w:eastAsia="Times New Roman" w:hAnsi="Times New Roman"/>
          <w:sz w:val="18"/>
          <w:szCs w:val="18"/>
          <w:color w:val="auto"/>
        </w:rPr>
      </w:pPr>
    </w:p>
    <w:p>
      <w:pPr>
        <w:jc w:val="both"/>
        <w:ind w:left="380" w:hanging="379"/>
        <w:spacing w:after="0"/>
        <w:tabs>
          <w:tab w:leader="none" w:pos="380" w:val="left"/>
        </w:tabs>
        <w:numPr>
          <w:ilvl w:val="0"/>
          <w:numId w:val="7"/>
        </w:numPr>
        <w:rPr>
          <w:rFonts w:ascii="Times New Roman" w:cs="Times New Roman" w:eastAsia="Times New Roman" w:hAnsi="Times New Roman"/>
          <w:sz w:val="18"/>
          <w:szCs w:val="18"/>
          <w:color w:val="auto"/>
        </w:rPr>
      </w:pPr>
      <w:r>
        <w:rPr>
          <w:rFonts w:ascii="Verdana" w:cs="Verdana" w:eastAsia="Verdana" w:hAnsi="Verdana"/>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198" w:lineRule="exact"/>
        <w:rPr>
          <w:rFonts w:ascii="Times New Roman" w:cs="Times New Roman" w:eastAsia="Times New Roman" w:hAnsi="Times New Roman"/>
          <w:sz w:val="18"/>
          <w:szCs w:val="18"/>
          <w:color w:val="auto"/>
        </w:rPr>
      </w:pPr>
    </w:p>
    <w:p>
      <w:pPr>
        <w:jc w:val="both"/>
        <w:ind w:left="380" w:right="20" w:hanging="379"/>
        <w:spacing w:after="0" w:line="239" w:lineRule="auto"/>
        <w:tabs>
          <w:tab w:leader="none" w:pos="380" w:val="left"/>
        </w:tabs>
        <w:numPr>
          <w:ilvl w:val="0"/>
          <w:numId w:val="7"/>
        </w:numPr>
        <w:rPr>
          <w:rFonts w:ascii="Times New Roman" w:cs="Times New Roman" w:eastAsia="Times New Roman" w:hAnsi="Times New Roman"/>
          <w:sz w:val="18"/>
          <w:szCs w:val="18"/>
          <w:color w:val="auto"/>
        </w:rPr>
      </w:pPr>
      <w:r>
        <w:rPr>
          <w:rFonts w:ascii="Verdana" w:cs="Verdana" w:eastAsia="Verdana" w:hAnsi="Verdana"/>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jc w:val="both"/>
        <w:ind w:left="380" w:right="20" w:hanging="379"/>
        <w:spacing w:after="0" w:line="242" w:lineRule="auto"/>
        <w:tabs>
          <w:tab w:leader="none" w:pos="380" w:val="left"/>
        </w:tabs>
        <w:numPr>
          <w:ilvl w:val="0"/>
          <w:numId w:val="7"/>
        </w:numPr>
        <w:rPr>
          <w:rFonts w:ascii="Times New Roman" w:cs="Times New Roman" w:eastAsia="Times New Roman" w:hAnsi="Times New Roman"/>
          <w:sz w:val="18"/>
          <w:szCs w:val="18"/>
          <w:color w:val="auto"/>
        </w:rPr>
      </w:pPr>
      <w:r>
        <w:rPr>
          <w:rFonts w:ascii="Verdana" w:cs="Verdana" w:eastAsia="Verdana" w:hAnsi="Verdana"/>
          <w:sz w:val="18"/>
          <w:szCs w:val="18"/>
          <w:color w:val="auto"/>
        </w:rPr>
        <w:t>for purposes of granting an over-allotment option (Greenshoe) of up to 20% of the total number of registered shares in a placement or sale of registered shares to the respective</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Verdana" w:cs="Verdana" w:eastAsia="Verdana" w:hAnsi="Verdana"/>
          <w:sz w:val="18"/>
          <w:szCs w:val="18"/>
          <w:color w:val="auto"/>
        </w:rPr>
        <w:t>Der Verwaltungsrat soll die Anzahl auszugebender Aktien, den Ausgabezeitpunkt, den Bezugspreis, die Art und Weise der Liberierung, das Datum, ab welchem die Aktien zum Bezug einer Dividende berechtigen, die Bedingungen zur Ausübung der Bezugsrechte sowie die Zuteilung nicht ausgeübter oder entzogener Bezugsrechte festlegen. Betreffend die Art der zu leistenden Einlagen ist der Verwaltungsrat namentlich ermächtigt, eine Kapitalerhöhung durch</w:t>
      </w:r>
    </w:p>
    <w:p>
      <w:pPr>
        <w:spacing w:after="0" w:line="9"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Barliberierung, Sacheinlage, Verrechnungsliberierung, Umwandlung von frei</w:t>
      </w:r>
    </w:p>
    <w:p>
      <w:pPr>
        <w:spacing w:after="0" w:line="2"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verwendbaren Reserven (einschliesslich Gewinnvortrag) in Aktienkapital vorzunehmen. Der Verwaltungsrat kann den Bezugsrechtshandel betreffend die neu auszugebenden Aktien</w:t>
      </w:r>
    </w:p>
    <w:p>
      <w:pPr>
        <w:spacing w:after="0" w:line="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einschränken oder aufzuheben. Der Verwaltungsrat kann bestimmen, dass nicht ausgeübte Bezugsrechte verfallen, oder er kann Drittparteien solche Rechte oder Aktien, für welche die Bezugsrechte nicht ausgeübt wurden, zu Marktbedingungen zuteilen oder sie sonst im Interesse der Gesellschaft verwenden.</w:t>
      </w:r>
    </w:p>
    <w:p>
      <w:pPr>
        <w:spacing w:after="0" w:line="200" w:lineRule="exact"/>
        <w:rPr>
          <w:sz w:val="20"/>
          <w:szCs w:val="20"/>
          <w:color w:val="auto"/>
        </w:rPr>
      </w:pPr>
    </w:p>
    <w:p>
      <w:pPr>
        <w:spacing w:after="0"/>
        <w:tabs>
          <w:tab w:leader="none" w:pos="640" w:val="left"/>
          <w:tab w:leader="none" w:pos="2340" w:val="left"/>
          <w:tab w:leader="none" w:pos="2880" w:val="left"/>
          <w:tab w:leader="none" w:pos="4260" w:val="left"/>
        </w:tabs>
        <w:rPr>
          <w:sz w:val="20"/>
          <w:szCs w:val="20"/>
          <w:color w:val="auto"/>
        </w:rPr>
      </w:pPr>
      <w:r>
        <w:rPr>
          <w:rFonts w:ascii="Verdana" w:cs="Verdana" w:eastAsia="Verdana" w:hAnsi="Verdana"/>
          <w:sz w:val="18"/>
          <w:szCs w:val="18"/>
          <w:color w:val="auto"/>
        </w:rPr>
        <w:t>Der</w:t>
        <w:tab/>
        <w:t>Verwaltungsrat</w:t>
        <w:tab/>
        <w:t>ist</w:t>
        <w:tab/>
        <w:t>ermächtigt,</w:t>
        <w:tab/>
        <w:t>das</w:t>
      </w:r>
    </w:p>
    <w:p>
      <w:pPr>
        <w:spacing w:after="0" w:line="236" w:lineRule="auto"/>
        <w:rPr>
          <w:sz w:val="20"/>
          <w:szCs w:val="20"/>
          <w:color w:val="auto"/>
        </w:rPr>
      </w:pPr>
      <w:r>
        <w:rPr>
          <w:rFonts w:ascii="Verdana" w:cs="Verdana" w:eastAsia="Verdana" w:hAnsi="Verdana"/>
          <w:sz w:val="18"/>
          <w:szCs w:val="18"/>
          <w:color w:val="auto"/>
        </w:rPr>
        <w:t>Bezugsrecht der Aktionäre auszuschliessen oder</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Dritten zuzuteilen:</w:t>
      </w:r>
    </w:p>
    <w:p>
      <w:pPr>
        <w:spacing w:after="0" w:line="213" w:lineRule="exact"/>
        <w:rPr>
          <w:sz w:val="20"/>
          <w:szCs w:val="20"/>
          <w:color w:val="auto"/>
        </w:rPr>
      </w:pPr>
    </w:p>
    <w:p>
      <w:pPr>
        <w:jc w:val="both"/>
        <w:ind w:left="380" w:hanging="371"/>
        <w:spacing w:after="0" w:line="253" w:lineRule="auto"/>
        <w:tabs>
          <w:tab w:leader="none" w:pos="380" w:val="left"/>
        </w:tabs>
        <w:numPr>
          <w:ilvl w:val="0"/>
          <w:numId w:val="8"/>
        </w:numPr>
        <w:rPr>
          <w:rFonts w:ascii="Times New Roman" w:cs="Times New Roman" w:eastAsia="Times New Roman" w:hAnsi="Times New Roman"/>
          <w:sz w:val="18"/>
          <w:szCs w:val="18"/>
          <w:color w:val="auto"/>
        </w:rPr>
      </w:pPr>
      <w:r>
        <w:rPr>
          <w:rFonts w:ascii="Verdana" w:cs="Verdana" w:eastAsia="Verdana" w:hAnsi="Verdana"/>
          <w:sz w:val="18"/>
          <w:szCs w:val="18"/>
          <w:color w:val="auto"/>
        </w:rPr>
        <w:t>falls der Ausgabepreis der neuen Aktien anhand des Marktwertes festgelegt wird; oder</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both"/>
        <w:ind w:left="380" w:hanging="371"/>
        <w:spacing w:after="0"/>
        <w:tabs>
          <w:tab w:leader="none" w:pos="380" w:val="left"/>
        </w:tabs>
        <w:numPr>
          <w:ilvl w:val="0"/>
          <w:numId w:val="8"/>
        </w:numPr>
        <w:rPr>
          <w:rFonts w:ascii="Times New Roman" w:cs="Times New Roman" w:eastAsia="Times New Roman" w:hAnsi="Times New Roman"/>
          <w:sz w:val="18"/>
          <w:szCs w:val="18"/>
          <w:color w:val="auto"/>
        </w:rPr>
      </w:pPr>
      <w:r>
        <w:rPr>
          <w:rFonts w:ascii="Verdana" w:cs="Verdana" w:eastAsia="Verdana" w:hAnsi="Verdana"/>
          <w:sz w:val="18"/>
          <w:szCs w:val="18"/>
          <w:color w:val="auto"/>
        </w:rPr>
        <w:t>für die Übernahme eines Unternehmens, den Teil eines Unternehmens oder Beteiligungen oder für die Finanzierung oder Refinanzierung solcher Erwerbe, oder im Falle einer Aktienplatzierung für die Finanzierung oder Refinanzierung solcher Platzierungen; oder</w:t>
      </w:r>
    </w:p>
    <w:p>
      <w:pPr>
        <w:spacing w:after="0" w:line="198" w:lineRule="exact"/>
        <w:rPr>
          <w:rFonts w:ascii="Times New Roman" w:cs="Times New Roman" w:eastAsia="Times New Roman" w:hAnsi="Times New Roman"/>
          <w:sz w:val="18"/>
          <w:szCs w:val="18"/>
          <w:color w:val="auto"/>
        </w:rPr>
      </w:pPr>
    </w:p>
    <w:p>
      <w:pPr>
        <w:jc w:val="both"/>
        <w:ind w:left="380" w:hanging="371"/>
        <w:spacing w:after="0" w:line="236" w:lineRule="auto"/>
        <w:tabs>
          <w:tab w:leader="none" w:pos="380" w:val="left"/>
        </w:tabs>
        <w:numPr>
          <w:ilvl w:val="0"/>
          <w:numId w:val="8"/>
        </w:numPr>
        <w:rPr>
          <w:rFonts w:ascii="Times New Roman" w:cs="Times New Roman" w:eastAsia="Times New Roman" w:hAnsi="Times New Roman"/>
          <w:sz w:val="18"/>
          <w:szCs w:val="18"/>
          <w:color w:val="auto"/>
        </w:rPr>
      </w:pPr>
      <w:r>
        <w:rPr>
          <w:rFonts w:ascii="Verdana" w:cs="Verdana" w:eastAsia="Verdana" w:hAnsi="Verdana"/>
          <w:sz w:val="18"/>
          <w:szCs w:val="18"/>
          <w:color w:val="auto"/>
        </w:rPr>
        <w:t>zum Zweck der Erweiterung der Aktionärskreises der Gesellschaft in</w:t>
      </w:r>
    </w:p>
    <w:p>
      <w:pPr>
        <w:jc w:val="both"/>
        <w:ind w:left="380"/>
        <w:spacing w:after="0"/>
        <w:rPr>
          <w:rFonts w:ascii="Times New Roman" w:cs="Times New Roman" w:eastAsia="Times New Roman" w:hAnsi="Times New Roman"/>
          <w:sz w:val="18"/>
          <w:szCs w:val="18"/>
          <w:color w:val="auto"/>
        </w:rPr>
      </w:pPr>
      <w:r>
        <w:rPr>
          <w:rFonts w:ascii="Verdana" w:cs="Verdana" w:eastAsia="Verdana" w:hAnsi="Verdana"/>
          <w:sz w:val="18"/>
          <w:szCs w:val="18"/>
          <w:color w:val="auto"/>
        </w:rPr>
        <w:t>bestimmten finanziellen oder Investorenmärkten, für die Zwecke der Beteiligung von strategischen Partnern, oder im Zusammenhang mit der Auflistung oder Meldung neuer Namenaktien an inländischen oder ausländischen Börsen; oder</w:t>
      </w:r>
    </w:p>
    <w:p>
      <w:pPr>
        <w:spacing w:after="0" w:line="199" w:lineRule="exact"/>
        <w:rPr>
          <w:rFonts w:ascii="Times New Roman" w:cs="Times New Roman" w:eastAsia="Times New Roman" w:hAnsi="Times New Roman"/>
          <w:sz w:val="18"/>
          <w:szCs w:val="18"/>
          <w:color w:val="auto"/>
        </w:rPr>
      </w:pPr>
    </w:p>
    <w:p>
      <w:pPr>
        <w:jc w:val="both"/>
        <w:ind w:left="380" w:hanging="371"/>
        <w:spacing w:after="0" w:line="242" w:lineRule="auto"/>
        <w:tabs>
          <w:tab w:leader="none" w:pos="380" w:val="left"/>
        </w:tabs>
        <w:numPr>
          <w:ilvl w:val="0"/>
          <w:numId w:val="8"/>
        </w:numPr>
        <w:rPr>
          <w:rFonts w:ascii="Times New Roman" w:cs="Times New Roman" w:eastAsia="Times New Roman" w:hAnsi="Times New Roman"/>
          <w:sz w:val="18"/>
          <w:szCs w:val="18"/>
          <w:color w:val="auto"/>
        </w:rPr>
      </w:pPr>
      <w:r>
        <w:rPr>
          <w:rFonts w:ascii="Verdana" w:cs="Verdana" w:eastAsia="Verdana" w:hAnsi="Verdana"/>
          <w:sz w:val="18"/>
          <w:szCs w:val="18"/>
          <w:color w:val="auto"/>
        </w:rPr>
        <w:t>zum Zweck der Gewährung einer Mehrzuteilungsoption (Greenshoe) von bis zu 20% aller Namenaktien im Falle einer Vermittlung oder eines Verkaufs von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381000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10" w:name="page11"/>
    <w:bookmarkEnd w:id="10"/>
    <w:p>
      <w:pPr>
        <w:ind w:left="380"/>
        <w:spacing w:after="0"/>
        <w:rPr>
          <w:sz w:val="20"/>
          <w:szCs w:val="20"/>
          <w:color w:val="auto"/>
        </w:rPr>
      </w:pPr>
      <w:r>
        <w:rPr>
          <w:rFonts w:ascii="Verdana" w:cs="Verdana" w:eastAsia="Verdana" w:hAnsi="Verdana"/>
          <w:sz w:val="18"/>
          <w:szCs w:val="18"/>
          <w:color w:val="auto"/>
        </w:rPr>
        <w:t>initial purchaser(s) or underwriter(s); or</w:t>
      </w:r>
    </w:p>
    <w:p>
      <w:pPr>
        <w:spacing w:after="0" w:line="321" w:lineRule="exact"/>
        <w:rPr>
          <w:sz w:val="20"/>
          <w:szCs w:val="20"/>
          <w:color w:val="auto"/>
        </w:rPr>
      </w:pPr>
    </w:p>
    <w:p>
      <w:pPr>
        <w:jc w:val="both"/>
        <w:ind w:left="380" w:hanging="379"/>
        <w:spacing w:after="0" w:line="239" w:lineRule="auto"/>
        <w:tabs>
          <w:tab w:leader="none" w:pos="380" w:val="left"/>
        </w:tabs>
        <w:numPr>
          <w:ilvl w:val="0"/>
          <w:numId w:val="9"/>
        </w:numPr>
        <w:rPr>
          <w:rFonts w:ascii="Times New Roman" w:cs="Times New Roman" w:eastAsia="Times New Roman" w:hAnsi="Times New Roman"/>
          <w:sz w:val="18"/>
          <w:szCs w:val="18"/>
          <w:color w:val="auto"/>
        </w:rPr>
      </w:pPr>
      <w:r>
        <w:rPr>
          <w:rFonts w:ascii="Verdana" w:cs="Verdana" w:eastAsia="Verdana" w:hAnsi="Verdana"/>
          <w:sz w:val="18"/>
          <w:szCs w:val="18"/>
          <w:color w:val="auto"/>
        </w:rPr>
        <w:t>for raising of capital (including private placements) in a fast and flexible manner as such transaction would probably be difficult to carry out, or could be carried out only at less favorable terms, without the exclusion of the statutory subscription right of the existing shareholders;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380" w:right="20" w:hanging="379"/>
        <w:spacing w:after="0" w:line="253" w:lineRule="auto"/>
        <w:tabs>
          <w:tab w:leader="none" w:pos="380" w:val="left"/>
        </w:tabs>
        <w:numPr>
          <w:ilvl w:val="0"/>
          <w:numId w:val="9"/>
        </w:numPr>
        <w:rPr>
          <w:rFonts w:ascii="Times New Roman" w:cs="Times New Roman" w:eastAsia="Times New Roman" w:hAnsi="Times New Roman"/>
          <w:sz w:val="18"/>
          <w:szCs w:val="18"/>
          <w:color w:val="auto"/>
        </w:rPr>
      </w:pPr>
      <w:r>
        <w:rPr>
          <w:rFonts w:ascii="Verdana" w:cs="Verdana" w:eastAsia="Verdana" w:hAnsi="Verdana"/>
          <w:sz w:val="18"/>
          <w:szCs w:val="18"/>
          <w:color w:val="auto"/>
        </w:rPr>
        <w:t>for other valid grounds in the sense of Article 652b para. 2 CO; or</w:t>
      </w:r>
    </w:p>
    <w:p>
      <w:pPr>
        <w:spacing w:after="0" w:line="185" w:lineRule="exact"/>
        <w:rPr>
          <w:rFonts w:ascii="Times New Roman" w:cs="Times New Roman" w:eastAsia="Times New Roman" w:hAnsi="Times New Roman"/>
          <w:sz w:val="18"/>
          <w:szCs w:val="18"/>
          <w:color w:val="auto"/>
        </w:rPr>
      </w:pPr>
    </w:p>
    <w:p>
      <w:pPr>
        <w:jc w:val="both"/>
        <w:ind w:left="380" w:hanging="379"/>
        <w:spacing w:after="0" w:line="238" w:lineRule="auto"/>
        <w:tabs>
          <w:tab w:leader="none" w:pos="380" w:val="left"/>
        </w:tabs>
        <w:numPr>
          <w:ilvl w:val="0"/>
          <w:numId w:val="9"/>
        </w:numPr>
        <w:rPr>
          <w:rFonts w:ascii="Times New Roman" w:cs="Times New Roman" w:eastAsia="Times New Roman" w:hAnsi="Times New Roman"/>
          <w:sz w:val="18"/>
          <w:szCs w:val="18"/>
          <w:color w:val="auto"/>
        </w:rPr>
      </w:pPr>
      <w:r>
        <w:rPr>
          <w:rFonts w:ascii="Verdana" w:cs="Verdana" w:eastAsia="Verdana" w:hAnsi="Verdana"/>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20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Board of Directors is authorized to carry out a capital increase by increase of the nominal value of the shares within the capital band. The Board of Directors shall determine the new nominal value of the shares and shall adapt all provisions of the Articles of Association relating to the nominal value of a share as well as the number of shares with a new nominal value corresponding to the fixed lower and upper limit of the capital band as per this Article.</w:t>
      </w:r>
    </w:p>
    <w:p>
      <w:pPr>
        <w:spacing w:after="0" w:line="198" w:lineRule="exact"/>
        <w:rPr>
          <w:sz w:val="20"/>
          <w:szCs w:val="20"/>
          <w:color w:val="auto"/>
        </w:rPr>
      </w:pPr>
    </w:p>
    <w:p>
      <w:pPr>
        <w:jc w:val="both"/>
        <w:ind w:right="20"/>
        <w:spacing w:after="0" w:line="241" w:lineRule="auto"/>
        <w:rPr>
          <w:sz w:val="20"/>
          <w:szCs w:val="20"/>
          <w:color w:val="auto"/>
        </w:rPr>
      </w:pPr>
      <w:r>
        <w:rPr>
          <w:rFonts w:ascii="Verdana" w:cs="Verdana" w:eastAsia="Verdana" w:hAnsi="Verdana"/>
          <w:sz w:val="18"/>
          <w:szCs w:val="18"/>
          <w:color w:val="auto"/>
        </w:rPr>
        <w:t>Subscription to and acquisition of new shares, as well as any subsequent transfer of their ownership are subject to the restrictions specified in Article 4 of the Articles of Association.</w:t>
      </w:r>
    </w:p>
    <w:p>
      <w:pPr>
        <w:spacing w:after="0" w:line="20" w:lineRule="exact"/>
        <w:rPr>
          <w:sz w:val="20"/>
          <w:szCs w:val="20"/>
          <w:color w:val="auto"/>
        </w:rPr>
      </w:pPr>
      <w:r>
        <w:rPr>
          <w:sz w:val="20"/>
          <w:szCs w:val="20"/>
          <w:color w:val="auto"/>
        </w:rPr>
        <w:br w:type="column"/>
      </w:r>
    </w:p>
    <w:p>
      <w:pPr>
        <w:ind w:left="380"/>
        <w:spacing w:after="0" w:line="254" w:lineRule="auto"/>
        <w:rPr>
          <w:sz w:val="20"/>
          <w:szCs w:val="20"/>
          <w:color w:val="auto"/>
        </w:rPr>
      </w:pPr>
      <w:r>
        <w:rPr>
          <w:rFonts w:ascii="Verdana" w:cs="Verdana" w:eastAsia="Verdana" w:hAnsi="Verdana"/>
          <w:sz w:val="18"/>
          <w:szCs w:val="18"/>
          <w:color w:val="auto"/>
        </w:rPr>
        <w:t>Namenaktien an den jeweiligen ursprünglichen Käufer oder Zeichner; oder</w:t>
      </w:r>
    </w:p>
    <w:p>
      <w:pPr>
        <w:spacing w:after="0" w:line="77" w:lineRule="exact"/>
        <w:rPr>
          <w:sz w:val="20"/>
          <w:szCs w:val="20"/>
          <w:color w:val="auto"/>
        </w:rPr>
      </w:pPr>
    </w:p>
    <w:p>
      <w:pPr>
        <w:jc w:val="both"/>
        <w:ind w:left="380" w:hanging="379"/>
        <w:spacing w:after="0" w:line="239" w:lineRule="auto"/>
        <w:tabs>
          <w:tab w:leader="none" w:pos="3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Verdana" w:cs="Verdana" w:eastAsia="Verdana" w:hAnsi="Verdana"/>
          <w:sz w:val="18"/>
          <w:szCs w:val="18"/>
          <w:color w:val="auto"/>
        </w:rPr>
        <w:t>um Kapital (inklusive durch private Vermittlung) in schneller und flexibler Weise zu beschaffen, wenn eine solche Transaktion wahrscheinlich ohne den Ausschluss der gesetzlichen Bezugsrechte der existierenden Aktionäre schwierig oder nur zu weniger günstigen Bedingungen durchzuführen wäre; oder</w:t>
      </w:r>
    </w:p>
    <w:p>
      <w:pPr>
        <w:spacing w:after="0" w:line="200" w:lineRule="exact"/>
        <w:rPr>
          <w:sz w:val="20"/>
          <w:szCs w:val="20"/>
          <w:color w:val="auto"/>
        </w:rPr>
      </w:pPr>
    </w:p>
    <w:p>
      <w:pPr>
        <w:ind w:left="380" w:hanging="371"/>
        <w:spacing w:after="0" w:line="253" w:lineRule="auto"/>
        <w:tabs>
          <w:tab w:leader="none" w:pos="380" w:val="left"/>
        </w:tabs>
        <w:numPr>
          <w:ilvl w:val="0"/>
          <w:numId w:val="10"/>
        </w:numPr>
        <w:rPr>
          <w:rFonts w:ascii="Times New Roman" w:cs="Times New Roman" w:eastAsia="Times New Roman" w:hAnsi="Times New Roman"/>
          <w:sz w:val="18"/>
          <w:szCs w:val="18"/>
          <w:color w:val="auto"/>
        </w:rPr>
      </w:pPr>
      <w:r>
        <w:rPr>
          <w:rFonts w:ascii="Verdana" w:cs="Verdana" w:eastAsia="Verdana" w:hAnsi="Verdana"/>
          <w:sz w:val="18"/>
          <w:szCs w:val="18"/>
          <w:color w:val="auto"/>
        </w:rPr>
        <w:t>aus anderen, gemäss Art. 652b Abs. 2 OR zulässigen Gründen; oder</w:t>
      </w:r>
    </w:p>
    <w:p>
      <w:pPr>
        <w:spacing w:after="0" w:line="185" w:lineRule="exact"/>
        <w:rPr>
          <w:rFonts w:ascii="Times New Roman" w:cs="Times New Roman" w:eastAsia="Times New Roman" w:hAnsi="Times New Roman"/>
          <w:sz w:val="18"/>
          <w:szCs w:val="18"/>
          <w:color w:val="auto"/>
        </w:rPr>
      </w:pPr>
    </w:p>
    <w:p>
      <w:pPr>
        <w:jc w:val="both"/>
        <w:ind w:left="380" w:hanging="371"/>
        <w:spacing w:after="0" w:line="236" w:lineRule="auto"/>
        <w:tabs>
          <w:tab w:leader="none" w:pos="380" w:val="left"/>
        </w:tabs>
        <w:numPr>
          <w:ilvl w:val="0"/>
          <w:numId w:val="10"/>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einem Aktionär oder einer Gruppe von Aktionären folgend, die gemeinsam mehr als 15% des im Handelsregister eingetragenen Aktienkapitals halten und den übrigen</w:t>
      </w:r>
    </w:p>
    <w:p>
      <w:pPr>
        <w:spacing w:after="0" w:line="2" w:lineRule="exact"/>
        <w:rPr>
          <w:rFonts w:ascii="Times New Roman" w:cs="Times New Roman" w:eastAsia="Times New Roman" w:hAnsi="Times New Roman"/>
          <w:sz w:val="18"/>
          <w:szCs w:val="18"/>
          <w:color w:val="auto"/>
        </w:rPr>
      </w:pPr>
    </w:p>
    <w:p>
      <w:pPr>
        <w:jc w:val="both"/>
        <w:ind w:left="380"/>
        <w:spacing w:after="0" w:line="236"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Aktionären auf Empfehlung des Verwaltungsrats hin kein Übernahmeangebot unterbreitet haben, oder im Rahmen der Abwehr eines tatsächlichen, drohenden oder etwaigen Übernahmeversuchs, für den der Verwaltungsrat, nach Konsultation eines</w:t>
      </w:r>
    </w:p>
    <w:p>
      <w:pPr>
        <w:spacing w:after="0" w:line="5" w:lineRule="exact"/>
        <w:rPr>
          <w:rFonts w:ascii="Times New Roman" w:cs="Times New Roman" w:eastAsia="Times New Roman" w:hAnsi="Times New Roman"/>
          <w:sz w:val="18"/>
          <w:szCs w:val="18"/>
          <w:color w:val="auto"/>
        </w:rPr>
      </w:pPr>
    </w:p>
    <w:p>
      <w:pPr>
        <w:jc w:val="both"/>
        <w:ind w:left="380"/>
        <w:spacing w:after="0" w:line="241"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unabhängigen Finanzberaters, keine Zustimmungsempfehlung abgegeben hat, da das Übernahmeangebot vom Verwaltungsrat den Aktionären gegenüber als finanziell zu wenig angemessen betrachtet wird.</w:t>
      </w:r>
    </w:p>
    <w:p>
      <w:pPr>
        <w:spacing w:after="0" w:line="200" w:lineRule="exact"/>
        <w:rPr>
          <w:sz w:val="20"/>
          <w:szCs w:val="20"/>
          <w:color w:val="auto"/>
        </w:rPr>
      </w:pPr>
    </w:p>
    <w:p>
      <w:pPr>
        <w:spacing w:after="0" w:line="211" w:lineRule="exact"/>
        <w:rPr>
          <w:sz w:val="20"/>
          <w:szCs w:val="20"/>
          <w:color w:val="auto"/>
        </w:rPr>
      </w:pPr>
    </w:p>
    <w:p>
      <w:pPr>
        <w:spacing w:after="0"/>
        <w:tabs>
          <w:tab w:leader="none" w:pos="620" w:val="left"/>
          <w:tab w:leader="none" w:pos="2320" w:val="left"/>
          <w:tab w:leader="none" w:pos="2840" w:val="left"/>
          <w:tab w:leader="none" w:pos="4200" w:val="left"/>
        </w:tabs>
        <w:rPr>
          <w:sz w:val="20"/>
          <w:szCs w:val="20"/>
          <w:color w:val="auto"/>
        </w:rPr>
      </w:pPr>
      <w:r>
        <w:rPr>
          <w:rFonts w:ascii="Verdana" w:cs="Verdana" w:eastAsia="Verdana" w:hAnsi="Verdana"/>
          <w:sz w:val="18"/>
          <w:szCs w:val="18"/>
          <w:color w:val="auto"/>
        </w:rPr>
        <w:t>Der</w:t>
        <w:tab/>
        <w:t>Verwaltungsrat</w:t>
        <w:tab/>
        <w:t>ist</w:t>
        <w:tab/>
        <w:t>ermächtigt,</w:t>
        <w:tab/>
        <w:t>eine</w:t>
      </w:r>
    </w:p>
    <w:p>
      <w:pPr>
        <w:jc w:val="both"/>
        <w:spacing w:after="0" w:line="239" w:lineRule="auto"/>
        <w:rPr>
          <w:sz w:val="20"/>
          <w:szCs w:val="20"/>
          <w:color w:val="auto"/>
        </w:rPr>
      </w:pPr>
      <w:r>
        <w:rPr>
          <w:rFonts w:ascii="Verdana" w:cs="Verdana" w:eastAsia="Verdana" w:hAnsi="Verdana"/>
          <w:sz w:val="18"/>
          <w:szCs w:val="18"/>
          <w:color w:val="auto"/>
        </w:rPr>
        <w:t>Kapitalerhöhung durch Nennwerterhöhung innerhalb des Kapitalbands durchzuführen. Der Verwaltungsrat setzt diesfalls den neuen Nennwert der Aktien fest und passt sämtliche Statutenbestimmungen an, die sich auf den Nennwert einer Aktie beziehen sowie die Anzahl Aktien mit neuem Nennwert, welche der festen betragsmässigen Ober- und Untergrenze des Kapitalbands gemäss diesem Artikel entsprechen.</w:t>
      </w:r>
    </w:p>
    <w:p>
      <w:pPr>
        <w:spacing w:after="0" w:line="197" w:lineRule="exact"/>
        <w:rPr>
          <w:sz w:val="20"/>
          <w:szCs w:val="20"/>
          <w:color w:val="auto"/>
        </w:rPr>
      </w:pPr>
    </w:p>
    <w:p>
      <w:pPr>
        <w:spacing w:after="0"/>
        <w:rPr>
          <w:sz w:val="20"/>
          <w:szCs w:val="20"/>
          <w:color w:val="auto"/>
        </w:rPr>
      </w:pPr>
      <w:r>
        <w:rPr>
          <w:rFonts w:ascii="Verdana" w:cs="Verdana" w:eastAsia="Verdana" w:hAnsi="Verdana"/>
          <w:sz w:val="18"/>
          <w:szCs w:val="18"/>
          <w:color w:val="auto"/>
        </w:rPr>
        <w:t>Zeichnung  und  Erwerb  der  neu  ausgegebenen</w:t>
      </w:r>
    </w:p>
    <w:p>
      <w:pPr>
        <w:jc w:val="both"/>
        <w:spacing w:after="0" w:line="245" w:lineRule="auto"/>
        <w:rPr>
          <w:sz w:val="20"/>
          <w:szCs w:val="20"/>
          <w:color w:val="auto"/>
        </w:rPr>
      </w:pPr>
      <w:r>
        <w:rPr>
          <w:rFonts w:ascii="Verdana" w:cs="Verdana" w:eastAsia="Verdana" w:hAnsi="Verdana"/>
          <w:sz w:val="18"/>
          <w:szCs w:val="18"/>
          <w:color w:val="auto"/>
        </w:rPr>
        <w:t>Namenaktien sowie jede nachfolgende Übertragung dieser Namenaktien unterliegen den Beschränkungen von Art. 4 dieser Statuten.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585470</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11" w:name="page12"/>
    <w:bookmarkEnd w:id="11"/>
    <w:p>
      <w:pPr>
        <w:ind w:left="980" w:right="300" w:hanging="1218"/>
        <w:spacing w:after="0" w:line="245" w:lineRule="auto"/>
        <w:tabs>
          <w:tab w:leader="none" w:pos="960" w:val="left"/>
        </w:tabs>
        <w:rPr>
          <w:sz w:val="20"/>
          <w:szCs w:val="20"/>
          <w:color w:val="auto"/>
        </w:rPr>
      </w:pPr>
      <w:r>
        <w:rPr>
          <w:rFonts w:ascii="Verdana" w:cs="Verdana" w:eastAsia="Verdana" w:hAnsi="Verdana"/>
          <w:sz w:val="18"/>
          <w:szCs w:val="18"/>
          <w:b w:val="1"/>
          <w:bCs w:val="1"/>
          <w:color w:val="auto"/>
        </w:rPr>
        <w:t>Art. 3b</w:t>
        <w:tab/>
        <w:t>Conditional Capital Increase for Bonds and Similar Debt Instruments</w:t>
      </w:r>
    </w:p>
    <w:p>
      <w:pPr>
        <w:spacing w:after="0" w:line="194"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The share capital of the Company shall be increased by a maximum amount of CHF 281,008.41 through the issue of a maximum of 9,366,947 registered shares, payable in full, each with a nominal value of CHF 0.03 through the exercise of conversion and/or option rights granted in connection with bonds or similar instruments, issued or to be issued by the Company or by companies controlled by the</w:t>
      </w:r>
    </w:p>
    <w:p>
      <w:pPr>
        <w:spacing w:after="0" w:line="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Company, including convertible debt instruments.</w:t>
      </w:r>
    </w:p>
    <w:p>
      <w:pPr>
        <w:spacing w:after="0" w:line="185"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Shareholders' subscription rights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 (2) 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Conversion rights and/or option rights may be exercised or waived in writing or in electronic form.</w:t>
      </w:r>
    </w:p>
    <w:p>
      <w:pPr>
        <w:spacing w:after="0" w:line="200" w:lineRule="exact"/>
        <w:rPr>
          <w:sz w:val="20"/>
          <w:szCs w:val="20"/>
          <w:color w:val="auto"/>
        </w:rPr>
      </w:pPr>
    </w:p>
    <w:p>
      <w:pPr>
        <w:spacing w:after="0" w:line="21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acquisition of registered shares through the exercise of conversion or option rights and any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ind w:left="1000" w:right="600" w:hanging="1218"/>
        <w:spacing w:after="0" w:line="245" w:lineRule="auto"/>
        <w:tabs>
          <w:tab w:leader="none" w:pos="980" w:val="left"/>
        </w:tabs>
        <w:rPr>
          <w:sz w:val="20"/>
          <w:szCs w:val="20"/>
          <w:color w:val="auto"/>
        </w:rPr>
      </w:pPr>
      <w:r>
        <w:rPr>
          <w:rFonts w:ascii="Verdana" w:cs="Verdana" w:eastAsia="Verdana" w:hAnsi="Verdana"/>
          <w:sz w:val="18"/>
          <w:szCs w:val="18"/>
          <w:b w:val="1"/>
          <w:bCs w:val="1"/>
          <w:color w:val="auto"/>
        </w:rPr>
        <w:t>Art. 3b</w:t>
        <w:tab/>
        <w:t>Bedingtes Kapital für Anleihensobligationen oder ähnliche Instrumente</w:t>
      </w:r>
    </w:p>
    <w:p>
      <w:pPr>
        <w:spacing w:after="0" w:line="19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Das Aktienkapital der Gesellschaft wird im Maximalbetrag von CHF 281'008.41 durch Ausgabe von höchstens 9'366'947 vollständig zu liberierenden Namenaktien mit einem Nennwert von CHF 0.03 je Aktie erhöht durch die Ausübung von Wandlungs- und/oder Optionsrechte, welche im Zusammenhang mit von der Gesellschaft oder von ihr kontrollierten Gesellschaften emittierten oder noch zu emittierenden Anleihensobligationen oder ähnlichen Instrumenten eingeräumt wurden oder werden, einschliesslich Wandelanleihen.</w:t>
      </w:r>
    </w:p>
    <w:p>
      <w:pPr>
        <w:spacing w:after="0" w:line="206" w:lineRule="exact"/>
        <w:rPr>
          <w:sz w:val="20"/>
          <w:szCs w:val="20"/>
          <w:color w:val="auto"/>
        </w:rPr>
      </w:pPr>
    </w:p>
    <w:p>
      <w:pPr>
        <w:jc w:val="both"/>
        <w:spacing w:after="0" w:line="250" w:lineRule="auto"/>
        <w:rPr>
          <w:sz w:val="20"/>
          <w:szCs w:val="20"/>
          <w:color w:val="auto"/>
        </w:rPr>
      </w:pPr>
      <w:r>
        <w:rPr>
          <w:rFonts w:ascii="Verdana" w:cs="Verdana" w:eastAsia="Verdana" w:hAnsi="Verdana"/>
          <w:sz w:val="17"/>
          <w:szCs w:val="17"/>
          <w:color w:val="auto"/>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w:t>
      </w:r>
    </w:p>
    <w:p>
      <w:pPr>
        <w:spacing w:after="0" w:line="6" w:lineRule="exact"/>
        <w:rPr>
          <w:sz w:val="20"/>
          <w:szCs w:val="20"/>
          <w:color w:val="auto"/>
        </w:rPr>
      </w:pPr>
    </w:p>
    <w:p>
      <w:pPr>
        <w:jc w:val="both"/>
        <w:spacing w:after="0" w:line="250" w:lineRule="auto"/>
        <w:rPr>
          <w:sz w:val="20"/>
          <w:szCs w:val="20"/>
          <w:color w:val="auto"/>
        </w:rPr>
      </w:pPr>
      <w:r>
        <w:rPr>
          <w:rFonts w:ascii="Verdana" w:cs="Verdana" w:eastAsia="Verdana" w:hAnsi="Verdana"/>
          <w:sz w:val="17"/>
          <w:szCs w:val="17"/>
          <w:color w:val="auto"/>
        </w:rPr>
        <w:t>Unternehmen, Unternehmensteilen, Beteiligungen, oder von der Gesellschaft geplanten neuen Investitionen, oder für die Ausgabe von Anleihensobligationen oder ähnlichen Instrumenten auf internationalen Kapitalmärkten</w:t>
      </w:r>
    </w:p>
    <w:p>
      <w:pPr>
        <w:spacing w:after="0" w:line="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oder mittels Privatplatzierungen. Falls Vorwegzeichnungsrechte ausgeschlossen werden, müssen (1) die Instrumente zu Marktkonditionen platziert werden, (2) der Ausübungszeitraum darf zehn Jahre seit dem Ausgabedatum der Optionsrechte und 20 Jahre seit dem Ausgabedatum der Wandlungsrechte nicht überschreiten und (3) der Wandlungs- oder Ausübungspreis für die neuen Aktien muss mindestens gemäss den Marktbedingungen am Ausgabedatum der Instrumente festgelegt werden.</w:t>
      </w:r>
    </w:p>
    <w:p>
      <w:pPr>
        <w:spacing w:after="0" w:line="20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Wandlungs- und/oder Optionsrechte können schriftlich oder in elektronischer Form ausgeübt werden; Gleiches gilt für den Verzicht auf diese Rechte.</w:t>
      </w:r>
    </w:p>
    <w:p>
      <w:pPr>
        <w:spacing w:after="0" w:line="19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Der Erwerb von Namenaktien durch Ausübung von Wandel- oder Optionsrechten sowie sämtliche weiteren Übertragungen von Namenaktien unterliegen den Übertragungsbeschränkungen gemäss Art. 4 der Statuten.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450215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12" w:name="page13"/>
    <w:bookmarkEnd w:id="12"/>
    <w:p>
      <w:pPr>
        <w:ind w:left="980" w:right="600" w:hanging="1218"/>
        <w:spacing w:after="0" w:line="254" w:lineRule="auto"/>
        <w:tabs>
          <w:tab w:leader="none" w:pos="960" w:val="left"/>
        </w:tabs>
        <w:rPr>
          <w:sz w:val="20"/>
          <w:szCs w:val="20"/>
          <w:color w:val="auto"/>
        </w:rPr>
      </w:pPr>
      <w:r>
        <w:rPr>
          <w:rFonts w:ascii="Verdana" w:cs="Verdana" w:eastAsia="Verdana" w:hAnsi="Verdana"/>
          <w:sz w:val="18"/>
          <w:szCs w:val="18"/>
          <w:b w:val="1"/>
          <w:bCs w:val="1"/>
          <w:color w:val="auto"/>
        </w:rPr>
        <w:t>Art. 3c</w:t>
        <w:tab/>
        <w:t>Conditional Share Capital for Employee Benefit Plans</w:t>
      </w:r>
    </w:p>
    <w:p>
      <w:pPr>
        <w:spacing w:after="0" w:line="18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share capital of the Company shall be increased by an amount not exceeding CHF 530,592.09 through the issue of a maximum of 17,686,403 registered shares, payable in full, each with a nominal value of CHF 0.03, in connection with the exercise of option rights granted to any employee of the Company or a subsidiary, and any consultant, members of the Board of Directors, or other person providing services to the Company or a subsidiary.</w:t>
      </w:r>
    </w:p>
    <w:p>
      <w:pPr>
        <w:spacing w:after="0" w:line="200" w:lineRule="exact"/>
        <w:rPr>
          <w:sz w:val="20"/>
          <w:szCs w:val="20"/>
          <w:color w:val="auto"/>
        </w:rPr>
      </w:pPr>
    </w:p>
    <w:p>
      <w:pPr>
        <w:spacing w:after="0" w:line="21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 Conversion rights and/or option rights may be exercised or waived in writing or in electronic form.</w:t>
      </w:r>
    </w:p>
    <w:p>
      <w:pPr>
        <w:spacing w:after="0" w:line="200" w:lineRule="exact"/>
        <w:rPr>
          <w:sz w:val="20"/>
          <w:szCs w:val="20"/>
          <w:color w:val="auto"/>
        </w:rPr>
      </w:pPr>
    </w:p>
    <w:p>
      <w:pPr>
        <w:spacing w:after="0" w:line="215" w:lineRule="exact"/>
        <w:rPr>
          <w:sz w:val="20"/>
          <w:szCs w:val="20"/>
          <w:color w:val="auto"/>
        </w:rPr>
      </w:pPr>
    </w:p>
    <w:p>
      <w:pPr>
        <w:jc w:val="both"/>
        <w:ind w:right="20"/>
        <w:spacing w:after="0" w:line="241" w:lineRule="auto"/>
        <w:rPr>
          <w:sz w:val="20"/>
          <w:szCs w:val="20"/>
          <w:color w:val="auto"/>
        </w:rPr>
      </w:pPr>
      <w:r>
        <w:rPr>
          <w:rFonts w:ascii="Verdana" w:cs="Verdana" w:eastAsia="Verdana" w:hAnsi="Verdana"/>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3d</w:t>
        <w:tab/>
        <w:t>Contribution in Kind</w:t>
      </w:r>
    </w:p>
    <w:p>
      <w:pPr>
        <w:spacing w:after="0" w:line="21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Company takes over at the capital increase as of 1 April 2015 and according to the contribution in kind agreement as of 11 March 2015 from Rodger Novak 1'600, according to the contribution in kind agreement as of 10 March 2015 from Shaun Foy 1'000, according to the contribution in kind agreement as of 10 March 2015 from Andrea Corcoran 100, according to the contribution in kind agreement as of 11 March 2015 from Chad Cowan 200, according to the contribution in kind agreement as of 12 March 2015 from Matthew Porteus 600, according to the contribution in kind agreement as of 12 March 2015 from Daniel G. Anderson, Inc. 600, according to the contribution in kind agreement as of 12 March 2015 from Craig Mello 500, thus, altogether 4'600 shares as well as according to the contribution in kind agreement</w:t>
      </w:r>
    </w:p>
    <w:p>
      <w:pPr>
        <w:spacing w:after="0" w:line="20" w:lineRule="exact"/>
        <w:rPr>
          <w:sz w:val="20"/>
          <w:szCs w:val="20"/>
          <w:color w:val="auto"/>
        </w:rPr>
      </w:pPr>
      <w:r>
        <w:rPr>
          <w:sz w:val="20"/>
          <w:szCs w:val="20"/>
          <w:color w:val="auto"/>
        </w:rPr>
        <w:br w:type="column"/>
      </w:r>
    </w:p>
    <w:p>
      <w:pPr>
        <w:ind w:left="1000" w:right="440" w:hanging="1218"/>
        <w:spacing w:after="0" w:line="254" w:lineRule="auto"/>
        <w:tabs>
          <w:tab w:leader="none" w:pos="980" w:val="left"/>
        </w:tabs>
        <w:rPr>
          <w:sz w:val="20"/>
          <w:szCs w:val="20"/>
          <w:color w:val="auto"/>
        </w:rPr>
      </w:pPr>
      <w:r>
        <w:rPr>
          <w:rFonts w:ascii="Verdana" w:cs="Verdana" w:eastAsia="Verdana" w:hAnsi="Verdana"/>
          <w:sz w:val="18"/>
          <w:szCs w:val="18"/>
          <w:b w:val="1"/>
          <w:bCs w:val="1"/>
          <w:color w:val="auto"/>
        </w:rPr>
        <w:t>Art. 3c</w:t>
        <w:tab/>
        <w:t>Bedingtes Aktienkapital für Mitarbeiterbeteiligungspläne</w:t>
      </w:r>
    </w:p>
    <w:p>
      <w:pPr>
        <w:spacing w:after="0" w:line="185"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Das Aktienkapital kann durch die Ausgabe von höchstens 17'686'403 voll zu liberierenden Namenaktien im Nennwert von je CHF 0.03 um höchstens CHF 530'592.09 durch Ausübung von</w:t>
      </w:r>
    </w:p>
    <w:p>
      <w:pPr>
        <w:spacing w:after="0" w:line="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Optionsrechten erhöht werden, welche Mitarbeitenden der Gesellschaft oder ihrer Tochtergesellschaften, Personen in vergleichbaren Positionen, Beratern, Verwaltungsratsmitgliedern oder anderen Personen, welche Dienstleistungen zu Gunsten der Gesellschaft erbringen, gewährt wurden.</w:t>
      </w:r>
    </w:p>
    <w:p>
      <w:pPr>
        <w:spacing w:after="0" w:line="20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Das Bezugsrecht der Aktionäre ist für diese Aktien ausgeschlossen. Diese neuen Namenaktien können zu einem Preis unter dem aktuellen</w:t>
      </w:r>
    </w:p>
    <w:p>
      <w:pPr>
        <w:spacing w:after="0" w:line="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Marktpreis ausgegeben werden. Der Verwaltungsrat legt die genauen Bedingungen für die Ausgabe, einschliesslich des Ausgabepreises der Aktien fest. Wandlungs- und/oder Optionsrechte können schriftlich oder in elektronischer Form ausgeübt werden; Gleiches gilt für den Verzicht auf diese Rechte.</w:t>
      </w:r>
    </w:p>
    <w:p>
      <w:pPr>
        <w:spacing w:after="0" w:line="20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Der Erwerb von Namenaktien im Zusammenhang der Mitarbeiterbeteiligung sowie sämtliche weiteren Übertragungen von Namenaktien unterliegen den Übertragungsbeschränkungen gemäss Art. 4 der Statuten.</w:t>
      </w:r>
    </w:p>
    <w:p>
      <w:pPr>
        <w:spacing w:after="0" w:line="198"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3d</w:t>
        <w:tab/>
        <w:t>Sacheinlage</w:t>
      </w:r>
    </w:p>
    <w:p>
      <w:pPr>
        <w:spacing w:after="0" w:line="21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Die Gesellschaft übernimmt anlässlich der Kapitalerhöhung vom 1. April 2015 und gemäss Sacheinlagevertrag vom 11. März 2015 von Rodger Novak 1'600, gemäss Sacheinlagevertrag vom 10. März 2015 von Shaun Foy 1'000, gemäss Sacheinlagevertrag vom 10. März 2015 von Andrea Corcoran 100, gemäss Sacheinlagevertrag vom 11. März 2015 von Chad Cowan 200, gemäss Sacheinlagevertrag vom 12. März 2015 von Matthew Porteus 600, gemäss Sacheinlagevertrag vom 12. März 2015 von Daniel G. Anderson, Inc. 600, gemäss Sacheinlagevertrag vom 12. März 2015 von Craig Mello 500, demnach insgesamt 4'600 Aktien, sowie gemäss Sacheinlagevertrag vom 18. März 2015 von FAY PARTICIPATION CORP. 1'400 Anrechte auf Aktien, alle im Nennwert von je GPB 0.001 der Tracr Hematology Limited,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382905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13" w:name="page14"/>
    <w:bookmarkEnd w:id="13"/>
    <w:p>
      <w:pPr>
        <w:jc w:val="both"/>
        <w:spacing w:after="0" w:line="239" w:lineRule="auto"/>
        <w:rPr>
          <w:sz w:val="20"/>
          <w:szCs w:val="20"/>
          <w:color w:val="auto"/>
        </w:rPr>
      </w:pPr>
      <w:r>
        <w:rPr>
          <w:rFonts w:ascii="Verdana" w:cs="Verdana" w:eastAsia="Verdana" w:hAnsi="Verdana"/>
          <w:sz w:val="18"/>
          <w:szCs w:val="18"/>
          <w:color w:val="auto"/>
        </w:rPr>
        <w:t>as of 18 March 2015 from FAY PARTICIPATION CORP. 1'400 entitlements to shares, all with a nominal value of GPB 0.001 each of Tracr Hematology Limited, in Stevenage (UK), and the contributors receive 590’428 shares (Common Shares) in the Company with nominal value of CHF 0.10 each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80" w:type="dxa"/>
            <w:vAlign w:val="bottom"/>
          </w:tcPr>
          <w:p>
            <w:pPr>
              <w:spacing w:after="0"/>
              <w:rPr>
                <w:sz w:val="20"/>
                <w:szCs w:val="20"/>
                <w:color w:val="auto"/>
              </w:rPr>
            </w:pPr>
            <w:r>
              <w:rPr>
                <w:rFonts w:ascii="Verdana" w:cs="Verdana" w:eastAsia="Verdana" w:hAnsi="Verdana"/>
                <w:sz w:val="18"/>
                <w:szCs w:val="18"/>
                <w:color w:val="auto"/>
              </w:rPr>
              <w:t>Rodger Novak</w:t>
            </w:r>
          </w:p>
        </w:tc>
        <w:tc>
          <w:tcPr>
            <w:tcW w:w="1400" w:type="dxa"/>
            <w:vAlign w:val="bottom"/>
          </w:tcPr>
          <w:p>
            <w:pPr>
              <w:ind w:left="660"/>
              <w:spacing w:after="0"/>
              <w:rPr>
                <w:sz w:val="20"/>
                <w:szCs w:val="20"/>
                <w:color w:val="auto"/>
              </w:rPr>
            </w:pPr>
            <w:r>
              <w:rPr>
                <w:rFonts w:ascii="Verdana" w:cs="Verdana" w:eastAsia="Verdana" w:hAnsi="Verdana"/>
                <w:sz w:val="18"/>
                <w:szCs w:val="18"/>
                <w:color w:val="auto"/>
                <w:w w:val="97"/>
              </w:rPr>
              <w:t>157'449</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Shaun Foy</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98'405</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Andrea Corcoran</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9'840</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Chad Cowan</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19'681</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Matthew Porteus</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59'043</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Daniel G. Anderson, Inc.</w:t>
            </w:r>
          </w:p>
        </w:tc>
        <w:tc>
          <w:tcPr>
            <w:tcW w:w="1400" w:type="dxa"/>
            <w:vAlign w:val="bottom"/>
          </w:tcPr>
          <w:p>
            <w:pPr>
              <w:ind w:left="160"/>
              <w:spacing w:after="0"/>
              <w:rPr>
                <w:sz w:val="20"/>
                <w:szCs w:val="20"/>
                <w:color w:val="auto"/>
              </w:rPr>
            </w:pPr>
            <w:r>
              <w:rPr>
                <w:rFonts w:ascii="Verdana" w:cs="Verdana" w:eastAsia="Verdana" w:hAnsi="Verdana"/>
                <w:sz w:val="18"/>
                <w:szCs w:val="18"/>
                <w:color w:val="auto"/>
              </w:rPr>
              <w:t>59'043</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Craig Mello</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49'202</w:t>
            </w:r>
          </w:p>
        </w:tc>
      </w:tr>
    </w:tbl>
    <w:p>
      <w:pPr>
        <w:spacing w:after="0" w:line="89" w:lineRule="exact"/>
        <w:rPr>
          <w:sz w:val="20"/>
          <w:szCs w:val="20"/>
          <w:color w:val="auto"/>
        </w:rPr>
      </w:pPr>
    </w:p>
    <w:p>
      <w:pPr>
        <w:spacing w:after="0"/>
        <w:rPr>
          <w:sz w:val="20"/>
          <w:szCs w:val="20"/>
          <w:color w:val="auto"/>
        </w:rPr>
      </w:pPr>
      <w:r>
        <w:rPr>
          <w:rFonts w:ascii="Verdana" w:cs="Verdana" w:eastAsia="Verdana" w:hAnsi="Verdana"/>
          <w:sz w:val="18"/>
          <w:szCs w:val="18"/>
          <w:color w:val="auto"/>
        </w:rPr>
        <w:t>FAY PARTICIPATION CORP. 137'765.</w:t>
      </w:r>
    </w:p>
    <w:p>
      <w:pPr>
        <w:spacing w:after="0" w:line="213"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w:t>
      </w:r>
      <w:r>
        <w:rPr>
          <w:sz w:val="20"/>
          <w:szCs w:val="20"/>
          <w:color w:val="auto"/>
        </w:rPr>
        <w:tab/>
      </w:r>
      <w:r>
        <w:rPr>
          <w:rFonts w:ascii="Verdana" w:cs="Verdana" w:eastAsia="Verdana" w:hAnsi="Verdana"/>
          <w:sz w:val="18"/>
          <w:szCs w:val="18"/>
          <w:b w:val="1"/>
          <w:bCs w:val="1"/>
          <w:color w:val="auto"/>
        </w:rPr>
        <w:t>Share Register</w:t>
      </w:r>
    </w:p>
    <w:p>
      <w:pPr>
        <w:spacing w:after="0" w:line="21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p>
      <w:pPr>
        <w:spacing w:after="0" w:line="200" w:lineRule="exact"/>
        <w:rPr>
          <w:sz w:val="20"/>
          <w:szCs w:val="20"/>
          <w:color w:val="auto"/>
        </w:rPr>
      </w:pPr>
    </w:p>
    <w:p>
      <w:pPr>
        <w:spacing w:after="0" w:line="315" w:lineRule="exact"/>
        <w:rPr>
          <w:sz w:val="20"/>
          <w:szCs w:val="20"/>
          <w:color w:val="auto"/>
        </w:rPr>
      </w:pPr>
    </w:p>
    <w:p>
      <w:pPr>
        <w:jc w:val="both"/>
        <w:ind w:right="20"/>
        <w:spacing w:after="0" w:line="241" w:lineRule="auto"/>
        <w:rPr>
          <w:sz w:val="20"/>
          <w:szCs w:val="20"/>
          <w:color w:val="auto"/>
        </w:rPr>
      </w:pPr>
      <w:r>
        <w:rPr>
          <w:rFonts w:ascii="Verdana" w:cs="Verdana" w:eastAsia="Verdana" w:hAnsi="Verdana"/>
          <w:sz w:val="18"/>
          <w:szCs w:val="18"/>
          <w:color w:val="auto"/>
        </w:rPr>
        <w:t>Upon request, acquirers of shares will be registered in the share register as shareholders with voting rights if they expressly certify that they acquired the shares in their own name and for their own account.</w:t>
      </w:r>
    </w:p>
    <w:p>
      <w:pPr>
        <w:spacing w:after="0" w:line="30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No person or entity shall be registered with voting rights over its shares (including “Controlled Shares” as defined below) that exceed 5% or more of the registered share capital recorded in the Commercial Register. This restriction of registration also applies to persons who hold some or all of their shares through nominees pursuant to this Article 4 of these Articles of Association. The foregoing is subject to Article 685d para. 3 CO.</w:t>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Verdana" w:cs="Verdana" w:eastAsia="Verdana" w:hAnsi="Verdana"/>
          <w:sz w:val="18"/>
          <w:szCs w:val="18"/>
          <w:color w:val="auto"/>
        </w:rPr>
        <w:t>Stevenage (UK), wofür die Sacheinleger insgesamt 590’428 Namenaktien (Stammaktien) der Gesellschaft im Nennwert von je CHF 0.10 wie folgt erhalten: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80" w:type="dxa"/>
            <w:vAlign w:val="bottom"/>
          </w:tcPr>
          <w:p>
            <w:pPr>
              <w:spacing w:after="0"/>
              <w:rPr>
                <w:sz w:val="20"/>
                <w:szCs w:val="20"/>
                <w:color w:val="auto"/>
              </w:rPr>
            </w:pPr>
            <w:r>
              <w:rPr>
                <w:rFonts w:ascii="Verdana" w:cs="Verdana" w:eastAsia="Verdana" w:hAnsi="Verdana"/>
                <w:sz w:val="18"/>
                <w:szCs w:val="18"/>
                <w:color w:val="auto"/>
              </w:rPr>
              <w:t>Rodger Novak</w:t>
            </w:r>
          </w:p>
        </w:tc>
        <w:tc>
          <w:tcPr>
            <w:tcW w:w="1400" w:type="dxa"/>
            <w:vAlign w:val="bottom"/>
          </w:tcPr>
          <w:p>
            <w:pPr>
              <w:ind w:left="660"/>
              <w:spacing w:after="0"/>
              <w:rPr>
                <w:sz w:val="20"/>
                <w:szCs w:val="20"/>
                <w:color w:val="auto"/>
              </w:rPr>
            </w:pPr>
            <w:r>
              <w:rPr>
                <w:rFonts w:ascii="Verdana" w:cs="Verdana" w:eastAsia="Verdana" w:hAnsi="Verdana"/>
                <w:sz w:val="18"/>
                <w:szCs w:val="18"/>
                <w:color w:val="auto"/>
                <w:w w:val="97"/>
              </w:rPr>
              <w:t>157'449</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Shaun Foy</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98'405</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Andrea Corcoran</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9'840</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Chad Cowan</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19'681</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Matthew Porteus</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59'043</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Daniel G. Anderson, Inc.</w:t>
            </w:r>
          </w:p>
        </w:tc>
        <w:tc>
          <w:tcPr>
            <w:tcW w:w="1400" w:type="dxa"/>
            <w:vAlign w:val="bottom"/>
          </w:tcPr>
          <w:p>
            <w:pPr>
              <w:ind w:left="160"/>
              <w:spacing w:after="0"/>
              <w:rPr>
                <w:sz w:val="20"/>
                <w:szCs w:val="20"/>
                <w:color w:val="auto"/>
              </w:rPr>
            </w:pPr>
            <w:r>
              <w:rPr>
                <w:rFonts w:ascii="Verdana" w:cs="Verdana" w:eastAsia="Verdana" w:hAnsi="Verdana"/>
                <w:sz w:val="18"/>
                <w:szCs w:val="18"/>
                <w:color w:val="auto"/>
              </w:rPr>
              <w:t>59'043</w:t>
            </w:r>
          </w:p>
        </w:tc>
      </w:tr>
      <w:tr>
        <w:trPr>
          <w:trHeight w:val="324"/>
        </w:trPr>
        <w:tc>
          <w:tcPr>
            <w:tcW w:w="2380" w:type="dxa"/>
            <w:vAlign w:val="bottom"/>
          </w:tcPr>
          <w:p>
            <w:pPr>
              <w:spacing w:after="0"/>
              <w:rPr>
                <w:sz w:val="20"/>
                <w:szCs w:val="20"/>
                <w:color w:val="auto"/>
              </w:rPr>
            </w:pPr>
            <w:r>
              <w:rPr>
                <w:rFonts w:ascii="Verdana" w:cs="Verdana" w:eastAsia="Verdana" w:hAnsi="Verdana"/>
                <w:sz w:val="18"/>
                <w:szCs w:val="18"/>
                <w:color w:val="auto"/>
              </w:rPr>
              <w:t>Craig Mello</w:t>
            </w:r>
          </w:p>
        </w:tc>
        <w:tc>
          <w:tcPr>
            <w:tcW w:w="1400" w:type="dxa"/>
            <w:vAlign w:val="bottom"/>
          </w:tcPr>
          <w:p>
            <w:pPr>
              <w:ind w:left="660"/>
              <w:spacing w:after="0"/>
              <w:rPr>
                <w:sz w:val="20"/>
                <w:szCs w:val="20"/>
                <w:color w:val="auto"/>
              </w:rPr>
            </w:pPr>
            <w:r>
              <w:rPr>
                <w:rFonts w:ascii="Verdana" w:cs="Verdana" w:eastAsia="Verdana" w:hAnsi="Verdana"/>
                <w:sz w:val="18"/>
                <w:szCs w:val="18"/>
                <w:color w:val="auto"/>
              </w:rPr>
              <w:t>49'202</w:t>
            </w:r>
          </w:p>
        </w:tc>
      </w:tr>
    </w:tbl>
    <w:p>
      <w:pPr>
        <w:spacing w:after="0" w:line="89" w:lineRule="exact"/>
        <w:rPr>
          <w:sz w:val="20"/>
          <w:szCs w:val="20"/>
          <w:color w:val="auto"/>
        </w:rPr>
      </w:pPr>
    </w:p>
    <w:p>
      <w:pPr>
        <w:spacing w:after="0"/>
        <w:rPr>
          <w:sz w:val="20"/>
          <w:szCs w:val="20"/>
          <w:color w:val="auto"/>
        </w:rPr>
      </w:pPr>
      <w:r>
        <w:rPr>
          <w:rFonts w:ascii="Verdana" w:cs="Verdana" w:eastAsia="Verdana" w:hAnsi="Verdana"/>
          <w:sz w:val="18"/>
          <w:szCs w:val="18"/>
          <w:color w:val="auto"/>
        </w:rPr>
        <w:t>FAY PARTICIPATION CORP. 137'765.</w:t>
      </w:r>
    </w:p>
    <w:p>
      <w:pPr>
        <w:spacing w:after="0" w:line="213"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w:t>
      </w:r>
      <w:r>
        <w:rPr>
          <w:sz w:val="20"/>
          <w:szCs w:val="20"/>
          <w:color w:val="auto"/>
        </w:rPr>
        <w:tab/>
      </w:r>
      <w:r>
        <w:rPr>
          <w:rFonts w:ascii="Verdana" w:cs="Verdana" w:eastAsia="Verdana" w:hAnsi="Verdana"/>
          <w:sz w:val="18"/>
          <w:szCs w:val="18"/>
          <w:b w:val="1"/>
          <w:bCs w:val="1"/>
          <w:color w:val="auto"/>
        </w:rPr>
        <w:t>Aktienbuch</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p>
      <w:pPr>
        <w:spacing w:after="0" w:line="200" w:lineRule="exact"/>
        <w:rPr>
          <w:sz w:val="20"/>
          <w:szCs w:val="20"/>
          <w:color w:val="auto"/>
        </w:rPr>
      </w:pPr>
    </w:p>
    <w:p>
      <w:pPr>
        <w:spacing w:after="0" w:line="32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Erwerber von Aktien werden auf Gesuch hin als Aktionäre mit Stimmrecht im Aktienregister eingetragen, falls sie ausdrücklich erklären, die Aktien im eigenen Namen und auf eigene Rechnung erworben zu haben.</w:t>
      </w:r>
    </w:p>
    <w:p>
      <w:pPr>
        <w:spacing w:after="0" w:line="30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Keine natürliche oder juristische Person wird für ihre Aktien (einschliesslich für "Kontrollierte Aktien" wie nachstehend definiert) für mehr als 5% des im Handelsregister eingetragenen Aktienkapitals mit Stimmrecht eingetragen. Diese Eintragungsbeschränkung gilt auch für Personen, die einen Teil oder alle ihre Aktien durch Nominees gemäss Artikel 4 dieser Statuten halten. Die vorstehenden Ausführungen gelten nicht in den in Art. 685d Abs. 3 OR genannten Fällen.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455930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14" w:name="page15"/>
    <w:bookmarkEnd w:id="14"/>
    <w:p>
      <w:pPr>
        <w:jc w:val="both"/>
        <w:spacing w:after="0" w:line="238" w:lineRule="auto"/>
        <w:rPr>
          <w:sz w:val="20"/>
          <w:szCs w:val="20"/>
          <w:color w:val="auto"/>
        </w:rPr>
      </w:pPr>
      <w:r>
        <w:rPr>
          <w:rFonts w:ascii="Verdana" w:cs="Verdana" w:eastAsia="Verdana" w:hAnsi="Verdana"/>
          <w:sz w:val="18"/>
          <w:szCs w:val="18"/>
          <w:color w:val="auto"/>
        </w:rPr>
        <w:t>Persons who do not expressly declare in the registration application that they are holding the shares on their own account (thereafter: nominees) shall forthwith be entered on the share register as shareholders with voting rights up to a maximum of 3 percent of the share capital. Beyond that limit, registered shares of nominees shall only be entered as voting if the nominees in question confirm in writing that they are willing to disclose the names, addresses and shareholdings of the persons on whose account they hold 0.5 percent or more of the share capital. The Board of Directors concludes agreements with nominees that among other things govern the representation of shareholders and the voting rights.</w:t>
      </w:r>
    </w:p>
    <w:p>
      <w:pPr>
        <w:spacing w:after="0" w:line="30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particular cases the Board of Directors may allow exemptions from the limitation for registration in the share register and the regulation concerning nominees.</w:t>
      </w:r>
    </w:p>
    <w:p>
      <w:pPr>
        <w:spacing w:after="0" w:line="306" w:lineRule="exact"/>
        <w:rPr>
          <w:sz w:val="20"/>
          <w:szCs w:val="20"/>
          <w:color w:val="auto"/>
        </w:rPr>
      </w:pPr>
    </w:p>
    <w:p>
      <w:pPr>
        <w:jc w:val="both"/>
        <w:ind w:right="20"/>
        <w:spacing w:after="0"/>
        <w:rPr>
          <w:sz w:val="20"/>
          <w:szCs w:val="20"/>
          <w:color w:val="auto"/>
        </w:rPr>
      </w:pPr>
      <w:r>
        <w:rPr>
          <w:rFonts w:ascii="Verdana" w:cs="Verdana" w:eastAsia="Verdana" w:hAnsi="Verdana"/>
          <w:sz w:val="18"/>
          <w:szCs w:val="18"/>
          <w:color w:val="auto"/>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p>
      <w:pPr>
        <w:spacing w:after="0" w:line="200" w:lineRule="exact"/>
        <w:rPr>
          <w:sz w:val="20"/>
          <w:szCs w:val="20"/>
          <w:color w:val="auto"/>
        </w:rPr>
      </w:pPr>
    </w:p>
    <w:p>
      <w:pPr>
        <w:spacing w:after="0" w:line="215"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For the purposes of this Article 4 and Article 16, "Controlled Shares" in reference to any individual or entity means:</w:t>
      </w:r>
    </w:p>
    <w:p>
      <w:pPr>
        <w:spacing w:after="0" w:line="194" w:lineRule="exact"/>
        <w:rPr>
          <w:sz w:val="20"/>
          <w:szCs w:val="20"/>
          <w:color w:val="auto"/>
        </w:rPr>
      </w:pPr>
    </w:p>
    <w:p>
      <w:pPr>
        <w:jc w:val="both"/>
        <w:ind w:left="380" w:hanging="381"/>
        <w:spacing w:after="0" w:line="266" w:lineRule="auto"/>
        <w:rPr>
          <w:sz w:val="20"/>
          <w:szCs w:val="20"/>
          <w:color w:val="auto"/>
        </w:rPr>
      </w:pPr>
      <w:r>
        <w:rPr>
          <w:rFonts w:ascii="Times New Roman" w:cs="Times New Roman" w:eastAsia="Times New Roman" w:hAnsi="Times New Roman"/>
          <w:sz w:val="14"/>
          <w:szCs w:val="14"/>
          <w:color w:val="auto"/>
        </w:rPr>
        <w:t>(</w:t>
      </w:r>
      <w:r>
        <w:rPr>
          <w:rFonts w:ascii="Verdana" w:cs="Verdana" w:eastAsia="Verdana" w:hAnsi="Verdana"/>
          <w:sz w:val="14"/>
          <w:szCs w:val="14"/>
          <w:color w:val="auto"/>
        </w:rPr>
        <w:t>a)</w:t>
      </w:r>
      <w:r>
        <w:rPr>
          <w:rFonts w:ascii="Times New Roman" w:cs="Times New Roman" w:eastAsia="Times New Roman" w:hAnsi="Times New Roman"/>
          <w:sz w:val="14"/>
          <w:szCs w:val="14"/>
          <w:color w:val="auto"/>
        </w:rPr>
        <w:t xml:space="preserve"> </w:t>
      </w:r>
      <w:r>
        <w:rPr>
          <w:rFonts w:ascii="Verdana" w:cs="Verdana" w:eastAsia="Verdana" w:hAnsi="Verdana"/>
          <w:sz w:val="17"/>
          <w:szCs w:val="17"/>
          <w:color w:val="auto"/>
        </w:rPr>
        <w:t>all shares of the Company directly, indirectly</w:t>
      </w:r>
      <w:r>
        <w:rPr>
          <w:rFonts w:ascii="Times New Roman" w:cs="Times New Roman" w:eastAsia="Times New Roman" w:hAnsi="Times New Roman"/>
          <w:sz w:val="14"/>
          <w:szCs w:val="14"/>
          <w:color w:val="auto"/>
        </w:rPr>
        <w:t xml:space="preserve"> </w:t>
      </w:r>
      <w:r>
        <w:rPr>
          <w:rFonts w:ascii="Verdana" w:cs="Verdana" w:eastAsia="Verdana" w:hAnsi="Verdana"/>
          <w:sz w:val="17"/>
          <w:szCs w:val="17"/>
          <w:color w:val="auto"/>
        </w:rPr>
        <w:t>or constructively owned by such individual or entity; it being further understood that</w:t>
      </w:r>
    </w:p>
    <w:p>
      <w:pPr>
        <w:spacing w:after="0" w:line="392" w:lineRule="exact"/>
        <w:rPr>
          <w:sz w:val="20"/>
          <w:szCs w:val="20"/>
          <w:color w:val="auto"/>
        </w:rPr>
      </w:pPr>
    </w:p>
    <w:p>
      <w:pPr>
        <w:ind w:left="760" w:right="20" w:hanging="377"/>
        <w:spacing w:after="0" w:line="239" w:lineRule="auto"/>
        <w:tabs>
          <w:tab w:leader="none" w:pos="664" w:val="left"/>
        </w:tabs>
        <w:numPr>
          <w:ilvl w:val="0"/>
          <w:numId w:val="11"/>
        </w:numPr>
        <w:rPr>
          <w:rFonts w:ascii="Verdana" w:cs="Verdana" w:eastAsia="Verdana" w:hAnsi="Verdana"/>
          <w:sz w:val="14"/>
          <w:szCs w:val="14"/>
          <w:color w:val="auto"/>
        </w:rPr>
      </w:pPr>
      <w:r>
        <w:rPr>
          <w:rFonts w:ascii="Verdana" w:cs="Verdana" w:eastAsia="Verdana" w:hAnsi="Verdana"/>
          <w:sz w:val="18"/>
          <w:szCs w:val="18"/>
          <w:color w:val="auto"/>
        </w:rPr>
        <w:t>shares owned, directly or indirectly, by or for a partnership, or trust or estate will be considered as being owned proportionately by its partners or beneficiaries to such partners’ or beneficiaries’ economic equivalent in such partnership, trust or estate; and</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Verdana" w:cs="Verdana" w:eastAsia="Verdana" w:hAnsi="Verdana"/>
          <w:sz w:val="18"/>
          <w:szCs w:val="18"/>
          <w:color w:val="auto"/>
        </w:rPr>
        <w:t>Personen, die im Eintragungsgesuch nicht ausdrücklich erklären, die Aktien für eigene Rechnung zu halten (nachstehend: Nominees) werden ohne weiteres bis maximal 3% des jeweils ausstehenden Aktienkapitals mit Stimmrecht im Aktienbuch eingetragen. Über diese Limite hinaus werden Namenaktien von Nominees nur dann mit Stimmrecht eingetragen, wenn der betreffende Nominee schriftlich bereit erklärt, gegebenenfalls die Namen, Adressen und Aktienbestände derjenigen Person offenlegt, für deren Rechnung er 0.5% oder mehr des jeweils ausstehenden Aktienkapitals hält. Der Verwaltungsrat schliesst mit Nominees Vereinbarungen ab, die unter anderem die Vertretung der Aktionäre und der Stimmrechte regeln.</w:t>
      </w:r>
    </w:p>
    <w:p>
      <w:pPr>
        <w:spacing w:after="0" w:line="30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Der Verwaltungsrat kann in besonderen Fällen Ausnahmen von der Beschränkung der Eintragung im Aktienregister oder von der Regelung in Bezug auf Nominees gewähren.</w:t>
      </w:r>
    </w:p>
    <w:p>
      <w:pPr>
        <w:spacing w:after="0" w:line="30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p>
      <w:pPr>
        <w:spacing w:after="0" w:line="20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Im Rahmen dieses Art. 4 und Art. 16 bedeuten "Kontrollierte Aktien" in Bezug auf jegliche Einzelperson oder juristische Person:</w:t>
      </w:r>
    </w:p>
    <w:p>
      <w:pPr>
        <w:spacing w:after="0" w:line="194" w:lineRule="exact"/>
        <w:rPr>
          <w:sz w:val="20"/>
          <w:szCs w:val="20"/>
          <w:color w:val="auto"/>
        </w:rPr>
      </w:pPr>
    </w:p>
    <w:p>
      <w:pPr>
        <w:jc w:val="both"/>
        <w:ind w:left="400" w:hanging="381"/>
        <w:spacing w:after="0" w:line="260" w:lineRule="auto"/>
        <w:rPr>
          <w:sz w:val="20"/>
          <w:szCs w:val="20"/>
          <w:color w:val="auto"/>
        </w:rPr>
      </w:pPr>
      <w:r>
        <w:rPr>
          <w:rFonts w:ascii="Times New Roman" w:cs="Times New Roman" w:eastAsia="Times New Roman" w:hAnsi="Times New Roman"/>
          <w:sz w:val="14"/>
          <w:szCs w:val="14"/>
          <w:color w:val="auto"/>
        </w:rPr>
        <w:t>(</w:t>
      </w:r>
      <w:r>
        <w:rPr>
          <w:rFonts w:ascii="Verdana" w:cs="Verdana" w:eastAsia="Verdana" w:hAnsi="Verdana"/>
          <w:sz w:val="14"/>
          <w:szCs w:val="14"/>
          <w:color w:val="auto"/>
        </w:rPr>
        <w:t>a)</w:t>
      </w:r>
      <w:r>
        <w:rPr>
          <w:rFonts w:ascii="Times New Roman" w:cs="Times New Roman" w:eastAsia="Times New Roman" w:hAnsi="Times New Roman"/>
          <w:sz w:val="14"/>
          <w:szCs w:val="14"/>
          <w:color w:val="auto"/>
        </w:rPr>
        <w:t xml:space="preserve"> </w:t>
      </w:r>
      <w:r>
        <w:rPr>
          <w:rFonts w:ascii="Verdana" w:cs="Verdana" w:eastAsia="Verdana" w:hAnsi="Verdana"/>
          <w:sz w:val="17"/>
          <w:szCs w:val="17"/>
          <w:color w:val="auto"/>
        </w:rPr>
        <w:t>alle Aktien der Gesellschaft, die direkt, indirekt</w:t>
      </w:r>
      <w:r>
        <w:rPr>
          <w:rFonts w:ascii="Times New Roman" w:cs="Times New Roman" w:eastAsia="Times New Roman" w:hAnsi="Times New Roman"/>
          <w:sz w:val="14"/>
          <w:szCs w:val="14"/>
          <w:color w:val="auto"/>
        </w:rPr>
        <w:t xml:space="preserve"> </w:t>
      </w:r>
      <w:r>
        <w:rPr>
          <w:rFonts w:ascii="Verdana" w:cs="Verdana" w:eastAsia="Verdana" w:hAnsi="Verdana"/>
          <w:sz w:val="17"/>
          <w:szCs w:val="17"/>
          <w:color w:val="auto"/>
        </w:rPr>
        <w:t>oder konstruktiv von einer solchen Einzelperson oder juristischen Person gehalten werden; darüber hinaus gilt, dass</w:t>
      </w:r>
    </w:p>
    <w:p>
      <w:pPr>
        <w:spacing w:after="0" w:line="182" w:lineRule="exact"/>
        <w:rPr>
          <w:sz w:val="20"/>
          <w:szCs w:val="20"/>
          <w:color w:val="auto"/>
        </w:rPr>
      </w:pPr>
    </w:p>
    <w:p>
      <w:pPr>
        <w:jc w:val="both"/>
        <w:ind w:left="780" w:hanging="389"/>
        <w:spacing w:after="0" w:line="236" w:lineRule="auto"/>
        <w:tabs>
          <w:tab w:leader="none" w:pos="718" w:val="left"/>
        </w:tabs>
        <w:numPr>
          <w:ilvl w:val="0"/>
          <w:numId w:val="12"/>
        </w:numPr>
        <w:rPr>
          <w:rFonts w:ascii="Verdana" w:cs="Verdana" w:eastAsia="Verdana" w:hAnsi="Verdana"/>
          <w:sz w:val="14"/>
          <w:szCs w:val="14"/>
          <w:color w:val="auto"/>
        </w:rPr>
      </w:pPr>
      <w:r>
        <w:rPr>
          <w:rFonts w:ascii="Verdana" w:cs="Verdana" w:eastAsia="Verdana" w:hAnsi="Verdana"/>
          <w:sz w:val="18"/>
          <w:szCs w:val="18"/>
          <w:color w:val="auto"/>
        </w:rPr>
        <w:t>Aktien, die direkt oder indirekt durch oder für eine Personengesellschaft oder einen Trust oder eine Vermögensmasse gehalten werden, auf die Partner oder</w:t>
      </w:r>
    </w:p>
    <w:p>
      <w:pPr>
        <w:spacing w:after="0" w:line="3" w:lineRule="exact"/>
        <w:rPr>
          <w:rFonts w:ascii="Verdana" w:cs="Verdana" w:eastAsia="Verdana" w:hAnsi="Verdana"/>
          <w:sz w:val="14"/>
          <w:szCs w:val="14"/>
          <w:color w:val="auto"/>
        </w:rPr>
      </w:pPr>
    </w:p>
    <w:p>
      <w:pPr>
        <w:jc w:val="both"/>
        <w:ind w:left="780"/>
        <w:spacing w:after="0" w:line="241" w:lineRule="auto"/>
        <w:rPr>
          <w:rFonts w:ascii="Verdana" w:cs="Verdana" w:eastAsia="Verdana" w:hAnsi="Verdana"/>
          <w:sz w:val="14"/>
          <w:szCs w:val="14"/>
          <w:color w:val="auto"/>
        </w:rPr>
      </w:pPr>
      <w:r>
        <w:rPr>
          <w:rFonts w:ascii="Verdana" w:cs="Verdana" w:eastAsia="Verdana" w:hAnsi="Verdana"/>
          <w:sz w:val="18"/>
          <w:szCs w:val="18"/>
          <w:color w:val="auto"/>
        </w:rPr>
        <w:t>Begünstigten aufgeteilt werden proportional zum wirtschaftlichen Anteil eines solchen Partners oder Begünstigten an einer solchen Personengesellschaft, Trust oder Vermögensmasse; 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450215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863" w:right="1199" w:bottom="1440" w:gutter="0" w:footer="0" w:header="0"/>
        </w:sectPr>
      </w:pPr>
    </w:p>
    <w:bookmarkStart w:id="15" w:name="page16"/>
    <w:bookmarkEnd w:id="15"/>
    <w:p>
      <w:pPr>
        <w:ind w:left="759" w:right="20" w:hanging="377"/>
        <w:spacing w:after="0"/>
        <w:tabs>
          <w:tab w:leader="none" w:pos="657" w:val="left"/>
        </w:tabs>
        <w:numPr>
          <w:ilvl w:val="1"/>
          <w:numId w:val="13"/>
        </w:numPr>
        <w:rPr>
          <w:rFonts w:ascii="Verdana" w:cs="Verdana" w:eastAsia="Verdana" w:hAnsi="Verdana"/>
          <w:sz w:val="14"/>
          <w:szCs w:val="14"/>
          <w:color w:val="auto"/>
        </w:rPr>
      </w:pPr>
      <w:r>
        <w:rPr>
          <w:rFonts w:ascii="Verdana" w:cs="Verdana" w:eastAsia="Verdana" w:hAnsi="Verdana"/>
          <w:sz w:val="18"/>
          <w:szCs w:val="18"/>
          <w:color w:val="auto"/>
        </w:rPr>
        <w:t>shares owned, directly or indirectly, by or for a corporation will be considered as being owned by such individual to the extent such individual exercises the power to vote, or to direct the voting, of such shares; and</w:t>
      </w:r>
    </w:p>
    <w:p>
      <w:pPr>
        <w:spacing w:after="0" w:line="200" w:lineRule="exact"/>
        <w:rPr>
          <w:rFonts w:ascii="Verdana" w:cs="Verdana" w:eastAsia="Verdana" w:hAnsi="Verdana"/>
          <w:sz w:val="14"/>
          <w:szCs w:val="14"/>
          <w:color w:val="auto"/>
        </w:rPr>
      </w:pPr>
    </w:p>
    <w:p>
      <w:pPr>
        <w:spacing w:after="0" w:line="215" w:lineRule="exact"/>
        <w:rPr>
          <w:rFonts w:ascii="Verdana" w:cs="Verdana" w:eastAsia="Verdana" w:hAnsi="Verdana"/>
          <w:sz w:val="14"/>
          <w:szCs w:val="14"/>
          <w:color w:val="auto"/>
        </w:rPr>
      </w:pPr>
    </w:p>
    <w:p>
      <w:pPr>
        <w:jc w:val="both"/>
        <w:ind w:left="759" w:right="20" w:hanging="377"/>
        <w:spacing w:after="0" w:line="245" w:lineRule="auto"/>
        <w:tabs>
          <w:tab w:leader="none" w:pos="745" w:val="left"/>
        </w:tabs>
        <w:numPr>
          <w:ilvl w:val="1"/>
          <w:numId w:val="13"/>
        </w:numPr>
        <w:rPr>
          <w:rFonts w:ascii="Verdana" w:cs="Verdana" w:eastAsia="Verdana" w:hAnsi="Verdana"/>
          <w:sz w:val="14"/>
          <w:szCs w:val="14"/>
          <w:color w:val="auto"/>
        </w:rPr>
      </w:pPr>
      <w:r>
        <w:rPr>
          <w:rFonts w:ascii="Verdana" w:cs="Verdana" w:eastAsia="Verdana" w:hAnsi="Verdana"/>
          <w:sz w:val="18"/>
          <w:szCs w:val="18"/>
          <w:color w:val="auto"/>
        </w:rPr>
        <w:t>shares subject to options, warrants or other similar rights shall be deemed to be owned; and</w:t>
      </w:r>
    </w:p>
    <w:p>
      <w:pPr>
        <w:spacing w:after="0" w:line="207" w:lineRule="exact"/>
        <w:rPr>
          <w:rFonts w:ascii="Verdana" w:cs="Verdana" w:eastAsia="Verdana" w:hAnsi="Verdana"/>
          <w:sz w:val="14"/>
          <w:szCs w:val="14"/>
          <w:color w:val="auto"/>
        </w:rPr>
      </w:pPr>
    </w:p>
    <w:p>
      <w:pPr>
        <w:jc w:val="both"/>
        <w:ind w:left="379" w:right="20" w:hanging="379"/>
        <w:spacing w:after="0" w:line="275" w:lineRule="auto"/>
        <w:tabs>
          <w:tab w:leader="none" w:pos="428" w:val="left"/>
        </w:tabs>
        <w:numPr>
          <w:ilvl w:val="0"/>
          <w:numId w:val="14"/>
        </w:numPr>
        <w:rPr>
          <w:rFonts w:ascii="Verdana" w:cs="Verdana" w:eastAsia="Verdana" w:hAnsi="Verdana"/>
          <w:sz w:val="13"/>
          <w:szCs w:val="13"/>
          <w:color w:val="auto"/>
        </w:rPr>
      </w:pPr>
      <w:r>
        <w:rPr>
          <w:rFonts w:ascii="Verdana" w:cs="Verdana" w:eastAsia="Verdana" w:hAnsi="Verdana"/>
          <w:sz w:val="17"/>
          <w:szCs w:val="17"/>
          <w:color w:val="auto"/>
        </w:rPr>
        <w:t>all shares of the Company directly, indirectly or beneficially owned by such individual or entity; it being further understood that</w:t>
      </w:r>
    </w:p>
    <w:p>
      <w:pPr>
        <w:spacing w:after="0" w:line="383" w:lineRule="exact"/>
        <w:rPr>
          <w:sz w:val="20"/>
          <w:szCs w:val="20"/>
          <w:color w:val="auto"/>
        </w:rPr>
      </w:pPr>
    </w:p>
    <w:p>
      <w:pPr>
        <w:jc w:val="right"/>
        <w:ind w:left="759" w:hanging="377"/>
        <w:spacing w:after="0" w:line="236" w:lineRule="auto"/>
        <w:tabs>
          <w:tab w:leader="none" w:pos="664" w:val="left"/>
        </w:tabs>
        <w:numPr>
          <w:ilvl w:val="0"/>
          <w:numId w:val="15"/>
        </w:numPr>
        <w:rPr>
          <w:rFonts w:ascii="Verdana" w:cs="Verdana" w:eastAsia="Verdana" w:hAnsi="Verdana"/>
          <w:sz w:val="14"/>
          <w:szCs w:val="14"/>
          <w:color w:val="auto"/>
        </w:rPr>
      </w:pPr>
      <w:r>
        <w:rPr>
          <w:rFonts w:ascii="Verdana" w:cs="Verdana" w:eastAsia="Verdana" w:hAnsi="Verdana"/>
          <w:sz w:val="18"/>
          <w:szCs w:val="18"/>
          <w:color w:val="auto"/>
        </w:rPr>
        <w:t>a beneficial owner of a security includes any person who, directly or indirectly, through  any  contract,  arrangement,</w:t>
      </w:r>
    </w:p>
    <w:p>
      <w:pPr>
        <w:spacing w:after="0" w:line="2" w:lineRule="exact"/>
        <w:rPr>
          <w:rFonts w:ascii="Verdana" w:cs="Verdana" w:eastAsia="Verdana" w:hAnsi="Verdana"/>
          <w:sz w:val="14"/>
          <w:szCs w:val="14"/>
          <w:color w:val="auto"/>
        </w:rPr>
      </w:pPr>
    </w:p>
    <w:p>
      <w:pPr>
        <w:jc w:val="both"/>
        <w:ind w:left="759" w:right="20"/>
        <w:spacing w:after="0" w:line="245" w:lineRule="auto"/>
        <w:rPr>
          <w:rFonts w:ascii="Verdana" w:cs="Verdana" w:eastAsia="Verdana" w:hAnsi="Verdana"/>
          <w:sz w:val="14"/>
          <w:szCs w:val="14"/>
          <w:color w:val="auto"/>
        </w:rPr>
      </w:pPr>
      <w:r>
        <w:rPr>
          <w:rFonts w:ascii="Verdana" w:cs="Verdana" w:eastAsia="Verdana" w:hAnsi="Verdana"/>
          <w:sz w:val="18"/>
          <w:szCs w:val="18"/>
          <w:color w:val="auto"/>
        </w:rPr>
        <w:t>understanding, relationship, or otherwise alone or together with other such persons has or shares:</w:t>
      </w:r>
    </w:p>
    <w:p>
      <w:pPr>
        <w:spacing w:after="0" w:line="200" w:lineRule="exact"/>
        <w:rPr>
          <w:rFonts w:ascii="Verdana" w:cs="Verdana" w:eastAsia="Verdana" w:hAnsi="Verdana"/>
          <w:sz w:val="14"/>
          <w:szCs w:val="14"/>
          <w:color w:val="auto"/>
        </w:rPr>
      </w:pPr>
    </w:p>
    <w:p>
      <w:pPr>
        <w:spacing w:after="0" w:line="210" w:lineRule="exact"/>
        <w:rPr>
          <w:rFonts w:ascii="Verdana" w:cs="Verdana" w:eastAsia="Verdana" w:hAnsi="Verdana"/>
          <w:sz w:val="14"/>
          <w:szCs w:val="14"/>
          <w:color w:val="auto"/>
        </w:rPr>
      </w:pPr>
    </w:p>
    <w:p>
      <w:pPr>
        <w:jc w:val="both"/>
        <w:ind w:left="1139" w:right="20" w:hanging="373"/>
        <w:spacing w:after="0" w:line="245" w:lineRule="auto"/>
        <w:tabs>
          <w:tab w:leader="none" w:pos="1147" w:val="left"/>
        </w:tabs>
        <w:numPr>
          <w:ilvl w:val="1"/>
          <w:numId w:val="15"/>
        </w:numPr>
        <w:rPr>
          <w:rFonts w:ascii="Verdana" w:cs="Verdana" w:eastAsia="Verdana" w:hAnsi="Verdana"/>
          <w:sz w:val="14"/>
          <w:szCs w:val="14"/>
          <w:color w:val="auto"/>
        </w:rPr>
      </w:pPr>
      <w:r>
        <w:rPr>
          <w:rFonts w:ascii="Verdana" w:cs="Verdana" w:eastAsia="Verdana" w:hAnsi="Verdana"/>
          <w:sz w:val="18"/>
          <w:szCs w:val="18"/>
          <w:color w:val="auto"/>
        </w:rPr>
        <w:t>voting power which includes the power to vote, or to direct the voting of, such security; and/or</w:t>
      </w:r>
    </w:p>
    <w:p>
      <w:pPr>
        <w:spacing w:after="0" w:line="200" w:lineRule="exact"/>
        <w:rPr>
          <w:rFonts w:ascii="Verdana" w:cs="Verdana" w:eastAsia="Verdana" w:hAnsi="Verdana"/>
          <w:sz w:val="14"/>
          <w:szCs w:val="14"/>
          <w:color w:val="auto"/>
        </w:rPr>
      </w:pPr>
    </w:p>
    <w:p>
      <w:pPr>
        <w:spacing w:after="0" w:line="210" w:lineRule="exact"/>
        <w:rPr>
          <w:rFonts w:ascii="Verdana" w:cs="Verdana" w:eastAsia="Verdana" w:hAnsi="Verdana"/>
          <w:sz w:val="14"/>
          <w:szCs w:val="14"/>
          <w:color w:val="auto"/>
        </w:rPr>
      </w:pPr>
    </w:p>
    <w:p>
      <w:pPr>
        <w:ind w:left="1139" w:hanging="373"/>
        <w:spacing w:after="0" w:line="245" w:lineRule="auto"/>
        <w:tabs>
          <w:tab w:leader="none" w:pos="1058" w:val="left"/>
        </w:tabs>
        <w:numPr>
          <w:ilvl w:val="1"/>
          <w:numId w:val="15"/>
        </w:numPr>
        <w:rPr>
          <w:rFonts w:ascii="Verdana" w:cs="Verdana" w:eastAsia="Verdana" w:hAnsi="Verdana"/>
          <w:sz w:val="14"/>
          <w:szCs w:val="14"/>
          <w:color w:val="auto"/>
        </w:rPr>
      </w:pPr>
      <w:r>
        <w:rPr>
          <w:rFonts w:ascii="Verdana" w:cs="Verdana" w:eastAsia="Verdana" w:hAnsi="Verdana"/>
          <w:sz w:val="18"/>
          <w:szCs w:val="18"/>
          <w:color w:val="auto"/>
        </w:rPr>
        <w:t>investment power which includes the power to dispose, or to direct the disposition of, such security.</w:t>
      </w:r>
    </w:p>
    <w:p>
      <w:pPr>
        <w:spacing w:after="0" w:line="200" w:lineRule="exact"/>
        <w:rPr>
          <w:sz w:val="20"/>
          <w:szCs w:val="20"/>
          <w:color w:val="auto"/>
        </w:rPr>
      </w:pPr>
    </w:p>
    <w:p>
      <w:pPr>
        <w:spacing w:after="0" w:line="210" w:lineRule="exact"/>
        <w:rPr>
          <w:sz w:val="20"/>
          <w:szCs w:val="20"/>
          <w:color w:val="auto"/>
        </w:rPr>
      </w:pPr>
    </w:p>
    <w:p>
      <w:pPr>
        <w:jc w:val="both"/>
        <w:ind w:left="759" w:hanging="377"/>
        <w:spacing w:after="0" w:line="238" w:lineRule="auto"/>
        <w:tabs>
          <w:tab w:leader="none" w:pos="712" w:val="left"/>
        </w:tabs>
        <w:numPr>
          <w:ilvl w:val="0"/>
          <w:numId w:val="16"/>
        </w:numPr>
        <w:rPr>
          <w:rFonts w:ascii="Verdana" w:cs="Verdana" w:eastAsia="Verdana" w:hAnsi="Verdana"/>
          <w:sz w:val="14"/>
          <w:szCs w:val="14"/>
          <w:color w:val="auto"/>
        </w:rPr>
      </w:pPr>
      <w:r>
        <w:rPr>
          <w:rFonts w:ascii="Verdana" w:cs="Verdana" w:eastAsia="Verdana" w:hAnsi="Verdana"/>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20" w:lineRule="exact"/>
        <w:rPr>
          <w:sz w:val="20"/>
          <w:szCs w:val="20"/>
          <w:color w:val="auto"/>
        </w:rPr>
      </w:pPr>
      <w:r>
        <w:rPr>
          <w:sz w:val="20"/>
          <w:szCs w:val="20"/>
          <w:color w:val="auto"/>
        </w:rPr>
        <w:br w:type="column"/>
      </w:r>
    </w:p>
    <w:p>
      <w:pPr>
        <w:ind w:left="771" w:hanging="389"/>
        <w:spacing w:after="0" w:line="239" w:lineRule="auto"/>
        <w:tabs>
          <w:tab w:leader="none" w:pos="679" w:val="left"/>
        </w:tabs>
        <w:numPr>
          <w:ilvl w:val="1"/>
          <w:numId w:val="17"/>
        </w:numPr>
        <w:rPr>
          <w:rFonts w:ascii="Verdana" w:cs="Verdana" w:eastAsia="Verdana" w:hAnsi="Verdana"/>
          <w:sz w:val="14"/>
          <w:szCs w:val="14"/>
          <w:color w:val="auto"/>
        </w:rPr>
      </w:pPr>
      <w:r>
        <w:rPr>
          <w:rFonts w:ascii="Verdana" w:cs="Verdana" w:eastAsia="Verdana" w:hAnsi="Verdana"/>
          <w:sz w:val="18"/>
          <w:szCs w:val="18"/>
          <w:color w:val="auto"/>
        </w:rPr>
        <w:t>Aktien, die direkt oder indirekt durch oder für eine Gesellschaft gehalten werden, gelten in dem Umfang als im Eigentum einer solchen Einzelperson befindlich, in welchem eine solche Einzelperson ihre Stimmrechte an solchen Aktien ausübt oder die Ausübung beeinflusst; und</w:t>
      </w:r>
    </w:p>
    <w:p>
      <w:pPr>
        <w:spacing w:after="0" w:line="203" w:lineRule="exact"/>
        <w:rPr>
          <w:rFonts w:ascii="Verdana" w:cs="Verdana" w:eastAsia="Verdana" w:hAnsi="Verdana"/>
          <w:sz w:val="14"/>
          <w:szCs w:val="14"/>
          <w:color w:val="auto"/>
        </w:rPr>
      </w:pPr>
    </w:p>
    <w:p>
      <w:pPr>
        <w:jc w:val="both"/>
        <w:ind w:left="771" w:hanging="389"/>
        <w:spacing w:after="0" w:line="245" w:lineRule="auto"/>
        <w:tabs>
          <w:tab w:leader="none" w:pos="742" w:val="left"/>
        </w:tabs>
        <w:numPr>
          <w:ilvl w:val="1"/>
          <w:numId w:val="17"/>
        </w:numPr>
        <w:rPr>
          <w:rFonts w:ascii="Verdana" w:cs="Verdana" w:eastAsia="Verdana" w:hAnsi="Verdana"/>
          <w:sz w:val="14"/>
          <w:szCs w:val="14"/>
          <w:color w:val="auto"/>
        </w:rPr>
      </w:pPr>
      <w:r>
        <w:rPr>
          <w:rFonts w:ascii="Verdana" w:cs="Verdana" w:eastAsia="Verdana" w:hAnsi="Verdana"/>
          <w:sz w:val="18"/>
          <w:szCs w:val="18"/>
          <w:color w:val="auto"/>
        </w:rPr>
        <w:t>Aktien, die in Abhängigkeit zu Optionen, Bezugsrechten oder anderen ähnlichen Rechten stehen, als Eigentum gelten; und</w:t>
      </w:r>
    </w:p>
    <w:p>
      <w:pPr>
        <w:spacing w:after="0" w:line="207" w:lineRule="exact"/>
        <w:rPr>
          <w:rFonts w:ascii="Verdana" w:cs="Verdana" w:eastAsia="Verdana" w:hAnsi="Verdana"/>
          <w:sz w:val="14"/>
          <w:szCs w:val="14"/>
          <w:color w:val="auto"/>
        </w:rPr>
      </w:pPr>
    </w:p>
    <w:p>
      <w:pPr>
        <w:jc w:val="both"/>
        <w:ind w:left="391" w:hanging="391"/>
        <w:spacing w:after="0" w:line="247" w:lineRule="auto"/>
        <w:tabs>
          <w:tab w:leader="none" w:pos="549" w:val="left"/>
        </w:tabs>
        <w:numPr>
          <w:ilvl w:val="0"/>
          <w:numId w:val="18"/>
        </w:numPr>
        <w:rPr>
          <w:rFonts w:ascii="Verdana" w:cs="Verdana" w:eastAsia="Verdana" w:hAnsi="Verdana"/>
          <w:sz w:val="14"/>
          <w:szCs w:val="14"/>
          <w:color w:val="auto"/>
        </w:rPr>
      </w:pPr>
      <w:r>
        <w:rPr>
          <w:rFonts w:ascii="Verdana" w:cs="Verdana" w:eastAsia="Verdana" w:hAnsi="Verdana"/>
          <w:sz w:val="18"/>
          <w:szCs w:val="18"/>
          <w:color w:val="auto"/>
        </w:rPr>
        <w:t>alle Aktien der Gesellschaft, die direkt, indirekt oder vorteilhaft durch eine solche Einzelperson oder eine juristische Person gehalten werden; darüber hinaus gilt, dass</w:t>
      </w:r>
    </w:p>
    <w:p>
      <w:pPr>
        <w:spacing w:after="0" w:line="192" w:lineRule="exact"/>
        <w:rPr>
          <w:rFonts w:ascii="Verdana" w:cs="Verdana" w:eastAsia="Verdana" w:hAnsi="Verdana"/>
          <w:sz w:val="14"/>
          <w:szCs w:val="14"/>
          <w:color w:val="auto"/>
        </w:rPr>
      </w:pPr>
    </w:p>
    <w:p>
      <w:pPr>
        <w:jc w:val="both"/>
        <w:ind w:left="771" w:hanging="389"/>
        <w:spacing w:after="0" w:line="239" w:lineRule="auto"/>
        <w:tabs>
          <w:tab w:leader="none" w:pos="838" w:val="left"/>
        </w:tabs>
        <w:numPr>
          <w:ilvl w:val="1"/>
          <w:numId w:val="18"/>
        </w:numPr>
        <w:rPr>
          <w:rFonts w:ascii="Verdana" w:cs="Verdana" w:eastAsia="Verdana" w:hAnsi="Verdana"/>
          <w:sz w:val="14"/>
          <w:szCs w:val="14"/>
          <w:color w:val="auto"/>
        </w:rPr>
      </w:pPr>
      <w:r>
        <w:rPr>
          <w:rFonts w:ascii="Verdana" w:cs="Verdana" w:eastAsia="Verdana" w:hAnsi="Verdana"/>
          <w:sz w:val="18"/>
          <w:szCs w:val="18"/>
          <w:color w:val="auto"/>
        </w:rPr>
        <w:t>ein begünstigter Eigentümer eines Wertpapiers jede Person umfasst, die direkt oder indirekt, durch jede Art von Vertrag, Vereinbarung, Einvernehmen, Bindung oder anderweitig allein oder mit anderen Personen gemeinsam hat oder teilt:</w:t>
      </w:r>
    </w:p>
    <w:p>
      <w:pPr>
        <w:spacing w:after="0" w:line="203" w:lineRule="exact"/>
        <w:rPr>
          <w:rFonts w:ascii="Verdana" w:cs="Verdana" w:eastAsia="Verdana" w:hAnsi="Verdana"/>
          <w:sz w:val="14"/>
          <w:szCs w:val="14"/>
          <w:color w:val="auto"/>
        </w:rPr>
      </w:pPr>
    </w:p>
    <w:p>
      <w:pPr>
        <w:jc w:val="both"/>
        <w:ind w:left="1151" w:hanging="386"/>
        <w:spacing w:after="0" w:line="236" w:lineRule="auto"/>
        <w:tabs>
          <w:tab w:leader="none" w:pos="1116" w:val="left"/>
        </w:tabs>
        <w:numPr>
          <w:ilvl w:val="2"/>
          <w:numId w:val="18"/>
        </w:numPr>
        <w:rPr>
          <w:rFonts w:ascii="Verdana" w:cs="Verdana" w:eastAsia="Verdana" w:hAnsi="Verdana"/>
          <w:sz w:val="14"/>
          <w:szCs w:val="14"/>
          <w:color w:val="auto"/>
        </w:rPr>
      </w:pPr>
      <w:r>
        <w:rPr>
          <w:rFonts w:ascii="Verdana" w:cs="Verdana" w:eastAsia="Verdana" w:hAnsi="Verdana"/>
          <w:sz w:val="18"/>
          <w:szCs w:val="18"/>
          <w:color w:val="auto"/>
        </w:rPr>
        <w:t>das Stimmrecht, welches das Recht zur Stimmabgabe, oder zur Leitung</w:t>
      </w:r>
    </w:p>
    <w:p>
      <w:pPr>
        <w:spacing w:after="0" w:line="1" w:lineRule="exact"/>
        <w:rPr>
          <w:rFonts w:ascii="Verdana" w:cs="Verdana" w:eastAsia="Verdana" w:hAnsi="Verdana"/>
          <w:sz w:val="14"/>
          <w:szCs w:val="14"/>
          <w:color w:val="auto"/>
        </w:rPr>
      </w:pPr>
    </w:p>
    <w:p>
      <w:pPr>
        <w:ind w:left="1151"/>
        <w:spacing w:after="0" w:line="254" w:lineRule="auto"/>
        <w:rPr>
          <w:rFonts w:ascii="Verdana" w:cs="Verdana" w:eastAsia="Verdana" w:hAnsi="Verdana"/>
          <w:sz w:val="14"/>
          <w:szCs w:val="14"/>
          <w:color w:val="auto"/>
        </w:rPr>
      </w:pPr>
      <w:r>
        <w:rPr>
          <w:rFonts w:ascii="Verdana" w:cs="Verdana" w:eastAsia="Verdana" w:hAnsi="Verdana"/>
          <w:sz w:val="18"/>
          <w:szCs w:val="18"/>
          <w:color w:val="auto"/>
        </w:rPr>
        <w:t>der Stimme eines solchen Wertpapiers umfasst; und/oder</w:t>
      </w:r>
    </w:p>
    <w:p>
      <w:pPr>
        <w:spacing w:after="0" w:line="184" w:lineRule="exact"/>
        <w:rPr>
          <w:rFonts w:ascii="Verdana" w:cs="Verdana" w:eastAsia="Verdana" w:hAnsi="Verdana"/>
          <w:sz w:val="14"/>
          <w:szCs w:val="14"/>
          <w:color w:val="auto"/>
        </w:rPr>
      </w:pPr>
    </w:p>
    <w:p>
      <w:pPr>
        <w:jc w:val="both"/>
        <w:ind w:left="1151" w:hanging="386"/>
        <w:spacing w:after="0" w:line="242" w:lineRule="auto"/>
        <w:tabs>
          <w:tab w:leader="none" w:pos="1172" w:val="left"/>
        </w:tabs>
        <w:numPr>
          <w:ilvl w:val="2"/>
          <w:numId w:val="18"/>
        </w:numPr>
        <w:rPr>
          <w:rFonts w:ascii="Verdana" w:cs="Verdana" w:eastAsia="Verdana" w:hAnsi="Verdana"/>
          <w:sz w:val="14"/>
          <w:szCs w:val="14"/>
          <w:color w:val="auto"/>
        </w:rPr>
      </w:pPr>
      <w:r>
        <w:rPr>
          <w:rFonts w:ascii="Verdana" w:cs="Verdana" w:eastAsia="Verdana" w:hAnsi="Verdana"/>
          <w:sz w:val="18"/>
          <w:szCs w:val="18"/>
          <w:color w:val="auto"/>
        </w:rPr>
        <w:t>das Investitionsrecht, welches die Verfügungsmacht oder ein Recht zur Bestimmung über die Verfügung eines solchen Wertpapiers umfasst.</w:t>
      </w:r>
    </w:p>
    <w:p>
      <w:pPr>
        <w:spacing w:after="0" w:line="197" w:lineRule="exact"/>
        <w:rPr>
          <w:rFonts w:ascii="Verdana" w:cs="Verdana" w:eastAsia="Verdana" w:hAnsi="Verdana"/>
          <w:sz w:val="14"/>
          <w:szCs w:val="14"/>
          <w:color w:val="auto"/>
        </w:rPr>
      </w:pPr>
    </w:p>
    <w:p>
      <w:pPr>
        <w:jc w:val="both"/>
        <w:ind w:left="771" w:hanging="389"/>
        <w:spacing w:after="0" w:line="253" w:lineRule="auto"/>
        <w:tabs>
          <w:tab w:leader="none" w:pos="749" w:val="left"/>
        </w:tabs>
        <w:numPr>
          <w:ilvl w:val="1"/>
          <w:numId w:val="18"/>
        </w:numPr>
        <w:rPr>
          <w:rFonts w:ascii="Verdana" w:cs="Verdana" w:eastAsia="Verdana" w:hAnsi="Verdana"/>
          <w:sz w:val="13"/>
          <w:szCs w:val="13"/>
          <w:color w:val="auto"/>
        </w:rPr>
      </w:pPr>
      <w:r>
        <w:rPr>
          <w:rFonts w:ascii="Verdana" w:cs="Verdana" w:eastAsia="Verdana" w:hAnsi="Verdana"/>
          <w:sz w:val="17"/>
          <w:szCs w:val="17"/>
          <w:color w:val="auto"/>
        </w:rPr>
        <w:t>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584835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499" w:space="429"/>
            <w:col w:w="4591"/>
          </w:cols>
          <w:pgMar w:left="1181" w:top="755" w:right="1199" w:bottom="1440" w:gutter="0" w:footer="0" w:header="0"/>
        </w:sectPr>
      </w:pPr>
    </w:p>
    <w:bookmarkStart w:id="16" w:name="page17"/>
    <w:bookmarkEnd w:id="16"/>
    <w:p>
      <w:pPr>
        <w:jc w:val="both"/>
        <w:ind w:left="760" w:hanging="377"/>
        <w:spacing w:after="0" w:line="238" w:lineRule="auto"/>
        <w:tabs>
          <w:tab w:leader="none" w:pos="761" w:val="left"/>
        </w:tabs>
        <w:numPr>
          <w:ilvl w:val="0"/>
          <w:numId w:val="19"/>
        </w:numPr>
        <w:rPr>
          <w:rFonts w:ascii="Verdana" w:cs="Verdana" w:eastAsia="Verdana" w:hAnsi="Verdana"/>
          <w:sz w:val="14"/>
          <w:szCs w:val="14"/>
          <w:color w:val="auto"/>
        </w:rPr>
      </w:pPr>
      <w:r>
        <w:rPr>
          <w:rFonts w:ascii="Verdana" w:cs="Verdana" w:eastAsia="Verdana" w:hAnsi="Verdana"/>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limit of 5% or more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subscription rights arising from either registered or bearer shares. The registered shares exceeding the limit of 5% shall be entered in the share register as shares without voting rights.</w:t>
      </w: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Corporate bodies and partnerships or other groups of persons or joint owners who are interrelated to one another through capital ownership, voting rights, uniform management or otherwise linked as well as individuals or corporate bodies and partnerships who act in concert to circumvent the regulations concerning the limitation of registration or the nominees (especially as syndicates), shall be treated as one single person or nominee within the meaning of this Article 4 and Article 16.</w:t>
      </w:r>
    </w:p>
    <w:p>
      <w:pPr>
        <w:spacing w:after="0" w:line="200" w:lineRule="exact"/>
        <w:rPr>
          <w:sz w:val="20"/>
          <w:szCs w:val="20"/>
          <w:color w:val="auto"/>
        </w:rPr>
      </w:pPr>
    </w:p>
    <w:p>
      <w:pPr>
        <w:spacing w:after="0" w:line="222" w:lineRule="exact"/>
        <w:rPr>
          <w:sz w:val="20"/>
          <w:szCs w:val="20"/>
          <w:color w:val="auto"/>
        </w:rPr>
      </w:pPr>
    </w:p>
    <w:p>
      <w:pPr>
        <w:ind w:left="980" w:right="760" w:hanging="1218"/>
        <w:spacing w:after="0" w:line="254" w:lineRule="auto"/>
        <w:tabs>
          <w:tab w:leader="none" w:pos="960" w:val="left"/>
        </w:tabs>
        <w:rPr>
          <w:sz w:val="20"/>
          <w:szCs w:val="20"/>
          <w:color w:val="auto"/>
        </w:rPr>
      </w:pPr>
      <w:r>
        <w:rPr>
          <w:rFonts w:ascii="Verdana" w:cs="Verdana" w:eastAsia="Verdana" w:hAnsi="Verdana"/>
          <w:sz w:val="18"/>
          <w:szCs w:val="18"/>
          <w:b w:val="1"/>
          <w:bCs w:val="1"/>
          <w:color w:val="auto"/>
        </w:rPr>
        <w:t>Art. 5</w:t>
      </w:r>
      <w:r>
        <w:rPr>
          <w:sz w:val="20"/>
          <w:szCs w:val="20"/>
          <w:color w:val="auto"/>
        </w:rPr>
        <w:tab/>
      </w:r>
      <w:r>
        <w:rPr>
          <w:rFonts w:ascii="Verdana" w:cs="Verdana" w:eastAsia="Verdana" w:hAnsi="Verdana"/>
          <w:sz w:val="18"/>
          <w:szCs w:val="18"/>
          <w:b w:val="1"/>
          <w:bCs w:val="1"/>
          <w:color w:val="auto"/>
        </w:rPr>
        <w:t>Share Certificates and Intermediated Securities</w:t>
      </w:r>
    </w:p>
    <w:p>
      <w:pPr>
        <w:spacing w:after="0" w:line="18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Company may issue its registered shares in the form of single certificates, global certificates and uncertificated securities. Under the conditions</w:t>
      </w:r>
    </w:p>
    <w:p>
      <w:pPr>
        <w:spacing w:after="0" w:line="20" w:lineRule="exact"/>
        <w:rPr>
          <w:sz w:val="20"/>
          <w:szCs w:val="20"/>
          <w:color w:val="auto"/>
        </w:rPr>
      </w:pPr>
      <w:r>
        <w:rPr>
          <w:sz w:val="20"/>
          <w:szCs w:val="20"/>
          <w:color w:val="auto"/>
        </w:rPr>
        <w:br w:type="column"/>
      </w:r>
    </w:p>
    <w:p>
      <w:pPr>
        <w:jc w:val="both"/>
        <w:ind w:left="780" w:hanging="389"/>
        <w:spacing w:after="0" w:line="236" w:lineRule="auto"/>
        <w:tabs>
          <w:tab w:leader="none" w:pos="901" w:val="left"/>
        </w:tabs>
        <w:numPr>
          <w:ilvl w:val="0"/>
          <w:numId w:val="20"/>
        </w:numPr>
        <w:rPr>
          <w:rFonts w:ascii="Verdana" w:cs="Verdana" w:eastAsia="Verdana" w:hAnsi="Verdana"/>
          <w:sz w:val="14"/>
          <w:szCs w:val="14"/>
          <w:color w:val="auto"/>
        </w:rPr>
      </w:pPr>
      <w:r>
        <w:rPr>
          <w:rFonts w:ascii="Verdana" w:cs="Verdana" w:eastAsia="Verdana" w:hAnsi="Verdana"/>
          <w:sz w:val="18"/>
          <w:szCs w:val="18"/>
          <w:color w:val="auto"/>
        </w:rPr>
        <w:t>Eine Person soll als begünstigter Eigentümer von Aktien eingestuft werden, wenn diese Person das Recht hat, ein begünstigendes Eigentum an solchen Aktien innerhalb von 60 Tagen zu erwerben, inklusive, aber nicht beschränkt auf jegliches erworbenes Recht: (A) durch die Ausübung jeglicher Option, jedes Bezugsrechts oder sonstigen Rechts; (B) durch die Umwandlung eines Wertpapiers; (C) aufgrund der Befugnis, einen Trust, ein</w:t>
      </w:r>
    </w:p>
    <w:p>
      <w:pPr>
        <w:spacing w:after="0" w:line="10" w:lineRule="exact"/>
        <w:rPr>
          <w:rFonts w:ascii="Verdana" w:cs="Verdana" w:eastAsia="Verdana" w:hAnsi="Verdana"/>
          <w:sz w:val="14"/>
          <w:szCs w:val="14"/>
          <w:color w:val="auto"/>
        </w:rPr>
      </w:pPr>
    </w:p>
    <w:p>
      <w:pPr>
        <w:jc w:val="both"/>
        <w:ind w:left="780"/>
        <w:spacing w:after="0" w:line="236" w:lineRule="auto"/>
        <w:rPr>
          <w:rFonts w:ascii="Verdana" w:cs="Verdana" w:eastAsia="Verdana" w:hAnsi="Verdana"/>
          <w:sz w:val="14"/>
          <w:szCs w:val="14"/>
          <w:color w:val="auto"/>
        </w:rPr>
      </w:pPr>
      <w:r>
        <w:rPr>
          <w:rFonts w:ascii="Verdana" w:cs="Verdana" w:eastAsia="Verdana" w:hAnsi="Verdana"/>
          <w:sz w:val="18"/>
          <w:szCs w:val="18"/>
          <w:color w:val="auto"/>
        </w:rPr>
        <w:t>Vermögensverwaltungskonto oder ähnliche Verhältnisse zu widerrufen oder</w:t>
      </w:r>
    </w:p>
    <w:p>
      <w:pPr>
        <w:spacing w:after="0" w:line="1" w:lineRule="exact"/>
        <w:rPr>
          <w:rFonts w:ascii="Verdana" w:cs="Verdana" w:eastAsia="Verdana" w:hAnsi="Verdana"/>
          <w:sz w:val="14"/>
          <w:szCs w:val="14"/>
          <w:color w:val="auto"/>
        </w:rPr>
      </w:pPr>
    </w:p>
    <w:p>
      <w:pPr>
        <w:jc w:val="both"/>
        <w:ind w:left="780" w:hanging="7"/>
        <w:spacing w:after="0" w:line="242" w:lineRule="auto"/>
        <w:tabs>
          <w:tab w:leader="none" w:pos="1409" w:val="left"/>
        </w:tabs>
        <w:numPr>
          <w:ilvl w:val="1"/>
          <w:numId w:val="20"/>
        </w:numPr>
        <w:rPr>
          <w:rFonts w:ascii="Verdana" w:cs="Verdana" w:eastAsia="Verdana" w:hAnsi="Verdana"/>
          <w:sz w:val="18"/>
          <w:szCs w:val="18"/>
          <w:color w:val="auto"/>
        </w:rPr>
      </w:pPr>
      <w:r>
        <w:rPr>
          <w:rFonts w:ascii="Verdana" w:cs="Verdana" w:eastAsia="Verdana" w:hAnsi="Verdana"/>
          <w:sz w:val="18"/>
          <w:szCs w:val="18"/>
          <w:color w:val="auto"/>
        </w:rPr>
        <w:t>in Zusammenhang mit der automatischen Auflösung eines Trusts, Vermögensverwaltungskontos oder eines ähnlichen Verhältnisses.</w:t>
      </w:r>
    </w:p>
    <w:p>
      <w:pPr>
        <w:spacing w:after="0" w:line="198"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Die Grenze von 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Bezugsrechten, die entweder aus Namen- oder Inhaberaktien hervorgehen. Die Namenaktien, welche die Grenze von 5% übersteigen, sind im Aktienbuch als Aktien ohne Stimmrecht einzutragen.</w:t>
      </w:r>
    </w:p>
    <w:p>
      <w:pPr>
        <w:spacing w:after="0" w:line="20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Juristische Personen und Personengesellschaften oder andere Personenzusammenschlüsse oder Gesamthandverhältnisse, die untereinander kapital- oder stimmenmässig, durch einheitliche Leitung oder auf andere Weise verbunden sind, sowie natürliche oder juristische Personen oder Personengesellschaften, die im Hinblick auf eine Umgehung der Eintragungsbeschränkungen oder der Bestimmungen über die Nominees (insbesondere als Syndikat) koordiniert vorgehen, gelten als eine Einzelperson oder Nominee im Sinne dieses Art. 4 und Art. 16.</w:t>
      </w:r>
    </w:p>
    <w:p>
      <w:pPr>
        <w:spacing w:after="0" w:line="205"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5</w:t>
      </w:r>
      <w:r>
        <w:rPr>
          <w:sz w:val="20"/>
          <w:szCs w:val="20"/>
          <w:color w:val="auto"/>
        </w:rPr>
        <w:tab/>
      </w:r>
      <w:r>
        <w:rPr>
          <w:rFonts w:ascii="Verdana" w:cs="Verdana" w:eastAsia="Verdana" w:hAnsi="Verdana"/>
          <w:sz w:val="17"/>
          <w:szCs w:val="17"/>
          <w:b w:val="1"/>
          <w:bCs w:val="1"/>
          <w:color w:val="auto"/>
        </w:rPr>
        <w:t>Aktienzertifikate und Bucheffekten</w:t>
      </w:r>
    </w:p>
    <w:p>
      <w:pPr>
        <w:spacing w:after="0" w:line="200" w:lineRule="exact"/>
        <w:rPr>
          <w:sz w:val="20"/>
          <w:szCs w:val="20"/>
          <w:color w:val="auto"/>
        </w:rPr>
      </w:pPr>
    </w:p>
    <w:p>
      <w:pPr>
        <w:spacing w:after="0" w:line="22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Die Gesellschaft kann ihre Namenaktien in Form von Einzelurkunden, Globalurkunden oder Wertrechten ausgeben. Der Gesellschaft steht 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516890</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17" w:name="page18"/>
    <w:bookmarkEnd w:id="17"/>
    <w:p>
      <w:pPr>
        <w:jc w:val="both"/>
        <w:ind w:right="400"/>
        <w:spacing w:after="0" w:line="242" w:lineRule="auto"/>
        <w:rPr>
          <w:sz w:val="20"/>
          <w:szCs w:val="20"/>
          <w:color w:val="auto"/>
        </w:rPr>
      </w:pPr>
      <w:r>
        <w:rPr>
          <w:rFonts w:ascii="Verdana" w:cs="Verdana" w:eastAsia="Verdana" w:hAnsi="Verdana"/>
          <w:sz w:val="18"/>
          <w:szCs w:val="18"/>
          <w:color w:val="auto"/>
        </w:rPr>
        <w:t>set forth by statutory law, the Company may convert its registered shares from one form into another form at any time and without the approval of the shareholders.</w:t>
      </w:r>
    </w:p>
    <w:p>
      <w:pPr>
        <w:spacing w:after="0" w:line="200" w:lineRule="exact"/>
        <w:rPr>
          <w:sz w:val="20"/>
          <w:szCs w:val="20"/>
          <w:color w:val="auto"/>
        </w:rPr>
      </w:pPr>
    </w:p>
    <w:p>
      <w:pPr>
        <w:spacing w:after="0" w:line="214" w:lineRule="exact"/>
        <w:rPr>
          <w:sz w:val="20"/>
          <w:szCs w:val="20"/>
          <w:color w:val="auto"/>
        </w:rPr>
      </w:pPr>
    </w:p>
    <w:p>
      <w:pPr>
        <w:jc w:val="both"/>
        <w:ind w:right="400"/>
        <w:spacing w:after="0" w:line="239" w:lineRule="auto"/>
        <w:rPr>
          <w:sz w:val="20"/>
          <w:szCs w:val="20"/>
          <w:color w:val="auto"/>
        </w:rPr>
      </w:pPr>
      <w:r>
        <w:rPr>
          <w:rFonts w:ascii="Verdana" w:cs="Verdana" w:eastAsia="Verdana" w:hAnsi="Verdana"/>
          <w:sz w:val="18"/>
          <w:szCs w:val="18"/>
          <w:color w:val="auto"/>
        </w:rPr>
        <w:t>The shareholder has no right to demand a conversion of the form of the registered shares. Each shareholder may, however, at any time request a written confirmation from the Company of the registered shares held by such shareholder, as reflected in the share register.</w:t>
      </w:r>
    </w:p>
    <w:p>
      <w:pPr>
        <w:spacing w:after="0" w:line="200" w:lineRule="exact"/>
        <w:rPr>
          <w:sz w:val="20"/>
          <w:szCs w:val="20"/>
          <w:color w:val="auto"/>
        </w:rPr>
      </w:pPr>
    </w:p>
    <w:p>
      <w:pPr>
        <w:spacing w:after="0" w:line="219"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The transfer or grant of intermediated securities based on the Company's shares and the pledging of these intermediated securities shall be based on the provisions of the Swiss Federal Intermediated Securities Act. Intermediated securities and security interest in intermediated securities cannot be transferred or granted, respectively, by way of assignment.</w:t>
      </w:r>
    </w:p>
    <w:p>
      <w:pPr>
        <w:spacing w:after="0" w:line="199" w:lineRule="exact"/>
        <w:rPr>
          <w:sz w:val="20"/>
          <w:szCs w:val="20"/>
          <w:color w:val="auto"/>
        </w:rPr>
      </w:pPr>
    </w:p>
    <w:p>
      <w:pPr>
        <w:ind w:left="980" w:right="1040" w:hanging="1218"/>
        <w:spacing w:after="0" w:line="254" w:lineRule="auto"/>
        <w:tabs>
          <w:tab w:leader="none" w:pos="960" w:val="left"/>
        </w:tabs>
        <w:rPr>
          <w:sz w:val="20"/>
          <w:szCs w:val="20"/>
          <w:color w:val="auto"/>
        </w:rPr>
      </w:pPr>
      <w:r>
        <w:rPr>
          <w:rFonts w:ascii="Verdana" w:cs="Verdana" w:eastAsia="Verdana" w:hAnsi="Verdana"/>
          <w:sz w:val="18"/>
          <w:szCs w:val="18"/>
          <w:b w:val="1"/>
          <w:bCs w:val="1"/>
          <w:color w:val="auto"/>
        </w:rPr>
        <w:t>Art. 6</w:t>
      </w:r>
      <w:r>
        <w:rPr>
          <w:sz w:val="20"/>
          <w:szCs w:val="20"/>
          <w:color w:val="auto"/>
        </w:rPr>
        <w:tab/>
      </w:r>
      <w:r>
        <w:rPr>
          <w:rFonts w:ascii="Verdana" w:cs="Verdana" w:eastAsia="Verdana" w:hAnsi="Verdana"/>
          <w:sz w:val="18"/>
          <w:szCs w:val="18"/>
          <w:b w:val="1"/>
          <w:bCs w:val="1"/>
          <w:color w:val="auto"/>
        </w:rPr>
        <w:t>Exercise of Shareholders Rights</w:t>
      </w:r>
    </w:p>
    <w:p>
      <w:pPr>
        <w:spacing w:after="0" w:line="185" w:lineRule="exact"/>
        <w:rPr>
          <w:sz w:val="20"/>
          <w:szCs w:val="20"/>
          <w:color w:val="auto"/>
        </w:rPr>
      </w:pPr>
    </w:p>
    <w:p>
      <w:pPr>
        <w:jc w:val="both"/>
        <w:ind w:right="400"/>
        <w:spacing w:after="0" w:line="245" w:lineRule="auto"/>
        <w:rPr>
          <w:sz w:val="20"/>
          <w:szCs w:val="20"/>
          <w:color w:val="auto"/>
        </w:rPr>
      </w:pPr>
      <w:r>
        <w:rPr>
          <w:rFonts w:ascii="Verdana" w:cs="Verdana" w:eastAsia="Verdana" w:hAnsi="Verdana"/>
          <w:sz w:val="18"/>
          <w:szCs w:val="18"/>
          <w:color w:val="auto"/>
        </w:rPr>
        <w:t>The rights pertaining to a share are indivisible and the Company recognizes only one single representative per share.</w:t>
      </w:r>
    </w:p>
    <w:p>
      <w:pPr>
        <w:spacing w:after="0" w:line="194"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The right to vote and the other rights pertaining to a share may only be exercised in accordance with law and the Articles of Association. The right to vote shall be reserved to persons registered with voting rights in the share register in accordance with Article 4 of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-210185</wp:posOffset>
            </wp:positionV>
            <wp:extent cx="831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8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III. CORPORATE STRUCTURE</w:t>
      </w:r>
    </w:p>
    <w:p>
      <w:pPr>
        <w:spacing w:after="0" w:line="200" w:lineRule="exact"/>
        <w:rPr>
          <w:sz w:val="20"/>
          <w:szCs w:val="20"/>
          <w:color w:val="auto"/>
        </w:rPr>
      </w:pPr>
    </w:p>
    <w:p>
      <w:pPr>
        <w:spacing w:after="0" w:line="229" w:lineRule="exact"/>
        <w:rPr>
          <w:sz w:val="20"/>
          <w:szCs w:val="20"/>
          <w:color w:val="auto"/>
        </w:rPr>
      </w:pPr>
    </w:p>
    <w:p>
      <w:pPr>
        <w:ind w:right="1820"/>
        <w:spacing w:after="0" w:line="414" w:lineRule="auto"/>
        <w:rPr>
          <w:sz w:val="20"/>
          <w:szCs w:val="20"/>
          <w:color w:val="auto"/>
        </w:rPr>
      </w:pPr>
      <w:r>
        <w:rPr>
          <w:rFonts w:ascii="Verdana" w:cs="Verdana" w:eastAsia="Verdana" w:hAnsi="Verdana"/>
          <w:sz w:val="18"/>
          <w:szCs w:val="18"/>
          <w:b w:val="1"/>
          <w:bCs w:val="1"/>
          <w:color w:val="auto"/>
        </w:rPr>
        <w:t xml:space="preserve">Art. 7 Corporate Bodies </w:t>
      </w:r>
      <w:r>
        <w:rPr>
          <w:rFonts w:ascii="Verdana" w:cs="Verdana" w:eastAsia="Verdana" w:hAnsi="Verdana"/>
          <w:sz w:val="18"/>
          <w:szCs w:val="18"/>
          <w:color w:val="auto"/>
        </w:rPr>
        <w:t>The corporate bodies are:</w:t>
      </w:r>
    </w:p>
    <w:p>
      <w:pPr>
        <w:spacing w:after="0" w:line="1" w:lineRule="exact"/>
        <w:rPr>
          <w:sz w:val="20"/>
          <w:szCs w:val="20"/>
          <w:color w:val="auto"/>
        </w:rPr>
      </w:pPr>
    </w:p>
    <w:p>
      <w:pPr>
        <w:ind w:left="500" w:hanging="499"/>
        <w:spacing w:after="0"/>
        <w:tabs>
          <w:tab w:leader="none" w:pos="50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the General Meeting;</w:t>
      </w:r>
    </w:p>
    <w:p>
      <w:pPr>
        <w:spacing w:after="0" w:line="105" w:lineRule="exact"/>
        <w:rPr>
          <w:rFonts w:ascii="Verdana" w:cs="Verdana" w:eastAsia="Verdana" w:hAnsi="Verdana"/>
          <w:sz w:val="18"/>
          <w:szCs w:val="18"/>
          <w:color w:val="auto"/>
        </w:rPr>
      </w:pPr>
    </w:p>
    <w:p>
      <w:pPr>
        <w:ind w:left="500" w:hanging="499"/>
        <w:spacing w:after="0"/>
        <w:tabs>
          <w:tab w:leader="none" w:pos="50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the Board of Directors;</w:t>
      </w:r>
    </w:p>
    <w:p>
      <w:pPr>
        <w:spacing w:after="0" w:line="105" w:lineRule="exact"/>
        <w:rPr>
          <w:rFonts w:ascii="Verdana" w:cs="Verdana" w:eastAsia="Verdana" w:hAnsi="Verdana"/>
          <w:sz w:val="18"/>
          <w:szCs w:val="18"/>
          <w:color w:val="auto"/>
        </w:rPr>
      </w:pPr>
    </w:p>
    <w:p>
      <w:pPr>
        <w:ind w:left="500" w:hanging="499"/>
        <w:spacing w:after="0"/>
        <w:tabs>
          <w:tab w:leader="none" w:pos="50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the Auditors.</w:t>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Verdana" w:cs="Verdana" w:eastAsia="Verdana" w:hAnsi="Verdana"/>
          <w:sz w:val="18"/>
          <w:szCs w:val="18"/>
          <w:color w:val="auto"/>
        </w:rPr>
        <w:t>im Rahmen der gesetzlichen Vorhaben frei, ihre in einer dieser Formen ausgegebenen Namenaktien jederzeit und ohne Zustimmung der Aktionäre in eine andere Form umzuwandeln.</w:t>
      </w:r>
    </w:p>
    <w:p>
      <w:pPr>
        <w:spacing w:after="0" w:line="198"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Der Aktionär hat keinen Anspruch auf Umwandlung von in bestimmter Form ausgegebenen Namenaktien in eine andere Form. Jeder Aktionär kann jedoch von der Gesellschaft jederzeit die Ausstellung einer Bescheinigung über die von ihm gemäss</w:t>
      </w:r>
    </w:p>
    <w:p>
      <w:pPr>
        <w:spacing w:after="0" w:line="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Aktienbuch gehaltenen Namenaktien verlangen.</w:t>
      </w:r>
    </w:p>
    <w:p>
      <w:pPr>
        <w:spacing w:after="0" w:line="18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Die Übertragung oder Schaffung von Bucheffekten, denen Aktien der Gesellschaft zugrunde liegen, und die Bestellung von Sicherheiten an diesen Bucheffekten richten sich nach den Bestimmungen des Bucheffektengesetzes. Bucheffekten und Sicherheiten an Bucheffekten können nicht mittels Abtretung übertragen bzw. begründet werden.</w:t>
      </w:r>
    </w:p>
    <w:p>
      <w:pPr>
        <w:spacing w:after="0" w:line="19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6</w:t>
      </w:r>
      <w:r>
        <w:rPr>
          <w:sz w:val="20"/>
          <w:szCs w:val="20"/>
          <w:color w:val="auto"/>
        </w:rPr>
        <w:tab/>
      </w:r>
      <w:r>
        <w:rPr>
          <w:rFonts w:ascii="Verdana" w:cs="Verdana" w:eastAsia="Verdana" w:hAnsi="Verdana"/>
          <w:sz w:val="17"/>
          <w:szCs w:val="17"/>
          <w:b w:val="1"/>
          <w:bCs w:val="1"/>
          <w:color w:val="auto"/>
        </w:rPr>
        <w:t>Ausübung von Aktionärsrechten</w:t>
      </w:r>
    </w:p>
    <w:p>
      <w:pPr>
        <w:spacing w:after="0" w:line="200" w:lineRule="exact"/>
        <w:rPr>
          <w:sz w:val="20"/>
          <w:szCs w:val="20"/>
          <w:color w:val="auto"/>
        </w:rPr>
      </w:pPr>
    </w:p>
    <w:p>
      <w:pPr>
        <w:spacing w:after="0" w:line="22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Die aus einer Aktie fliessenden Rechte sind unteilbar und die Gesellschaft anerkennt nur einen einzigen Vertreter pro Aktie.</w:t>
      </w:r>
    </w:p>
    <w:p>
      <w:pPr>
        <w:spacing w:after="0" w:line="19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Das Stimmrecht und die anderen aus einer Aktie fliessenden Rechte dürfen nur von einem Aktionär im Einklang mit Gesetz und Statuten ausgeübt werden. Das Stimmrecht darf nur von Personen ausgeübt werden, die gemäss Artikel 4 der Statuten im Aktienbuch mit Stimmrecht eingetragen sind.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III. ORGANISATION DER GESELLSCHAFT</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7</w:t>
      </w:r>
      <w:r>
        <w:rPr>
          <w:sz w:val="20"/>
          <w:szCs w:val="20"/>
          <w:color w:val="auto"/>
        </w:rPr>
        <w:tab/>
      </w:r>
      <w:r>
        <w:rPr>
          <w:rFonts w:ascii="Verdana" w:cs="Verdana" w:eastAsia="Verdana" w:hAnsi="Verdana"/>
          <w:sz w:val="17"/>
          <w:szCs w:val="17"/>
          <w:b w:val="1"/>
          <w:bCs w:val="1"/>
          <w:color w:val="auto"/>
        </w:rPr>
        <w:t>Gliederung</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Gesellschaftsorgane:</w:t>
      </w:r>
    </w:p>
    <w:p>
      <w:pPr>
        <w:spacing w:after="0" w:line="105" w:lineRule="exact"/>
        <w:rPr>
          <w:sz w:val="20"/>
          <w:szCs w:val="20"/>
          <w:color w:val="auto"/>
        </w:rPr>
      </w:pPr>
    </w:p>
    <w:p>
      <w:pPr>
        <w:ind w:left="520" w:hanging="514"/>
        <w:spacing w:after="0"/>
        <w:tabs>
          <w:tab w:leader="none" w:pos="52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Generalversammlung;</w:t>
      </w:r>
    </w:p>
    <w:p>
      <w:pPr>
        <w:spacing w:after="0" w:line="105" w:lineRule="exact"/>
        <w:rPr>
          <w:rFonts w:ascii="Verdana" w:cs="Verdana" w:eastAsia="Verdana" w:hAnsi="Verdana"/>
          <w:sz w:val="18"/>
          <w:szCs w:val="18"/>
          <w:color w:val="auto"/>
        </w:rPr>
      </w:pPr>
    </w:p>
    <w:p>
      <w:pPr>
        <w:ind w:left="520" w:hanging="514"/>
        <w:spacing w:after="0"/>
        <w:tabs>
          <w:tab w:leader="none" w:pos="52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Verwaltungsrat;</w:t>
      </w:r>
    </w:p>
    <w:p>
      <w:pPr>
        <w:spacing w:after="0" w:line="105" w:lineRule="exact"/>
        <w:rPr>
          <w:rFonts w:ascii="Verdana" w:cs="Verdana" w:eastAsia="Verdana" w:hAnsi="Verdana"/>
          <w:sz w:val="18"/>
          <w:szCs w:val="18"/>
          <w:color w:val="auto"/>
        </w:rPr>
      </w:pPr>
    </w:p>
    <w:p>
      <w:pPr>
        <w:ind w:left="520" w:hanging="514"/>
        <w:spacing w:after="0"/>
        <w:tabs>
          <w:tab w:leader="none" w:pos="52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Revisionsstelle.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460375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647" w:right="1199" w:bottom="1440" w:gutter="0" w:footer="0" w:header="0"/>
        </w:sectPr>
      </w:pPr>
    </w:p>
    <w:bookmarkStart w:id="18" w:name="page19"/>
    <w:bookmarkEnd w:id="18"/>
    <w:p>
      <w:pPr>
        <w:spacing w:after="0"/>
        <w:tabs>
          <w:tab w:leader="none" w:pos="480" w:val="left"/>
        </w:tabs>
        <w:rPr>
          <w:sz w:val="20"/>
          <w:szCs w:val="20"/>
          <w:color w:val="auto"/>
        </w:rPr>
      </w:pPr>
      <w:r>
        <w:rPr>
          <w:rFonts w:ascii="Verdana" w:cs="Verdana" w:eastAsia="Verdana" w:hAnsi="Verdana"/>
          <w:sz w:val="18"/>
          <w:szCs w:val="18"/>
          <w:b w:val="1"/>
          <w:bCs w:val="1"/>
          <w:color w:val="auto"/>
        </w:rPr>
        <w:t>IV.</w:t>
      </w:r>
      <w:r>
        <w:rPr>
          <w:sz w:val="20"/>
          <w:szCs w:val="20"/>
          <w:color w:val="auto"/>
        </w:rPr>
        <w:tab/>
      </w:r>
      <w:r>
        <w:rPr>
          <w:rFonts w:ascii="Verdana" w:cs="Verdana" w:eastAsia="Verdana" w:hAnsi="Verdana"/>
          <w:sz w:val="17"/>
          <w:szCs w:val="17"/>
          <w:b w:val="1"/>
          <w:bCs w:val="1"/>
          <w:color w:val="auto"/>
        </w:rPr>
        <w:t>THE GENERAL MEETING</w:t>
      </w: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8</w:t>
      </w:r>
      <w:r>
        <w:rPr>
          <w:sz w:val="20"/>
          <w:szCs w:val="20"/>
          <w:color w:val="auto"/>
        </w:rPr>
        <w:tab/>
      </w:r>
      <w:r>
        <w:rPr>
          <w:rFonts w:ascii="Verdana" w:cs="Verdana" w:eastAsia="Verdana" w:hAnsi="Verdana"/>
          <w:sz w:val="18"/>
          <w:szCs w:val="18"/>
          <w:b w:val="1"/>
          <w:bCs w:val="1"/>
          <w:color w:val="auto"/>
        </w:rPr>
        <w:t>Powers</w:t>
      </w:r>
    </w:p>
    <w:p>
      <w:pPr>
        <w:spacing w:after="0" w:line="213" w:lineRule="exact"/>
        <w:rPr>
          <w:sz w:val="20"/>
          <w:szCs w:val="20"/>
          <w:color w:val="auto"/>
        </w:rPr>
      </w:pPr>
    </w:p>
    <w:p>
      <w:pPr>
        <w:jc w:val="both"/>
        <w:ind w:right="380"/>
        <w:spacing w:after="0" w:line="245" w:lineRule="auto"/>
        <w:rPr>
          <w:sz w:val="20"/>
          <w:szCs w:val="20"/>
          <w:color w:val="auto"/>
        </w:rPr>
      </w:pPr>
      <w:r>
        <w:rPr>
          <w:rFonts w:ascii="Verdana" w:cs="Verdana" w:eastAsia="Verdana" w:hAnsi="Verdana"/>
          <w:sz w:val="18"/>
          <w:szCs w:val="18"/>
          <w:color w:val="auto"/>
        </w:rPr>
        <w:t>The General Meeting is the supreme body of the Company. It has the following non-delegable powers:</w:t>
      </w:r>
    </w:p>
    <w:p>
      <w:pPr>
        <w:spacing w:after="0" w:line="194" w:lineRule="exact"/>
        <w:rPr>
          <w:sz w:val="20"/>
          <w:szCs w:val="20"/>
          <w:color w:val="auto"/>
        </w:rPr>
      </w:pPr>
    </w:p>
    <w:p>
      <w:pPr>
        <w:ind w:left="280" w:right="380" w:hanging="279"/>
        <w:spacing w:after="0" w:line="253" w:lineRule="auto"/>
        <w:tabs>
          <w:tab w:leader="none" w:pos="28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adopt and amend the Articles of association;</w:t>
      </w:r>
    </w:p>
    <w:p>
      <w:pPr>
        <w:spacing w:after="0" w:line="185" w:lineRule="exact"/>
        <w:rPr>
          <w:rFonts w:ascii="Times New Roman" w:cs="Times New Roman" w:eastAsia="Times New Roman" w:hAnsi="Times New Roman"/>
          <w:sz w:val="18"/>
          <w:szCs w:val="18"/>
          <w:color w:val="auto"/>
        </w:rPr>
      </w:pPr>
    </w:p>
    <w:p>
      <w:pPr>
        <w:jc w:val="both"/>
        <w:ind w:left="340" w:right="380" w:hanging="339"/>
        <w:spacing w:after="0" w:line="241" w:lineRule="auto"/>
        <w:tabs>
          <w:tab w:leader="none" w:pos="34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elect and remove the members of the Board of Directors, the Chairman of the Board of Directors, the members of the Compensation Committee, the Auditors and the Independent Proxy;</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jc w:val="both"/>
        <w:ind w:left="280" w:right="380" w:hanging="279"/>
        <w:spacing w:after="0" w:line="239" w:lineRule="auto"/>
        <w:tabs>
          <w:tab w:leader="none" w:pos="28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approve the management report, the annual accounts, and the report on non-financial matters (if any) and to determine the allocation of profits, in particular with regard to dividends (including any repayment of statutory capital reserves as well as the approval of interim dividends and the required interim accounts);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jc w:val="both"/>
        <w:ind w:left="340" w:right="380" w:hanging="339"/>
        <w:spacing w:after="0" w:line="245" w:lineRule="auto"/>
        <w:tabs>
          <w:tab w:leader="none" w:pos="34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discharge from liability of the members of the Board of Directors and of the Executive Committee;</w:t>
      </w:r>
    </w:p>
    <w:p>
      <w:pPr>
        <w:spacing w:after="0" w:line="192" w:lineRule="exact"/>
        <w:rPr>
          <w:rFonts w:ascii="Times New Roman" w:cs="Times New Roman" w:eastAsia="Times New Roman" w:hAnsi="Times New Roman"/>
          <w:sz w:val="18"/>
          <w:szCs w:val="18"/>
          <w:color w:val="auto"/>
        </w:rPr>
      </w:pPr>
    </w:p>
    <w:p>
      <w:pPr>
        <w:jc w:val="both"/>
        <w:ind w:left="340" w:right="380" w:hanging="339"/>
        <w:spacing w:after="0" w:line="242" w:lineRule="auto"/>
        <w:tabs>
          <w:tab w:leader="none" w:pos="34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approve the total compensation paid to the Board of Directors and the Executive Committee as per Art. 32 and Art. 33 below;</w:t>
      </w:r>
    </w:p>
    <w:p>
      <w:pPr>
        <w:spacing w:after="0" w:line="196"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delist the Company’s equity securities;</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left="340" w:right="380" w:hanging="339"/>
        <w:spacing w:after="0" w:line="242" w:lineRule="auto"/>
        <w:tabs>
          <w:tab w:leader="none" w:pos="340" w:val="left"/>
        </w:tabs>
        <w:numPr>
          <w:ilvl w:val="0"/>
          <w:numId w:val="23"/>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pass resolutions concerning all matters which are reserved to the authority of the General Meeting by law or by the Articles of association.</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Verdana" w:cs="Verdana" w:eastAsia="Verdana" w:hAnsi="Verdana"/>
          <w:sz w:val="18"/>
          <w:szCs w:val="18"/>
          <w:b w:val="1"/>
          <w:bCs w:val="1"/>
          <w:color w:val="auto"/>
        </w:rPr>
        <w:t>IV.</w:t>
      </w:r>
      <w:r>
        <w:rPr>
          <w:sz w:val="20"/>
          <w:szCs w:val="20"/>
          <w:color w:val="auto"/>
        </w:rPr>
        <w:tab/>
      </w:r>
      <w:r>
        <w:rPr>
          <w:rFonts w:ascii="Verdana" w:cs="Verdana" w:eastAsia="Verdana" w:hAnsi="Verdana"/>
          <w:sz w:val="17"/>
          <w:szCs w:val="17"/>
          <w:b w:val="1"/>
          <w:bCs w:val="1"/>
          <w:color w:val="auto"/>
        </w:rPr>
        <w:t>GENERALVERSAMMLUNG</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8</w:t>
      </w:r>
      <w:r>
        <w:rPr>
          <w:sz w:val="20"/>
          <w:szCs w:val="20"/>
          <w:color w:val="auto"/>
        </w:rPr>
        <w:tab/>
      </w:r>
      <w:r>
        <w:rPr>
          <w:rFonts w:ascii="Verdana" w:cs="Verdana" w:eastAsia="Verdana" w:hAnsi="Verdana"/>
          <w:sz w:val="17"/>
          <w:szCs w:val="17"/>
          <w:b w:val="1"/>
          <w:bCs w:val="1"/>
          <w:color w:val="auto"/>
        </w:rPr>
        <w:t>Befugnisse</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Oberstes Organ der Gesellschaft ist die Generalversammlung. Ihr stehen folgende unübertragbare Befugnisse zu:</w:t>
      </w:r>
    </w:p>
    <w:p>
      <w:pPr>
        <w:spacing w:after="0" w:line="194" w:lineRule="exact"/>
        <w:rPr>
          <w:sz w:val="20"/>
          <w:szCs w:val="20"/>
          <w:color w:val="auto"/>
        </w:rPr>
      </w:pPr>
    </w:p>
    <w:p>
      <w:pPr>
        <w:ind w:left="300" w:hanging="294"/>
        <w:spacing w:after="0"/>
        <w:tabs>
          <w:tab w:leader="none" w:pos="3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Festsetzung und Änderung der Statuten;</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left="400" w:hanging="394"/>
        <w:spacing w:after="0" w:line="236" w:lineRule="auto"/>
        <w:tabs>
          <w:tab w:leader="none" w:pos="4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Wahl und Abberufung der Mitglieder des Verwaltungsrats, des Präsidenten des Verwaltungsrats, der Mitglieder des</w:t>
      </w:r>
    </w:p>
    <w:p>
      <w:pPr>
        <w:spacing w:after="0" w:line="1" w:lineRule="exact"/>
        <w:rPr>
          <w:rFonts w:ascii="Times New Roman" w:cs="Times New Roman" w:eastAsia="Times New Roman" w:hAnsi="Times New Roman"/>
          <w:sz w:val="18"/>
          <w:szCs w:val="18"/>
          <w:color w:val="auto"/>
        </w:rPr>
      </w:pPr>
    </w:p>
    <w:p>
      <w:pPr>
        <w:jc w:val="both"/>
        <w:ind w:left="400"/>
        <w:spacing w:after="0" w:line="245"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Vergütungsausschusses, der Revisionsstelle und des unabhängigen Stimmrechtsvertreters;</w:t>
      </w:r>
    </w:p>
    <w:p>
      <w:pPr>
        <w:spacing w:after="0" w:line="194" w:lineRule="exact"/>
        <w:rPr>
          <w:rFonts w:ascii="Times New Roman" w:cs="Times New Roman" w:eastAsia="Times New Roman" w:hAnsi="Times New Roman"/>
          <w:sz w:val="18"/>
          <w:szCs w:val="18"/>
          <w:color w:val="auto"/>
        </w:rPr>
      </w:pPr>
    </w:p>
    <w:p>
      <w:pPr>
        <w:jc w:val="both"/>
        <w:ind w:left="300" w:hanging="294"/>
        <w:spacing w:after="0" w:line="236" w:lineRule="auto"/>
        <w:tabs>
          <w:tab w:leader="none" w:pos="3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Genehmigung des Lageberichts, der Jahresrechnung und des Berichts über nichtfinanzielle Belange (sofern vorhanden) sowie Beschlussfassung über die</w:t>
      </w:r>
    </w:p>
    <w:p>
      <w:pPr>
        <w:spacing w:after="0" w:line="2" w:lineRule="exact"/>
        <w:rPr>
          <w:rFonts w:ascii="Times New Roman" w:cs="Times New Roman" w:eastAsia="Times New Roman" w:hAnsi="Times New Roman"/>
          <w:sz w:val="18"/>
          <w:szCs w:val="18"/>
          <w:color w:val="auto"/>
        </w:rPr>
      </w:pPr>
    </w:p>
    <w:p>
      <w:pPr>
        <w:jc w:val="both"/>
        <w:ind w:left="300"/>
        <w:spacing w:after="0" w:line="236"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Verwendung des Bilanzgewinnes, insbesondere die Festsetzung der Dividende (einschliesslich einer allfälligen</w:t>
      </w:r>
    </w:p>
    <w:p>
      <w:pPr>
        <w:spacing w:after="0" w:line="2" w:lineRule="exact"/>
        <w:rPr>
          <w:rFonts w:ascii="Times New Roman" w:cs="Times New Roman" w:eastAsia="Times New Roman" w:hAnsi="Times New Roman"/>
          <w:sz w:val="18"/>
          <w:szCs w:val="18"/>
          <w:color w:val="auto"/>
        </w:rPr>
      </w:pPr>
    </w:p>
    <w:p>
      <w:pPr>
        <w:jc w:val="both"/>
        <w:ind w:left="300"/>
        <w:spacing w:after="0" w:line="236"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Rückzahlung von gesetzlichen Kapitalreserven sowie die Festsetzung von Zwischendividenden und die Genehmigung</w:t>
      </w:r>
    </w:p>
    <w:p>
      <w:pPr>
        <w:spacing w:after="0" w:line="2" w:lineRule="exact"/>
        <w:rPr>
          <w:rFonts w:ascii="Times New Roman" w:cs="Times New Roman" w:eastAsia="Times New Roman" w:hAnsi="Times New Roman"/>
          <w:sz w:val="18"/>
          <w:szCs w:val="18"/>
          <w:color w:val="auto"/>
        </w:rPr>
      </w:pPr>
    </w:p>
    <w:p>
      <w:pPr>
        <w:ind w:left="300"/>
        <w:spacing w:after="0" w:line="254"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des dafür erforderlichen Zwischenabschlusses);</w:t>
      </w:r>
    </w:p>
    <w:p>
      <w:pPr>
        <w:spacing w:after="0" w:line="181"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EntlastungderMitgliederdes</w:t>
      </w:r>
    </w:p>
    <w:p>
      <w:pPr>
        <w:ind w:left="400"/>
        <w:spacing w:after="0" w:line="254"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Verwaltungsrates und der Geschäftsleitung;</w:t>
      </w:r>
    </w:p>
    <w:p>
      <w:pPr>
        <w:spacing w:after="0" w:line="181"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Genehmigung  der  Gesamtvergütungen</w:t>
      </w:r>
    </w:p>
    <w:p>
      <w:pPr>
        <w:jc w:val="both"/>
        <w:ind w:left="400"/>
        <w:spacing w:after="0" w:line="245"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des Verwaltungsrats und der Geschäftsleitung nach Massgabe von Art. 32 und Art. 33 hiernach;</w:t>
      </w:r>
    </w:p>
    <w:p>
      <w:pPr>
        <w:spacing w:after="0" w:line="194" w:lineRule="exact"/>
        <w:rPr>
          <w:rFonts w:ascii="Times New Roman" w:cs="Times New Roman" w:eastAsia="Times New Roman" w:hAnsi="Times New Roman"/>
          <w:sz w:val="18"/>
          <w:szCs w:val="18"/>
          <w:color w:val="auto"/>
        </w:rPr>
      </w:pPr>
    </w:p>
    <w:p>
      <w:pPr>
        <w:ind w:left="300" w:hanging="294"/>
        <w:spacing w:after="0" w:line="253" w:lineRule="auto"/>
        <w:tabs>
          <w:tab w:leader="none" w:pos="3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Dekotierung der Beteiligungspapiere der Gesellschaft;</w:t>
      </w:r>
    </w:p>
    <w:p>
      <w:pPr>
        <w:spacing w:after="0" w:line="185" w:lineRule="exact"/>
        <w:rPr>
          <w:rFonts w:ascii="Times New Roman" w:cs="Times New Roman" w:eastAsia="Times New Roman" w:hAnsi="Times New Roman"/>
          <w:sz w:val="18"/>
          <w:szCs w:val="18"/>
          <w:color w:val="auto"/>
        </w:rPr>
      </w:pPr>
    </w:p>
    <w:p>
      <w:pPr>
        <w:jc w:val="both"/>
        <w:ind w:left="400" w:hanging="394"/>
        <w:spacing w:after="0" w:line="242" w:lineRule="auto"/>
        <w:tabs>
          <w:tab w:leader="none" w:pos="400" w:val="left"/>
        </w:tabs>
        <w:numPr>
          <w:ilvl w:val="0"/>
          <w:numId w:val="24"/>
        </w:numPr>
        <w:rPr>
          <w:rFonts w:ascii="Times New Roman" w:cs="Times New Roman" w:eastAsia="Times New Roman" w:hAnsi="Times New Roman"/>
          <w:sz w:val="18"/>
          <w:szCs w:val="18"/>
          <w:color w:val="auto"/>
        </w:rPr>
      </w:pPr>
      <w:r>
        <w:rPr>
          <w:rFonts w:ascii="Verdana" w:cs="Verdana" w:eastAsia="Verdana" w:hAnsi="Verdana"/>
          <w:sz w:val="18"/>
          <w:szCs w:val="18"/>
          <w:color w:val="auto"/>
        </w:rPr>
        <w:t>Beschlussfassung über die Gegenstände, die der Generalversammlung durch das Gesetz oder die Statuten vorbehalten sind.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449580</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971" w:right="1199" w:bottom="1440" w:gutter="0" w:footer="0" w:header="0"/>
        </w:sectPr>
      </w:pPr>
    </w:p>
    <w:bookmarkStart w:id="19" w:name="page20"/>
    <w:bookmarkEnd w:id="19"/>
    <w:p>
      <w:pPr>
        <w:spacing w:after="0"/>
        <w:tabs>
          <w:tab w:leader="none" w:pos="960" w:val="left"/>
        </w:tabs>
        <w:rPr>
          <w:sz w:val="20"/>
          <w:szCs w:val="20"/>
          <w:color w:val="auto"/>
        </w:rPr>
      </w:pPr>
      <w:r>
        <w:rPr>
          <w:rFonts w:ascii="Verdana" w:cs="Verdana" w:eastAsia="Verdana" w:hAnsi="Verdana"/>
          <w:sz w:val="18"/>
          <w:szCs w:val="18"/>
          <w:b w:val="1"/>
          <w:bCs w:val="1"/>
          <w:color w:val="auto"/>
        </w:rPr>
        <w:t>Art. 9</w:t>
      </w:r>
      <w:r>
        <w:rPr>
          <w:sz w:val="20"/>
          <w:szCs w:val="20"/>
          <w:color w:val="auto"/>
        </w:rPr>
        <w:tab/>
      </w:r>
      <w:r>
        <w:rPr>
          <w:rFonts w:ascii="Verdana" w:cs="Verdana" w:eastAsia="Verdana" w:hAnsi="Verdana"/>
          <w:sz w:val="17"/>
          <w:szCs w:val="17"/>
          <w:b w:val="1"/>
          <w:bCs w:val="1"/>
          <w:color w:val="auto"/>
        </w:rPr>
        <w:t>Ordinary General Meeting</w:t>
      </w:r>
    </w:p>
    <w:p>
      <w:pPr>
        <w:spacing w:after="0" w:line="21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The Ordinary General Meeting shall be held annually within six months after the end of the business year.</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10</w:t>
      </w:r>
      <w:r>
        <w:rPr>
          <w:sz w:val="20"/>
          <w:szCs w:val="20"/>
          <w:color w:val="auto"/>
        </w:rPr>
        <w:tab/>
      </w:r>
      <w:r>
        <w:rPr>
          <w:rFonts w:ascii="Verdana" w:cs="Verdana" w:eastAsia="Verdana" w:hAnsi="Verdana"/>
          <w:sz w:val="17"/>
          <w:szCs w:val="17"/>
          <w:b w:val="1"/>
          <w:bCs w:val="1"/>
          <w:color w:val="auto"/>
        </w:rPr>
        <w:t>Extraordinary General Meeting</w:t>
      </w:r>
    </w:p>
    <w:p>
      <w:pPr>
        <w:spacing w:after="0" w:line="200" w:lineRule="exact"/>
        <w:rPr>
          <w:sz w:val="20"/>
          <w:szCs w:val="20"/>
          <w:color w:val="auto"/>
        </w:rPr>
      </w:pPr>
    </w:p>
    <w:p>
      <w:pPr>
        <w:spacing w:after="0" w:line="229"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Extraordinary General Meetings may be called by resolution of the General Meeting, the Auditors or the Board of Directors, or by shareholders with voting powers, provided they represent at least 5% of the share capital or the voting rights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right="60" w:hanging="1275"/>
        <w:spacing w:after="0" w:line="254" w:lineRule="auto"/>
        <w:tabs>
          <w:tab w:leader="none" w:pos="680" w:val="left"/>
        </w:tabs>
        <w:rPr>
          <w:sz w:val="20"/>
          <w:szCs w:val="20"/>
          <w:color w:val="auto"/>
        </w:rPr>
      </w:pPr>
      <w:r>
        <w:rPr>
          <w:rFonts w:ascii="Verdana" w:cs="Verdana" w:eastAsia="Verdana" w:hAnsi="Verdana"/>
          <w:sz w:val="18"/>
          <w:szCs w:val="18"/>
          <w:b w:val="1"/>
          <w:bCs w:val="1"/>
          <w:color w:val="auto"/>
        </w:rPr>
        <w:t>Art.</w:t>
        <w:tab/>
        <w:t>11 Notice and Agenda of Shareholders' Meetings</w:t>
      </w:r>
    </w:p>
    <w:p>
      <w:pPr>
        <w:spacing w:after="0" w:line="18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Notice of a General Meeting shall be given by the Board of Directors or, if necessary, by the Auditor, not later than twenty calendar days prior to the date of the General Meeting. Notice of the General Meeting shall be given by way of a one-time announcement in the Swiss Official Gazette of Commerce. Shareholders recorded in the Company’s share register may in addition be informed of the General Meeting by ordinary mail or e-mail.</w:t>
      </w:r>
    </w:p>
    <w:p>
      <w:pPr>
        <w:spacing w:after="0" w:line="19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The content of the invitation to the General Meeting shall be in accordance with the law.</w:t>
      </w:r>
    </w:p>
    <w:p>
      <w:pPr>
        <w:spacing w:after="0" w:line="185" w:lineRule="exact"/>
        <w:rPr>
          <w:sz w:val="20"/>
          <w:szCs w:val="20"/>
          <w:color w:val="auto"/>
        </w:rPr>
      </w:pPr>
    </w:p>
    <w:p>
      <w:pPr>
        <w:jc w:val="both"/>
        <w:ind w:right="20"/>
        <w:spacing w:after="0" w:line="239" w:lineRule="auto"/>
        <w:rPr>
          <w:sz w:val="20"/>
          <w:szCs w:val="20"/>
          <w:color w:val="auto"/>
        </w:rPr>
      </w:pPr>
      <w:r>
        <w:rPr>
          <w:rFonts w:ascii="Verdana" w:cs="Verdana" w:eastAsia="Verdana" w:hAnsi="Verdana"/>
          <w:sz w:val="18"/>
          <w:szCs w:val="18"/>
          <w:color w:val="auto"/>
        </w:rPr>
        <w:t>The Board of Directors shall determine the time and venue of the General Meeting, which may be in Switzerland or abroad, and state the matters on the agenda. The Board of Directors may provide that shareholders who are not present at the venue of the Shareholders’ Meeting may exercise</w:t>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Verdana" w:cs="Verdana" w:eastAsia="Verdana" w:hAnsi="Verdana"/>
          <w:sz w:val="18"/>
          <w:szCs w:val="18"/>
          <w:b w:val="1"/>
          <w:bCs w:val="1"/>
          <w:color w:val="auto"/>
        </w:rPr>
        <w:t>Art. 9</w:t>
      </w:r>
      <w:r>
        <w:rPr>
          <w:sz w:val="20"/>
          <w:szCs w:val="20"/>
          <w:color w:val="auto"/>
        </w:rPr>
        <w:tab/>
      </w:r>
      <w:r>
        <w:rPr>
          <w:rFonts w:ascii="Verdana" w:cs="Verdana" w:eastAsia="Verdana" w:hAnsi="Verdana"/>
          <w:sz w:val="17"/>
          <w:szCs w:val="17"/>
          <w:b w:val="1"/>
          <w:bCs w:val="1"/>
          <w:color w:val="auto"/>
        </w:rPr>
        <w:t>Ordentliche Generalversammlung</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Die ordentliche Generalversammlung findet jährlich innerhalb von sechs Monaten nach Abschluss des Geschäftsjahres statt.</w:t>
      </w:r>
    </w:p>
    <w:p>
      <w:pPr>
        <w:spacing w:after="0" w:line="191"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10</w:t>
      </w:r>
      <w:r>
        <w:rPr>
          <w:sz w:val="20"/>
          <w:szCs w:val="20"/>
          <w:color w:val="auto"/>
        </w:rPr>
        <w:tab/>
      </w:r>
      <w:r>
        <w:rPr>
          <w:rFonts w:ascii="Verdana" w:cs="Verdana" w:eastAsia="Verdana" w:hAnsi="Verdana"/>
          <w:sz w:val="17"/>
          <w:szCs w:val="17"/>
          <w:b w:val="1"/>
          <w:bCs w:val="1"/>
          <w:color w:val="auto"/>
        </w:rPr>
        <w:t>Ausserordentliche</w:t>
      </w:r>
    </w:p>
    <w:p>
      <w:pPr>
        <w:ind w:left="1220"/>
        <w:spacing w:after="0"/>
        <w:rPr>
          <w:sz w:val="20"/>
          <w:szCs w:val="20"/>
          <w:color w:val="auto"/>
        </w:rPr>
      </w:pPr>
      <w:r>
        <w:rPr>
          <w:rFonts w:ascii="Verdana" w:cs="Verdana" w:eastAsia="Verdana" w:hAnsi="Verdana"/>
          <w:sz w:val="18"/>
          <w:szCs w:val="18"/>
          <w:b w:val="1"/>
          <w:bCs w:val="1"/>
          <w:color w:val="auto"/>
        </w:rPr>
        <w:t>Generalversammlung</w:t>
      </w:r>
    </w:p>
    <w:p>
      <w:pPr>
        <w:spacing w:after="0" w:line="21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Ausserordentliche Generalversammlungen können einberufen werden durch Beschluss der ordentlichen Generalversammlung, durch die Revisionsstelle oder den Verwaltungsrat oder durch stimmberechtigte Aktionäre, sofern sie mindestens 5% des Aktienkapitals oder der Stimmen erreichen und die Folgendes einreichen: (a)(1) einen unterschriebenen Antrag dieser Aktionäre, welcher die Traktanden angibt, die auf die Traktandenliste gesetzt werden, (2) die entsprechenden Anträge der Aktionäre und (3) den Nachweis der erforderlichen Beteiligung dieser Aktionäre aufgrund des Aktienregisters und</w:t>
      </w:r>
    </w:p>
    <w:p>
      <w:pPr>
        <w:spacing w:after="0" w:line="12" w:lineRule="exact"/>
        <w:rPr>
          <w:sz w:val="20"/>
          <w:szCs w:val="20"/>
          <w:color w:val="auto"/>
        </w:rPr>
      </w:pPr>
    </w:p>
    <w:p>
      <w:pPr>
        <w:jc w:val="both"/>
        <w:ind w:firstLine="9"/>
        <w:spacing w:after="0" w:line="241" w:lineRule="auto"/>
        <w:tabs>
          <w:tab w:leader="none" w:pos="444"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alle anderen Informationen, die für eine Vollmacht nach den Regeln des Landes, in welchem die Aktien des Unternehmens hauptsächlich eingetragen sind, erforderlich wären.</w:t>
      </w:r>
    </w:p>
    <w:p>
      <w:pPr>
        <w:spacing w:after="0" w:line="198" w:lineRule="exact"/>
        <w:rPr>
          <w:sz w:val="20"/>
          <w:szCs w:val="20"/>
          <w:color w:val="auto"/>
        </w:rPr>
      </w:pPr>
    </w:p>
    <w:p>
      <w:pPr>
        <w:ind w:left="1000" w:right="520" w:hanging="1220"/>
        <w:spacing w:after="0" w:line="254" w:lineRule="auto"/>
        <w:tabs>
          <w:tab w:leader="none" w:pos="980" w:val="left"/>
        </w:tabs>
        <w:rPr>
          <w:sz w:val="20"/>
          <w:szCs w:val="20"/>
          <w:color w:val="auto"/>
        </w:rPr>
      </w:pPr>
      <w:r>
        <w:rPr>
          <w:rFonts w:ascii="Verdana" w:cs="Verdana" w:eastAsia="Verdana" w:hAnsi="Verdana"/>
          <w:sz w:val="18"/>
          <w:szCs w:val="18"/>
          <w:b w:val="1"/>
          <w:bCs w:val="1"/>
          <w:color w:val="auto"/>
        </w:rPr>
        <w:t>Art. 11</w:t>
        <w:tab/>
        <w:t>Mitteilung und Traktanden der Generalversammlung</w:t>
      </w:r>
    </w:p>
    <w:p>
      <w:pPr>
        <w:spacing w:after="0" w:line="185"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Die Mitteilung einer Generalversammlung erfolgt durch den Verwaltungsrat oder gegebenenfalls durch die Revisionsstelle, spätestens zwanzig</w:t>
      </w:r>
    </w:p>
    <w:p>
      <w:pPr>
        <w:spacing w:after="0"/>
        <w:tabs>
          <w:tab w:leader="none" w:pos="1640" w:val="left"/>
          <w:tab w:leader="none" w:pos="2380" w:val="left"/>
          <w:tab w:leader="none" w:pos="3220" w:val="left"/>
          <w:tab w:leader="none" w:pos="4280" w:val="left"/>
        </w:tabs>
        <w:rPr>
          <w:sz w:val="20"/>
          <w:szCs w:val="20"/>
          <w:color w:val="auto"/>
        </w:rPr>
      </w:pPr>
      <w:r>
        <w:rPr>
          <w:rFonts w:ascii="Verdana" w:cs="Verdana" w:eastAsia="Verdana" w:hAnsi="Verdana"/>
          <w:sz w:val="18"/>
          <w:szCs w:val="18"/>
          <w:color w:val="auto"/>
        </w:rPr>
        <w:t>Kalendertage</w:t>
      </w:r>
      <w:r>
        <w:rPr>
          <w:sz w:val="20"/>
          <w:szCs w:val="20"/>
          <w:color w:val="auto"/>
        </w:rPr>
        <w:tab/>
      </w:r>
      <w:r>
        <w:rPr>
          <w:rFonts w:ascii="Verdana" w:cs="Verdana" w:eastAsia="Verdana" w:hAnsi="Verdana"/>
          <w:sz w:val="18"/>
          <w:szCs w:val="18"/>
          <w:color w:val="auto"/>
        </w:rPr>
        <w:t>vor</w:t>
      </w:r>
      <w:r>
        <w:rPr>
          <w:sz w:val="20"/>
          <w:szCs w:val="20"/>
          <w:color w:val="auto"/>
        </w:rPr>
        <w:tab/>
      </w:r>
      <w:r>
        <w:rPr>
          <w:rFonts w:ascii="Verdana" w:cs="Verdana" w:eastAsia="Verdana" w:hAnsi="Verdana"/>
          <w:sz w:val="18"/>
          <w:szCs w:val="18"/>
          <w:color w:val="auto"/>
        </w:rPr>
        <w:t>dem</w:t>
      </w:r>
      <w:r>
        <w:rPr>
          <w:sz w:val="20"/>
          <w:szCs w:val="20"/>
          <w:color w:val="auto"/>
        </w:rPr>
        <w:tab/>
      </w:r>
      <w:r>
        <w:rPr>
          <w:rFonts w:ascii="Verdana" w:cs="Verdana" w:eastAsia="Verdana" w:hAnsi="Verdana"/>
          <w:sz w:val="18"/>
          <w:szCs w:val="18"/>
          <w:color w:val="auto"/>
        </w:rPr>
        <w:t>Datum</w:t>
      </w:r>
      <w:r>
        <w:rPr>
          <w:sz w:val="20"/>
          <w:szCs w:val="20"/>
          <w:color w:val="auto"/>
        </w:rPr>
        <w:tab/>
      </w:r>
      <w:r>
        <w:rPr>
          <w:rFonts w:ascii="Verdana" w:cs="Verdana" w:eastAsia="Verdana" w:hAnsi="Verdana"/>
          <w:sz w:val="18"/>
          <w:szCs w:val="18"/>
          <w:color w:val="auto"/>
        </w:rPr>
        <w:t>der</w:t>
      </w:r>
    </w:p>
    <w:p>
      <w:pPr>
        <w:spacing w:after="0" w:line="236" w:lineRule="auto"/>
        <w:tabs>
          <w:tab w:leader="none" w:pos="2360" w:val="left"/>
          <w:tab w:leader="none" w:pos="3020" w:val="left"/>
          <w:tab w:leader="none" w:pos="4280" w:val="left"/>
        </w:tabs>
        <w:rPr>
          <w:sz w:val="20"/>
          <w:szCs w:val="20"/>
          <w:color w:val="auto"/>
        </w:rPr>
      </w:pPr>
      <w:r>
        <w:rPr>
          <w:rFonts w:ascii="Verdana" w:cs="Verdana" w:eastAsia="Verdana" w:hAnsi="Verdana"/>
          <w:sz w:val="18"/>
          <w:szCs w:val="18"/>
          <w:color w:val="auto"/>
        </w:rPr>
        <w:t>Generalversammlung.</w:t>
      </w:r>
      <w:r>
        <w:rPr>
          <w:sz w:val="20"/>
          <w:szCs w:val="20"/>
          <w:color w:val="auto"/>
        </w:rPr>
        <w:tab/>
      </w:r>
      <w:r>
        <w:rPr>
          <w:rFonts w:ascii="Verdana" w:cs="Verdana" w:eastAsia="Verdana" w:hAnsi="Verdana"/>
          <w:sz w:val="18"/>
          <w:szCs w:val="18"/>
          <w:color w:val="auto"/>
        </w:rPr>
        <w:t>Die</w:t>
      </w:r>
      <w:r>
        <w:rPr>
          <w:sz w:val="20"/>
          <w:szCs w:val="20"/>
          <w:color w:val="auto"/>
        </w:rPr>
        <w:tab/>
      </w:r>
      <w:r>
        <w:rPr>
          <w:rFonts w:ascii="Verdana" w:cs="Verdana" w:eastAsia="Verdana" w:hAnsi="Verdana"/>
          <w:sz w:val="18"/>
          <w:szCs w:val="18"/>
          <w:color w:val="auto"/>
        </w:rPr>
        <w:t>Mitteilung</w:t>
      </w:r>
      <w:r>
        <w:rPr>
          <w:sz w:val="20"/>
          <w:szCs w:val="20"/>
          <w:color w:val="auto"/>
        </w:rPr>
        <w:tab/>
      </w:r>
      <w:r>
        <w:rPr>
          <w:rFonts w:ascii="Verdana" w:cs="Verdana" w:eastAsia="Verdana" w:hAnsi="Verdana"/>
          <w:sz w:val="18"/>
          <w:szCs w:val="18"/>
          <w:color w:val="auto"/>
        </w:rPr>
        <w:t>der</w:t>
      </w:r>
    </w:p>
    <w:p>
      <w:pPr>
        <w:spacing w:after="0" w:line="237" w:lineRule="auto"/>
        <w:rPr>
          <w:sz w:val="20"/>
          <w:szCs w:val="20"/>
          <w:color w:val="auto"/>
        </w:rPr>
      </w:pPr>
      <w:r>
        <w:rPr>
          <w:rFonts w:ascii="Verdana" w:cs="Verdana" w:eastAsia="Verdana" w:hAnsi="Verdana"/>
          <w:sz w:val="18"/>
          <w:szCs w:val="18"/>
          <w:color w:val="auto"/>
        </w:rPr>
        <w:t>Generalversammlung erfolgt durch eine einmalige</w:t>
      </w:r>
    </w:p>
    <w:p>
      <w:pPr>
        <w:spacing w:after="0" w:line="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Bekanntmachung im Schweizerischen Handelsamtsblatt. Im Aktienbuch eingetragene Aktionäre können zusätzlich per Post oder E-Mail über die Generalversammlung informiert werden.</w:t>
      </w:r>
    </w:p>
    <w:p>
      <w:pPr>
        <w:spacing w:after="0" w:line="19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Der Inhalt der Einladung zur Generalversammlung richtet sich nach dem Gesetz.</w:t>
      </w:r>
    </w:p>
    <w:p>
      <w:pPr>
        <w:spacing w:after="0" w:line="185"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Der Verwaltungsrat bestimmt Zeit und Ort, der sich in der Schweiz oder im Ausland befinden kann, der Generalversammlung und setzt die</w:t>
      </w:r>
    </w:p>
    <w:p>
      <w:pPr>
        <w:spacing w:after="0" w:line="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Verhandlungsgegenstände fest. Der Verwaltungsrat kann vorsehen, dass Aktionäre, die nicht am Ort der Generalversammlung anwesend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382270</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20" w:name="page21"/>
    <w:bookmarkEnd w:id="20"/>
    <w:p>
      <w:pPr>
        <w:jc w:val="both"/>
        <w:spacing w:after="0" w:line="242" w:lineRule="auto"/>
        <w:rPr>
          <w:sz w:val="20"/>
          <w:szCs w:val="20"/>
          <w:color w:val="auto"/>
        </w:rPr>
      </w:pPr>
      <w:r>
        <w:rPr>
          <w:rFonts w:ascii="Verdana" w:cs="Verdana" w:eastAsia="Verdana" w:hAnsi="Verdana"/>
          <w:sz w:val="18"/>
          <w:szCs w:val="18"/>
          <w:color w:val="auto"/>
        </w:rPr>
        <w:t>their rights by electronic means. The Board of Directors may also determine that the Shareholders’ Meeting be held virtually without a venue.</w:t>
      </w:r>
    </w:p>
    <w:p>
      <w:pPr>
        <w:spacing w:after="0" w:line="198"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Shareholders who represent an aggregate of at least 0.5 percent of the share capital or voting rights may demand that an item be placed on the agenda of a General Meeting. A request for inclusion of an item on the agenda must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However, if no ordinary General Meeting of Shareholders was held in the previous year or if the date of the ordinary General Meeting of Shareholders has been changed by more than 30 calendar days from the date contemplated at the time of the previous year's proxy statement, request for inclusion of an item on the agenda must be requested not fewer than the later of (i) 150 calendar days prior to the date of the contemplated annual General Meeting or (ii) the date which is ten calendar days after the date of the first public announcement or other notification to the shareholders of the date of the contemplated annual General Meeting. To be timely for an extraordinary General Meeting, a shareholder's notice to the Secretary must be delivered to or mailed and received at the registered office of the Company not fewer than the later of (i) 120 calendar days before the date of the extraordinary General Meeting of Shareholders or (ii) the date which is ten calendar days after the date of the first public announcement or other notification to the shareholders of the date of the contemplated extraordinary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Each request for inclusion of an item on the agenda must include (i) a brief description of the business desired to be brought before the meeting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Verdana" w:cs="Verdana" w:eastAsia="Verdana" w:hAnsi="Verdana"/>
          <w:sz w:val="17"/>
          <w:szCs w:val="17"/>
          <w:color w:val="auto"/>
        </w:rPr>
        <w:t>sind, ihre Rechte auf elektronischem Weg ausüben können. Der Verwaltungsrat kann auch vorsehen, dass die Generalversammlung mit elektronischen Mitteln ohne Tagungsort durchgeführt wird.</w:t>
      </w:r>
    </w:p>
    <w:p>
      <w:pPr>
        <w:spacing w:after="0" w:line="18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Aktionäre, die insgesamt mindestens 0.5 Prozent des Aktienkapitals oder der Stimmen vertreten, können verlangen, dass ein Traktandum auf die</w:t>
      </w:r>
    </w:p>
    <w:p>
      <w:pPr>
        <w:spacing w:after="0" w:line="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Traktandenliste der Generalversammlung aufgenommen wird. Das Aufnahmegesuch für ein Traktandum auf der Traktandenliste muss schriftlich eingereicht oder per E-Mail gesendet und am Sitz der Gesellschaft empfangen werden. Dies hat mindestens 120 Kalendertage vor dem ersten Jahrestag der Veröffentlichung der Stimmrechtsinformationen an die Aktionäre der</w:t>
      </w:r>
    </w:p>
    <w:p>
      <w:pPr>
        <w:spacing w:after="0" w:line="7"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Gesellschaft in Verbindung mit der Generalversammlung des vergangenen Jahres zu erfolgen. Für den Fall, dass im vorangegangenen Jahr keine ordentliche Generalversammlung stattgefunden hat oder das Datum der ordentlichen Generalversammlung um mehr als 30 Kalendertage vom zum Zeitpunkt der letztjährigen Stimmrechtsvollmacht definierten</w:t>
      </w:r>
    </w:p>
    <w:p>
      <w:pPr>
        <w:spacing w:after="0" w:line="4" w:lineRule="exact"/>
        <w:rPr>
          <w:sz w:val="20"/>
          <w:szCs w:val="20"/>
          <w:color w:val="auto"/>
        </w:rPr>
      </w:pPr>
    </w:p>
    <w:p>
      <w:pPr>
        <w:spacing w:after="0"/>
        <w:tabs>
          <w:tab w:leader="none" w:pos="1020" w:val="left"/>
          <w:tab w:leader="none" w:pos="2500" w:val="left"/>
          <w:tab w:leader="none" w:pos="3540" w:val="left"/>
          <w:tab w:leader="none" w:pos="4260" w:val="left"/>
        </w:tabs>
        <w:rPr>
          <w:sz w:val="20"/>
          <w:szCs w:val="20"/>
          <w:color w:val="auto"/>
        </w:rPr>
      </w:pPr>
      <w:r>
        <w:rPr>
          <w:rFonts w:ascii="Verdana" w:cs="Verdana" w:eastAsia="Verdana" w:hAnsi="Verdana"/>
          <w:sz w:val="18"/>
          <w:szCs w:val="18"/>
          <w:color w:val="auto"/>
        </w:rPr>
        <w:t>Datum</w:t>
      </w:r>
      <w:r>
        <w:rPr>
          <w:sz w:val="20"/>
          <w:szCs w:val="20"/>
          <w:color w:val="auto"/>
        </w:rPr>
        <w:tab/>
      </w:r>
      <w:r>
        <w:rPr>
          <w:rFonts w:ascii="Verdana" w:cs="Verdana" w:eastAsia="Verdana" w:hAnsi="Verdana"/>
          <w:sz w:val="18"/>
          <w:szCs w:val="18"/>
          <w:color w:val="auto"/>
        </w:rPr>
        <w:t>verschoben</w:t>
      </w:r>
      <w:r>
        <w:rPr>
          <w:sz w:val="20"/>
          <w:szCs w:val="20"/>
          <w:color w:val="auto"/>
        </w:rPr>
        <w:tab/>
      </w:r>
      <w:r>
        <w:rPr>
          <w:rFonts w:ascii="Verdana" w:cs="Verdana" w:eastAsia="Verdana" w:hAnsi="Verdana"/>
          <w:sz w:val="18"/>
          <w:szCs w:val="18"/>
          <w:color w:val="auto"/>
        </w:rPr>
        <w:t>wurde,</w:t>
      </w:r>
      <w:r>
        <w:rPr>
          <w:sz w:val="20"/>
          <w:szCs w:val="20"/>
          <w:color w:val="auto"/>
        </w:rPr>
        <w:tab/>
      </w:r>
      <w:r>
        <w:rPr>
          <w:rFonts w:ascii="Verdana" w:cs="Verdana" w:eastAsia="Verdana" w:hAnsi="Verdana"/>
          <w:sz w:val="18"/>
          <w:szCs w:val="18"/>
          <w:color w:val="auto"/>
        </w:rPr>
        <w:t>hat</w:t>
      </w:r>
      <w:r>
        <w:rPr>
          <w:sz w:val="20"/>
          <w:szCs w:val="20"/>
          <w:color w:val="auto"/>
        </w:rPr>
        <w:tab/>
      </w:r>
      <w:r>
        <w:rPr>
          <w:rFonts w:ascii="Verdana" w:cs="Verdana" w:eastAsia="Verdana" w:hAnsi="Verdana"/>
          <w:sz w:val="18"/>
          <w:szCs w:val="18"/>
          <w:color w:val="auto"/>
        </w:rPr>
        <w:t>das</w:t>
      </w:r>
    </w:p>
    <w:p>
      <w:pPr>
        <w:jc w:val="both"/>
        <w:spacing w:after="0" w:line="236" w:lineRule="auto"/>
        <w:rPr>
          <w:sz w:val="20"/>
          <w:szCs w:val="20"/>
          <w:color w:val="auto"/>
        </w:rPr>
      </w:pPr>
      <w:r>
        <w:rPr>
          <w:rFonts w:ascii="Verdana" w:cs="Verdana" w:eastAsia="Verdana" w:hAnsi="Verdana"/>
          <w:sz w:val="18"/>
          <w:szCs w:val="18"/>
          <w:color w:val="auto"/>
        </w:rPr>
        <w:t>Aufnahmebegehren spätestens (i) 150 Kalendertage vor dem angedachten Termin für die jährliche Generalversammlung oder (ii) am Tag, der zehn Kalendertage nach der ersten öffentlichen Bekanntmachung oder anderweitigen Benachrichtigung der Aktionäre über den angedachten Termin für die jährliche Generalversammlung liegt, zu erfolgen. Um ein</w:t>
      </w:r>
    </w:p>
    <w:p>
      <w:pPr>
        <w:spacing w:after="0" w:line="4" w:lineRule="exact"/>
        <w:rPr>
          <w:sz w:val="20"/>
          <w:szCs w:val="20"/>
          <w:color w:val="auto"/>
        </w:rPr>
      </w:pPr>
    </w:p>
    <w:p>
      <w:pPr>
        <w:spacing w:after="0"/>
        <w:tabs>
          <w:tab w:leader="none" w:pos="2080" w:val="left"/>
          <w:tab w:leader="none" w:pos="2840" w:val="left"/>
          <w:tab w:leader="none" w:pos="4120" w:val="left"/>
        </w:tabs>
        <w:rPr>
          <w:sz w:val="20"/>
          <w:szCs w:val="20"/>
          <w:color w:val="auto"/>
        </w:rPr>
      </w:pPr>
      <w:r>
        <w:rPr>
          <w:rFonts w:ascii="Verdana" w:cs="Verdana" w:eastAsia="Verdana" w:hAnsi="Verdana"/>
          <w:sz w:val="18"/>
          <w:szCs w:val="18"/>
          <w:color w:val="auto"/>
        </w:rPr>
        <w:t>Aufnahmegesuch</w:t>
      </w:r>
      <w:r>
        <w:rPr>
          <w:sz w:val="20"/>
          <w:szCs w:val="20"/>
          <w:color w:val="auto"/>
        </w:rPr>
        <w:tab/>
      </w:r>
      <w:r>
        <w:rPr>
          <w:rFonts w:ascii="Verdana" w:cs="Verdana" w:eastAsia="Verdana" w:hAnsi="Verdana"/>
          <w:sz w:val="18"/>
          <w:szCs w:val="18"/>
          <w:color w:val="auto"/>
        </w:rPr>
        <w:t>im</w:t>
      </w:r>
      <w:r>
        <w:rPr>
          <w:sz w:val="20"/>
          <w:szCs w:val="20"/>
          <w:color w:val="auto"/>
        </w:rPr>
        <w:tab/>
      </w:r>
      <w:r>
        <w:rPr>
          <w:rFonts w:ascii="Verdana" w:cs="Verdana" w:eastAsia="Verdana" w:hAnsi="Verdana"/>
          <w:sz w:val="18"/>
          <w:szCs w:val="18"/>
          <w:color w:val="auto"/>
        </w:rPr>
        <w:t>Rahmen</w:t>
      </w:r>
      <w:r>
        <w:rPr>
          <w:sz w:val="20"/>
          <w:szCs w:val="20"/>
          <w:color w:val="auto"/>
        </w:rPr>
        <w:tab/>
      </w:r>
      <w:r>
        <w:rPr>
          <w:rFonts w:ascii="Verdana" w:cs="Verdana" w:eastAsia="Verdana" w:hAnsi="Verdana"/>
          <w:sz w:val="18"/>
          <w:szCs w:val="18"/>
          <w:color w:val="auto"/>
        </w:rPr>
        <w:t>einer</w:t>
      </w:r>
    </w:p>
    <w:p>
      <w:pPr>
        <w:jc w:val="both"/>
        <w:spacing w:after="0" w:line="236" w:lineRule="auto"/>
        <w:rPr>
          <w:sz w:val="20"/>
          <w:szCs w:val="20"/>
          <w:color w:val="auto"/>
        </w:rPr>
      </w:pPr>
      <w:r>
        <w:rPr>
          <w:rFonts w:ascii="Verdana" w:cs="Verdana" w:eastAsia="Verdana" w:hAnsi="Verdana"/>
          <w:sz w:val="18"/>
          <w:szCs w:val="18"/>
          <w:color w:val="auto"/>
        </w:rPr>
        <w:t>ausserordentlichen Generalversammlung rechtzeitig zu stellen, muss der Aktionär den Sekretär der Gesellschaft spätestens (i) 120</w:t>
      </w:r>
    </w:p>
    <w:p>
      <w:pPr>
        <w:spacing w:after="0" w:line="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Kalendertage vor dem Termin der ausserordentlichen Generalversammlung oder (ii) am Tag, der zehn Kalendertage nach der ersten öffentlichen Bekanntmachung oder anderweitigen Benachrichtigung der Aktionäre über den angedachten Termin für die ausserordentliche Generalversammlung liegt, per eingegangener schriftlicher Nachricht oder Email am Firmensitz informieren.</w:t>
      </w:r>
    </w:p>
    <w:p>
      <w:pPr>
        <w:spacing w:after="0" w:line="1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Jeder Antrag auf Aufnahme eines Traktandums hat zu enthalten: (i) eine kurze Zusammenfassung des Geschäfts, welches der Generalversammlung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382270</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21" w:name="page22"/>
    <w:bookmarkEnd w:id="21"/>
    <w:p>
      <w:pPr>
        <w:jc w:val="both"/>
        <w:spacing w:after="0" w:line="238" w:lineRule="auto"/>
        <w:rPr>
          <w:sz w:val="20"/>
          <w:szCs w:val="20"/>
          <w:color w:val="auto"/>
        </w:rPr>
      </w:pPr>
      <w:r>
        <w:rPr>
          <w:rFonts w:ascii="Verdana" w:cs="Verdana" w:eastAsia="Verdana" w:hAnsi="Verdana"/>
          <w:sz w:val="18"/>
          <w:szCs w:val="18"/>
          <w:color w:val="auto"/>
        </w:rPr>
        <w:t>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 other information required by Securities and Exchange Commission Rule "14a-8".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rPr>
          <w:sz w:val="20"/>
          <w:szCs w:val="20"/>
          <w:color w:val="auto"/>
        </w:rPr>
      </w:pPr>
      <w:r>
        <w:rPr>
          <w:rFonts w:ascii="Verdana" w:cs="Verdana" w:eastAsia="Verdana" w:hAnsi="Verdana"/>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9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No resolution may be passed at a General Meeting concerning an item in relation to which due notice was not given. Proposals made during a General Meeting to (i) convene a extraordinary General Meeting or (ii) initiate a special investigation in accordance with article 697a of the Swiss Code of Obligations are not subject to the due notice requirement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-896620</wp:posOffset>
            </wp:positionV>
            <wp:extent cx="48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No advance notice is required to propose motions on duly notified agenda items and to debate items without passing resolutions.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Art. 12</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[Left blank]</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Art. 13</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[Left blank]</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Verdana" w:cs="Verdana" w:eastAsia="Verdana" w:hAnsi="Verdana"/>
          <w:sz w:val="18"/>
          <w:szCs w:val="18"/>
          <w:color w:val="auto"/>
        </w:rPr>
        <w:t>vorgelegt werden soll, sowie eine Begründung, weshalb an der Versammlung darüber entschieden werden soll; (ii) den Namen und die Adresse des Gesuchstellenden Aktionärs, wie sie im Aktienbuch der Gesellschaft eingetragen sind;</w:t>
      </w:r>
    </w:p>
    <w:p>
      <w:pPr>
        <w:spacing w:after="0" w:line="4" w:lineRule="exact"/>
        <w:rPr>
          <w:sz w:val="20"/>
          <w:szCs w:val="20"/>
          <w:color w:val="auto"/>
        </w:rPr>
      </w:pPr>
    </w:p>
    <w:p>
      <w:pPr>
        <w:jc w:val="both"/>
        <w:ind w:firstLine="9"/>
        <w:spacing w:after="0" w:line="238" w:lineRule="auto"/>
        <w:tabs>
          <w:tab w:leader="none" w:pos="393" w:val="left"/>
        </w:tabs>
        <w:numPr>
          <w:ilvl w:val="0"/>
          <w:numId w:val="26"/>
        </w:numPr>
        <w:rPr>
          <w:rFonts w:ascii="Verdana" w:cs="Verdana" w:eastAsia="Verdana" w:hAnsi="Verdana"/>
          <w:sz w:val="18"/>
          <w:szCs w:val="18"/>
          <w:color w:val="auto"/>
        </w:rPr>
      </w:pPr>
      <w:r>
        <w:rPr>
          <w:rFonts w:ascii="Verdana" w:cs="Verdana" w:eastAsia="Verdana" w:hAnsi="Verdana"/>
          <w:sz w:val="18"/>
          <w:szCs w:val="18"/>
          <w:color w:val="auto"/>
        </w:rPr>
        <w:t>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 Zusammenhang mit diesem Geschäft; und (vii) eine Stellungnahme zum fraglichen Punkt und, für Anträge, welche der Aktionärsinformation durch die Gesellschaft beigefügt werden sollen, jede andere Information, welche die Securities and Exchange Commission Rule "14a-8" verlangt.</w:t>
      </w:r>
    </w:p>
    <w:p>
      <w:pPr>
        <w:spacing w:after="0" w:line="20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p>
      <w:pPr>
        <w:spacing w:after="0" w:line="199"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An der Generalversammlung darf kein Beschluss über ein Traktandum getroffen werden, über den nicht mit entsprechender Vorlaufzeit informiert worden ist. Anträge, die während der Generalversammlung gestellt werden, führen zu</w:t>
      </w:r>
    </w:p>
    <w:p>
      <w:pPr>
        <w:spacing w:after="0" w:line="4" w:lineRule="exact"/>
        <w:rPr>
          <w:sz w:val="20"/>
          <w:szCs w:val="20"/>
          <w:color w:val="auto"/>
        </w:rPr>
      </w:pPr>
    </w:p>
    <w:p>
      <w:pPr>
        <w:jc w:val="both"/>
        <w:ind w:firstLine="9"/>
        <w:spacing w:after="0" w:line="241" w:lineRule="auto"/>
        <w:tabs>
          <w:tab w:leader="none" w:pos="307"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einer ausserordentlichen Generalversammlung oder (ii) einer speziellen Untersuchung gemäss Art. 697a OR und unterliegen nicht der hierin geforderten Voraussetzung der rechtzeitigen Information.</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Zur Stellung von Anträgen im Rahmen der Verhandlungsgegenstände und zu Verhandlungen ohne Beschlussfassung bedarf es keiner vorherigen Ankündigung.</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Art. 12</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[Entfallen]</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Art. 13</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[Entfallen]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460375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22" w:name="page23"/>
    <w:bookmarkEnd w:id="22"/>
    <w:p>
      <w:pPr>
        <w:jc w:val="center"/>
        <w:ind w:right="1000"/>
        <w:spacing w:after="0"/>
        <w:tabs>
          <w:tab w:leader="none" w:pos="260" w:val="left"/>
        </w:tabs>
        <w:rPr>
          <w:sz w:val="20"/>
          <w:szCs w:val="20"/>
          <w:color w:val="auto"/>
        </w:rPr>
      </w:pPr>
      <w:r>
        <w:rPr>
          <w:rFonts w:ascii="Verdana" w:cs="Verdana" w:eastAsia="Verdana" w:hAnsi="Verdana"/>
          <w:sz w:val="18"/>
          <w:szCs w:val="18"/>
          <w:b w:val="1"/>
          <w:bCs w:val="1"/>
          <w:color w:val="auto"/>
        </w:rPr>
        <w:t>Art. 14</w:t>
        <w:tab/>
        <w:t>Chairman, Minute-Taker,</w:t>
      </w:r>
    </w:p>
    <w:p>
      <w:pPr>
        <w:jc w:val="center"/>
        <w:ind w:right="900"/>
        <w:spacing w:after="0"/>
        <w:rPr>
          <w:sz w:val="20"/>
          <w:szCs w:val="20"/>
          <w:color w:val="auto"/>
        </w:rPr>
      </w:pPr>
      <w:r>
        <w:rPr>
          <w:rFonts w:ascii="Verdana" w:cs="Verdana" w:eastAsia="Verdana" w:hAnsi="Verdana"/>
          <w:sz w:val="18"/>
          <w:szCs w:val="18"/>
          <w:b w:val="1"/>
          <w:bCs w:val="1"/>
          <w:color w:val="auto"/>
        </w:rPr>
        <w:t>Scrutineers</w:t>
      </w:r>
    </w:p>
    <w:p>
      <w:pPr>
        <w:spacing w:after="0" w:line="213" w:lineRule="exact"/>
        <w:rPr>
          <w:sz w:val="20"/>
          <w:szCs w:val="20"/>
          <w:color w:val="auto"/>
        </w:rPr>
      </w:pPr>
    </w:p>
    <w:p>
      <w:pPr>
        <w:jc w:val="both"/>
        <w:ind w:right="20"/>
        <w:spacing w:after="0" w:line="241" w:lineRule="auto"/>
        <w:rPr>
          <w:sz w:val="20"/>
          <w:szCs w:val="20"/>
          <w:color w:val="auto"/>
        </w:rPr>
      </w:pPr>
      <w:r>
        <w:rPr>
          <w:rFonts w:ascii="Verdana" w:cs="Verdana" w:eastAsia="Verdana" w:hAnsi="Verdana"/>
          <w:sz w:val="18"/>
          <w:szCs w:val="18"/>
          <w:color w:val="auto"/>
        </w:rPr>
        <w:t>The Chairman of the Board of Directors shall preside over the General Meeting. In his absence, a member of the Board of Directors or another Chairman of the Meeting designated by the General Meeting shall preside.</w:t>
      </w:r>
    </w:p>
    <w:p>
      <w:pPr>
        <w:spacing w:after="0" w:line="19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Chairman of the Meeting shall designate a minute-taker and the scrutineers who need not be shareholders.</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15</w:t>
        <w:tab/>
        <w:t>Minutes</w:t>
      </w:r>
    </w:p>
    <w:p>
      <w:pPr>
        <w:spacing w:after="0" w:line="21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Board of Directors is responsible for the keeping of the minutes of the Meeting to be prepared and made available to the Shareholders in accordance with law. The minutes shall be signed by the Chairman and the minute-taker.</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16</w:t>
        <w:tab/>
        <w:t>Right to Vote</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Each share entitles to one vote. When exercising voting rights, no person or entity can accumulate voting rights over its shares (including over Controlled Shares as defined in Article 4) of more than 15% of the registered share capital recorded in the Commercial Register. This restriction on exercise of voting rights does not apply to the exercise of voting rights by the Independent Proxy.</w:t>
      </w:r>
    </w:p>
    <w:p>
      <w:pPr>
        <w:spacing w:after="0" w:line="200" w:lineRule="exact"/>
        <w:rPr>
          <w:sz w:val="20"/>
          <w:szCs w:val="20"/>
          <w:color w:val="auto"/>
        </w:rPr>
      </w:pPr>
    </w:p>
    <w:p>
      <w:pPr>
        <w:spacing w:after="0" w:line="21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Each shareholder may be represented at a General Meeting by any person who is so authorized by a written proxy or a legal representative. A proxy need not be a shareholder.</w:t>
      </w:r>
    </w:p>
    <w:p>
      <w:pPr>
        <w:spacing w:after="0" w:line="198"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Each shareholder may be represented by the Independent Proxy. The requirements regarding proxies and instructions are determined by the Board of Directors in accordance with law.</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17</w:t>
        <w:tab/>
        <w:t>Resolutions and Elections</w:t>
      </w:r>
    </w:p>
    <w:p>
      <w:pPr>
        <w:spacing w:after="0" w:line="21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All voting and elections are hold openly or electronically. A written voting or election shall be</w:t>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Verdana" w:cs="Verdana" w:eastAsia="Verdana" w:hAnsi="Verdana"/>
          <w:sz w:val="18"/>
          <w:szCs w:val="18"/>
          <w:b w:val="1"/>
          <w:bCs w:val="1"/>
          <w:color w:val="auto"/>
        </w:rPr>
        <w:t>Art. 14</w:t>
      </w:r>
      <w:r>
        <w:rPr>
          <w:sz w:val="20"/>
          <w:szCs w:val="20"/>
          <w:color w:val="auto"/>
        </w:rPr>
        <w:tab/>
      </w:r>
      <w:r>
        <w:rPr>
          <w:rFonts w:ascii="Verdana" w:cs="Verdana" w:eastAsia="Verdana" w:hAnsi="Verdana"/>
          <w:sz w:val="17"/>
          <w:szCs w:val="17"/>
          <w:b w:val="1"/>
          <w:bCs w:val="1"/>
          <w:color w:val="auto"/>
        </w:rPr>
        <w:t>Vorsitz, Protokollführer,</w:t>
      </w:r>
    </w:p>
    <w:p>
      <w:pPr>
        <w:ind w:left="1220"/>
        <w:spacing w:after="0"/>
        <w:rPr>
          <w:sz w:val="20"/>
          <w:szCs w:val="20"/>
          <w:color w:val="auto"/>
        </w:rPr>
      </w:pPr>
      <w:r>
        <w:rPr>
          <w:rFonts w:ascii="Verdana" w:cs="Verdana" w:eastAsia="Verdana" w:hAnsi="Verdana"/>
          <w:sz w:val="18"/>
          <w:szCs w:val="18"/>
          <w:b w:val="1"/>
          <w:bCs w:val="1"/>
          <w:color w:val="auto"/>
        </w:rPr>
        <w:t>Stimmenzähler</w:t>
      </w:r>
    </w:p>
    <w:p>
      <w:pPr>
        <w:spacing w:after="0" w:line="21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Den Vorsitz der Generalversammlung führt der Präsident, bei dessen Verhinderung ein anderes Mitglied des Verwaltungsrates oder ein anderer von der Generalversammlung gewählter Tagespräsident.</w:t>
      </w:r>
    </w:p>
    <w:p>
      <w:pPr>
        <w:spacing w:after="0" w:line="19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Der Vorsitzende bezeichnet den Protokollführer und die Stimmenzähler, die nicht Aktionäre zu sein brauchen.</w:t>
      </w:r>
    </w:p>
    <w:p>
      <w:pPr>
        <w:spacing w:after="0" w:line="194"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15</w:t>
        <w:tab/>
        <w:t>Protokoll</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Der Verwaltungsrat sorgt im Einklang mit dem</w:t>
      </w:r>
    </w:p>
    <w:p>
      <w:pPr>
        <w:spacing w:after="0"/>
        <w:tabs>
          <w:tab w:leader="none" w:pos="1020" w:val="left"/>
          <w:tab w:leader="none" w:pos="1700" w:val="left"/>
          <w:tab w:leader="none" w:pos="2380" w:val="left"/>
          <w:tab w:leader="none" w:pos="3560" w:val="left"/>
          <w:tab w:leader="none" w:pos="4320" w:val="left"/>
        </w:tabs>
        <w:rPr>
          <w:sz w:val="20"/>
          <w:szCs w:val="20"/>
          <w:color w:val="auto"/>
        </w:rPr>
      </w:pPr>
      <w:r>
        <w:rPr>
          <w:rFonts w:ascii="Verdana" w:cs="Verdana" w:eastAsia="Verdana" w:hAnsi="Verdana"/>
          <w:sz w:val="18"/>
          <w:szCs w:val="18"/>
          <w:color w:val="auto"/>
        </w:rPr>
        <w:t>Gesetz</w:t>
      </w:r>
      <w:r>
        <w:rPr>
          <w:sz w:val="20"/>
          <w:szCs w:val="20"/>
          <w:color w:val="auto"/>
        </w:rPr>
        <w:tab/>
      </w:r>
      <w:r>
        <w:rPr>
          <w:rFonts w:ascii="Verdana" w:cs="Verdana" w:eastAsia="Verdana" w:hAnsi="Verdana"/>
          <w:sz w:val="18"/>
          <w:szCs w:val="18"/>
          <w:color w:val="auto"/>
        </w:rPr>
        <w:t>für</w:t>
      </w:r>
      <w:r>
        <w:rPr>
          <w:sz w:val="20"/>
          <w:szCs w:val="20"/>
          <w:color w:val="auto"/>
        </w:rPr>
        <w:tab/>
      </w:r>
      <w:r>
        <w:rPr>
          <w:rFonts w:ascii="Verdana" w:cs="Verdana" w:eastAsia="Verdana" w:hAnsi="Verdana"/>
          <w:sz w:val="18"/>
          <w:szCs w:val="18"/>
          <w:color w:val="auto"/>
        </w:rPr>
        <w:t>die</w:t>
      </w:r>
      <w:r>
        <w:rPr>
          <w:sz w:val="20"/>
          <w:szCs w:val="20"/>
          <w:color w:val="auto"/>
        </w:rPr>
        <w:tab/>
      </w:r>
      <w:r>
        <w:rPr>
          <w:rFonts w:ascii="Verdana" w:cs="Verdana" w:eastAsia="Verdana" w:hAnsi="Verdana"/>
          <w:sz w:val="18"/>
          <w:szCs w:val="18"/>
          <w:color w:val="auto"/>
        </w:rPr>
        <w:t>Führung</w:t>
      </w:r>
      <w:r>
        <w:rPr>
          <w:sz w:val="20"/>
          <w:szCs w:val="20"/>
          <w:color w:val="auto"/>
        </w:rPr>
        <w:tab/>
      </w:r>
      <w:r>
        <w:rPr>
          <w:rFonts w:ascii="Verdana" w:cs="Verdana" w:eastAsia="Verdana" w:hAnsi="Verdana"/>
          <w:sz w:val="18"/>
          <w:szCs w:val="18"/>
          <w:color w:val="auto"/>
        </w:rPr>
        <w:t>und</w:t>
      </w:r>
      <w:r>
        <w:rPr>
          <w:sz w:val="20"/>
          <w:szCs w:val="20"/>
          <w:color w:val="auto"/>
        </w:rPr>
        <w:tab/>
      </w:r>
      <w:r>
        <w:rPr>
          <w:rFonts w:ascii="Verdana" w:cs="Verdana" w:eastAsia="Verdana" w:hAnsi="Verdana"/>
          <w:sz w:val="17"/>
          <w:szCs w:val="17"/>
          <w:color w:val="auto"/>
        </w:rPr>
        <w:t>die</w:t>
      </w:r>
    </w:p>
    <w:p>
      <w:pPr>
        <w:spacing w:after="0"/>
        <w:tabs>
          <w:tab w:leader="none" w:pos="2040" w:val="left"/>
          <w:tab w:leader="none" w:pos="2580" w:val="left"/>
          <w:tab w:leader="none" w:pos="3680" w:val="left"/>
          <w:tab w:leader="none" w:pos="4320" w:val="left"/>
        </w:tabs>
        <w:rPr>
          <w:sz w:val="20"/>
          <w:szCs w:val="20"/>
          <w:color w:val="auto"/>
        </w:rPr>
      </w:pPr>
      <w:r>
        <w:rPr>
          <w:rFonts w:ascii="Verdana" w:cs="Verdana" w:eastAsia="Verdana" w:hAnsi="Verdana"/>
          <w:sz w:val="18"/>
          <w:szCs w:val="18"/>
          <w:color w:val="auto"/>
        </w:rPr>
        <w:t>Zugänglichmachung</w:t>
        <w:tab/>
        <w:t>des</w:t>
        <w:tab/>
        <w:t>Protokolls</w:t>
        <w:tab/>
        <w:t>über</w:t>
      </w:r>
      <w:r>
        <w:rPr>
          <w:sz w:val="20"/>
          <w:szCs w:val="20"/>
          <w:color w:val="auto"/>
        </w:rPr>
        <w:tab/>
      </w:r>
      <w:r>
        <w:rPr>
          <w:rFonts w:ascii="Verdana" w:cs="Verdana" w:eastAsia="Verdana" w:hAnsi="Verdana"/>
          <w:sz w:val="17"/>
          <w:szCs w:val="17"/>
          <w:color w:val="auto"/>
        </w:rPr>
        <w:t>die</w:t>
      </w:r>
    </w:p>
    <w:p>
      <w:pPr>
        <w:spacing w:after="0" w:line="237" w:lineRule="auto"/>
        <w:tabs>
          <w:tab w:leader="none" w:pos="2160" w:val="left"/>
          <w:tab w:leader="none" w:pos="2680" w:val="left"/>
          <w:tab w:leader="none" w:pos="3640" w:val="left"/>
          <w:tab w:leader="none" w:pos="4180" w:val="left"/>
        </w:tabs>
        <w:rPr>
          <w:sz w:val="20"/>
          <w:szCs w:val="20"/>
          <w:color w:val="auto"/>
        </w:rPr>
      </w:pPr>
      <w:r>
        <w:rPr>
          <w:rFonts w:ascii="Verdana" w:cs="Verdana" w:eastAsia="Verdana" w:hAnsi="Verdana"/>
          <w:sz w:val="18"/>
          <w:szCs w:val="18"/>
          <w:color w:val="auto"/>
        </w:rPr>
        <w:t>Generalversammlung.</w:t>
        <w:tab/>
        <w:t>Das</w:t>
        <w:tab/>
        <w:t>Protokoll</w:t>
        <w:tab/>
        <w:t>wird</w:t>
        <w:tab/>
        <w:t>vom</w:t>
      </w:r>
    </w:p>
    <w:p>
      <w:pPr>
        <w:spacing w:after="0" w:line="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Vorsitzenden und vom Protokollführer unterzeichnet.</w:t>
      </w:r>
    </w:p>
    <w:p>
      <w:pPr>
        <w:spacing w:after="0" w:line="185"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16</w:t>
      </w:r>
      <w:r>
        <w:rPr>
          <w:sz w:val="20"/>
          <w:szCs w:val="20"/>
          <w:color w:val="auto"/>
        </w:rPr>
        <w:tab/>
      </w:r>
      <w:r>
        <w:rPr>
          <w:rFonts w:ascii="Verdana" w:cs="Verdana" w:eastAsia="Verdana" w:hAnsi="Verdana"/>
          <w:sz w:val="17"/>
          <w:szCs w:val="17"/>
          <w:b w:val="1"/>
          <w:bCs w:val="1"/>
          <w:color w:val="auto"/>
        </w:rPr>
        <w:t>Stimmrecht</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Jede Aktie berechtigt zu einer Stimme. Bei der Ausübung des Stimmrechts kann keine natürliche oder juristische Person für ihre Aktien (einschliesslich für die Kontrollierten Aktien wie in Art. 4 definiert) mehr als 15% des im Handelsregister eingetragenen Aktienkapitals auf sich vereinigen. Die vorstehende Beschränkung der Ausübung von Stimmrechten gilt nicht für die Ausübung von Stimmrechten durch den unabhängigen Stimmrechtsvertreter.</w:t>
      </w:r>
    </w:p>
    <w:p>
      <w:pPr>
        <w:spacing w:after="0" w:line="19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Jeder Aktionär kann sich in der Generalversammlung aufgrund einer schriftlichen Vollmacht durch eine andere Person oder einen gesetzlichen Vertreter vertreten lassen, die bzw. der nicht Aktionär zu sein braucht.</w:t>
      </w:r>
    </w:p>
    <w:p>
      <w:pPr>
        <w:spacing w:after="0" w:line="19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Jeder Aktionär kann sich vom unabhängigen Stimmrechtsvertreter vertreten lassen. Die Anforderungen an Vollmachten und Weisungen werden vom Verwaltungsrat im Einklang mit dem Gesetz festgelegt.</w:t>
      </w:r>
    </w:p>
    <w:p>
      <w:pPr>
        <w:spacing w:after="0" w:line="198"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17</w:t>
        <w:tab/>
        <w:t>Beschlussfassung und Wahlen</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Die Abstimmungen und Wahlen erfolgen offen oder elektronisch. Eine schriftliche Abstimmung oder Wahl wird durchgeführt, wenn dies vom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379730</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2" w:right="1199" w:bottom="1440" w:gutter="0" w:footer="0" w:header="0"/>
        </w:sectPr>
      </w:pPr>
    </w:p>
    <w:bookmarkStart w:id="23" w:name="page24"/>
    <w:bookmarkEnd w:id="23"/>
    <w:p>
      <w:pPr>
        <w:jc w:val="both"/>
        <w:ind w:right="20"/>
        <w:spacing w:after="0" w:line="254" w:lineRule="auto"/>
        <w:rPr>
          <w:sz w:val="20"/>
          <w:szCs w:val="20"/>
          <w:color w:val="auto"/>
        </w:rPr>
      </w:pPr>
      <w:r>
        <w:rPr>
          <w:rFonts w:ascii="Verdana" w:cs="Verdana" w:eastAsia="Verdana" w:hAnsi="Verdana"/>
          <w:sz w:val="18"/>
          <w:szCs w:val="18"/>
          <w:color w:val="auto"/>
        </w:rPr>
        <w:t>held if instructed so by the Chairman or if decided by the General Meeting.</w:t>
      </w:r>
    </w:p>
    <w:p>
      <w:pPr>
        <w:spacing w:after="0" w:line="18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General Meeting shall pass its resolutions and carry out its elections with the simple majority of the votes cast regardless of abstentions and empty or invalid votes, unless law or articles of association state otherwise. In the event of tie votes, the request shall be refused. The Chairman shall not have a casting vote.</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A resolution of the General Meeting passed by at least two thirds of the represented share votes and the majority of the represented shares par value is required for:</w:t>
      </w:r>
    </w:p>
    <w:p>
      <w:pPr>
        <w:spacing w:after="0" w:line="198" w:lineRule="exact"/>
        <w:rPr>
          <w:sz w:val="20"/>
          <w:szCs w:val="20"/>
          <w:color w:val="auto"/>
        </w:rPr>
      </w:pPr>
    </w:p>
    <w:p>
      <w:pPr>
        <w:ind w:left="300" w:hanging="299"/>
        <w:spacing w:after="0"/>
        <w:tabs>
          <w:tab w:leader="none" w:pos="300" w:val="left"/>
        </w:tabs>
        <w:numPr>
          <w:ilvl w:val="0"/>
          <w:numId w:val="28"/>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cases listed in art. 704 para. 1 CO, i.e.:</w:t>
      </w:r>
    </w:p>
    <w:p>
      <w:pPr>
        <w:spacing w:after="0" w:line="225"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change of the company purpose;</w:t>
      </w:r>
    </w:p>
    <w:p>
      <w:pPr>
        <w:spacing w:after="0" w:line="213" w:lineRule="exact"/>
        <w:rPr>
          <w:rFonts w:ascii="Verdana" w:cs="Verdana" w:eastAsia="Verdana" w:hAnsi="Verdana"/>
          <w:sz w:val="14"/>
          <w:szCs w:val="14"/>
          <w:color w:val="auto"/>
        </w:rPr>
      </w:pPr>
    </w:p>
    <w:p>
      <w:pPr>
        <w:ind w:left="1100" w:right="20" w:hanging="643"/>
        <w:spacing w:after="0" w:line="254" w:lineRule="auto"/>
        <w:tabs>
          <w:tab w:leader="none" w:pos="801"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creation of shares with privileged voting rights;</w:t>
      </w:r>
    </w:p>
    <w:p>
      <w:pPr>
        <w:spacing w:after="0" w:line="184" w:lineRule="exact"/>
        <w:rPr>
          <w:rFonts w:ascii="Verdana" w:cs="Verdana" w:eastAsia="Verdana" w:hAnsi="Verdana"/>
          <w:sz w:val="14"/>
          <w:szCs w:val="14"/>
          <w:color w:val="auto"/>
        </w:rPr>
      </w:pPr>
    </w:p>
    <w:p>
      <w:pPr>
        <w:ind w:left="1100" w:right="20" w:hanging="643"/>
        <w:spacing w:after="0" w:line="254" w:lineRule="auto"/>
        <w:tabs>
          <w:tab w:leader="none" w:pos="825"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restriction of the transferability of registered shares;</w:t>
      </w:r>
    </w:p>
    <w:p>
      <w:pPr>
        <w:spacing w:after="0" w:line="184" w:lineRule="exact"/>
        <w:rPr>
          <w:rFonts w:ascii="Verdana" w:cs="Verdana" w:eastAsia="Verdana" w:hAnsi="Verdana"/>
          <w:sz w:val="14"/>
          <w:szCs w:val="14"/>
          <w:color w:val="auto"/>
        </w:rPr>
      </w:pPr>
    </w:p>
    <w:p>
      <w:pPr>
        <w:ind w:left="1100" w:right="20" w:hanging="643"/>
        <w:spacing w:after="0" w:line="254" w:lineRule="auto"/>
        <w:tabs>
          <w:tab w:leader="none" w:pos="849"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introducing a conditional capital or a capital band;</w:t>
      </w:r>
    </w:p>
    <w:p>
      <w:pPr>
        <w:spacing w:after="0" w:line="184" w:lineRule="exact"/>
        <w:rPr>
          <w:rFonts w:ascii="Verdana" w:cs="Verdana" w:eastAsia="Verdana" w:hAnsi="Verdana"/>
          <w:sz w:val="14"/>
          <w:szCs w:val="14"/>
          <w:color w:val="auto"/>
        </w:rPr>
      </w:pPr>
    </w:p>
    <w:p>
      <w:pPr>
        <w:ind w:left="1100" w:right="20" w:hanging="643"/>
        <w:spacing w:after="0" w:line="242" w:lineRule="auto"/>
        <w:tabs>
          <w:tab w:leader="none" w:pos="819"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an increase of capital out of equity, against contribution in kind, or by offsetting against a receivable and the granting of special benefits;</w:t>
      </w:r>
    </w:p>
    <w:p>
      <w:pPr>
        <w:spacing w:after="0" w:line="200" w:lineRule="exact"/>
        <w:rPr>
          <w:rFonts w:ascii="Verdana" w:cs="Verdana" w:eastAsia="Verdana" w:hAnsi="Verdana"/>
          <w:sz w:val="14"/>
          <w:szCs w:val="14"/>
          <w:color w:val="auto"/>
        </w:rPr>
      </w:pPr>
    </w:p>
    <w:p>
      <w:pPr>
        <w:spacing w:after="0" w:line="213" w:lineRule="exact"/>
        <w:rPr>
          <w:rFonts w:ascii="Verdana" w:cs="Verdana" w:eastAsia="Verdana" w:hAnsi="Verdana"/>
          <w:sz w:val="14"/>
          <w:szCs w:val="14"/>
          <w:color w:val="auto"/>
        </w:rPr>
      </w:pPr>
    </w:p>
    <w:p>
      <w:pPr>
        <w:ind w:left="1100" w:right="20" w:hanging="643"/>
        <w:spacing w:after="0" w:line="254" w:lineRule="auto"/>
        <w:tabs>
          <w:tab w:leader="none" w:pos="976"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limitation or withdrawal of subscription rights;</w:t>
      </w:r>
    </w:p>
    <w:p>
      <w:pPr>
        <w:spacing w:after="0" w:line="184" w:lineRule="exact"/>
        <w:rPr>
          <w:rFonts w:ascii="Verdana" w:cs="Verdana" w:eastAsia="Verdana" w:hAnsi="Verdana"/>
          <w:sz w:val="14"/>
          <w:szCs w:val="14"/>
          <w:color w:val="auto"/>
        </w:rPr>
      </w:pPr>
    </w:p>
    <w:p>
      <w:pPr>
        <w:ind w:left="1100" w:hanging="643"/>
        <w:spacing w:after="0" w:line="254" w:lineRule="auto"/>
        <w:tabs>
          <w:tab w:leader="none" w:pos="831"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change of the currency of the share capital;</w:t>
      </w:r>
    </w:p>
    <w:p>
      <w:pPr>
        <w:spacing w:after="0" w:line="184" w:lineRule="exact"/>
        <w:rPr>
          <w:rFonts w:ascii="Verdana" w:cs="Verdana" w:eastAsia="Verdana" w:hAnsi="Verdana"/>
          <w:sz w:val="14"/>
          <w:szCs w:val="14"/>
          <w:color w:val="auto"/>
        </w:rPr>
      </w:pPr>
    </w:p>
    <w:p>
      <w:pPr>
        <w:ind w:left="920" w:hanging="463"/>
        <w:spacing w:after="0"/>
        <w:tabs>
          <w:tab w:leader="none" w:pos="920"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liquidation of the Company;</w:t>
      </w:r>
    </w:p>
    <w:p>
      <w:pPr>
        <w:spacing w:after="0" w:line="213" w:lineRule="exact"/>
        <w:rPr>
          <w:rFonts w:ascii="Verdana" w:cs="Verdana" w:eastAsia="Verdana" w:hAnsi="Verdana"/>
          <w:sz w:val="14"/>
          <w:szCs w:val="14"/>
          <w:color w:val="auto"/>
        </w:rPr>
      </w:pPr>
    </w:p>
    <w:p>
      <w:pPr>
        <w:ind w:left="820" w:hanging="363"/>
        <w:spacing w:after="0"/>
        <w:tabs>
          <w:tab w:leader="none" w:pos="820"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the consolidation of shares;</w:t>
      </w:r>
    </w:p>
    <w:p>
      <w:pPr>
        <w:spacing w:after="0" w:line="213" w:lineRule="exact"/>
        <w:rPr>
          <w:rFonts w:ascii="Verdana" w:cs="Verdana" w:eastAsia="Verdana" w:hAnsi="Verdana"/>
          <w:sz w:val="14"/>
          <w:szCs w:val="14"/>
          <w:color w:val="auto"/>
        </w:rPr>
      </w:pPr>
    </w:p>
    <w:p>
      <w:pPr>
        <w:ind w:left="1100" w:right="20" w:hanging="643"/>
        <w:spacing w:after="0" w:line="254" w:lineRule="auto"/>
        <w:tabs>
          <w:tab w:leader="none" w:pos="843" w:val="left"/>
        </w:tabs>
        <w:numPr>
          <w:ilvl w:val="1"/>
          <w:numId w:val="28"/>
        </w:numPr>
        <w:rPr>
          <w:rFonts w:ascii="Verdana" w:cs="Verdana" w:eastAsia="Verdana" w:hAnsi="Verdana"/>
          <w:sz w:val="14"/>
          <w:szCs w:val="14"/>
          <w:color w:val="auto"/>
        </w:rPr>
      </w:pPr>
      <w:r>
        <w:rPr>
          <w:rFonts w:ascii="Verdana" w:cs="Verdana" w:eastAsia="Verdana" w:hAnsi="Verdana"/>
          <w:sz w:val="18"/>
          <w:szCs w:val="18"/>
          <w:color w:val="auto"/>
        </w:rPr>
        <w:t>converting participation certificates into registered shares;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Verdana" w:cs="Verdana" w:eastAsia="Verdana" w:hAnsi="Verdana"/>
          <w:sz w:val="18"/>
          <w:szCs w:val="18"/>
          <w:color w:val="auto"/>
        </w:rPr>
        <w:t>Vorsitzenden angeordnet oder von der Generalversammlung beschlossen wird.</w:t>
      </w:r>
    </w:p>
    <w:p>
      <w:pPr>
        <w:spacing w:after="0" w:line="185"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Die Generalversammlung fasst ihre Beschlüsse und vollzieht ihre Wahlen, soweit das Gesetz oder die Statuten es nicht anders bestimmen, mit der</w:t>
      </w:r>
    </w:p>
    <w:p>
      <w:pPr>
        <w:spacing w:after="0" w:line="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einfachen Mehrheit der abgegebenen Aktienstimmen ohne Berücksichtigung von Stimmenthaltungen oder leer eingelegten oder ungültigen Stimmen. Bei Stimmengleichheit gilt ein Antrag als abgelehnt. Dem Vorsitzenden steht kein Stichentscheid zu.</w:t>
      </w:r>
    </w:p>
    <w:p>
      <w:pPr>
        <w:spacing w:after="0" w:line="1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Ein Beschluss der Generalversammlung, durch mindestens zwei Drittel der vertretenen Aktienstimmen und die Mehrheit der vertretenen Aktiennennwerte, ist erforderlich für:</w:t>
      </w:r>
    </w:p>
    <w:p>
      <w:pPr>
        <w:spacing w:after="0" w:line="198" w:lineRule="exact"/>
        <w:rPr>
          <w:sz w:val="20"/>
          <w:szCs w:val="20"/>
          <w:color w:val="auto"/>
        </w:rPr>
      </w:pPr>
    </w:p>
    <w:p>
      <w:pPr>
        <w:ind w:left="440" w:hanging="431"/>
        <w:spacing w:after="0"/>
        <w:tabs>
          <w:tab w:leader="none" w:pos="440" w:val="left"/>
        </w:tabs>
        <w:numPr>
          <w:ilvl w:val="0"/>
          <w:numId w:val="29"/>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Fälle gemäss Art. 704 Abs. 1 OR, d.h.:</w:t>
      </w:r>
    </w:p>
    <w:p>
      <w:pPr>
        <w:spacing w:after="0" w:line="225" w:lineRule="exact"/>
        <w:rPr>
          <w:rFonts w:ascii="Times New Roman" w:cs="Times New Roman" w:eastAsia="Times New Roman" w:hAnsi="Times New Roman"/>
          <w:sz w:val="18"/>
          <w:szCs w:val="18"/>
          <w:color w:val="auto"/>
        </w:rPr>
      </w:pPr>
    </w:p>
    <w:p>
      <w:pPr>
        <w:ind w:left="700" w:hanging="235"/>
        <w:spacing w:after="0"/>
        <w:tabs>
          <w:tab w:leader="none" w:pos="700"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Änderung des Gesellschaftszweckes;</w:t>
      </w:r>
    </w:p>
    <w:p>
      <w:pPr>
        <w:spacing w:after="0" w:line="213" w:lineRule="exact"/>
        <w:rPr>
          <w:rFonts w:ascii="Verdana" w:cs="Verdana" w:eastAsia="Verdana" w:hAnsi="Verdana"/>
          <w:sz w:val="14"/>
          <w:szCs w:val="14"/>
          <w:color w:val="auto"/>
        </w:rPr>
      </w:pPr>
    </w:p>
    <w:p>
      <w:pPr>
        <w:ind w:left="740" w:hanging="275"/>
        <w:spacing w:after="0"/>
        <w:tabs>
          <w:tab w:leader="none" w:pos="740"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Einführung von Stimmrechtsaktien;</w:t>
      </w:r>
    </w:p>
    <w:p>
      <w:pPr>
        <w:spacing w:after="0" w:line="200" w:lineRule="exact"/>
        <w:rPr>
          <w:rFonts w:ascii="Verdana" w:cs="Verdana" w:eastAsia="Verdana" w:hAnsi="Verdana"/>
          <w:sz w:val="14"/>
          <w:szCs w:val="14"/>
          <w:color w:val="auto"/>
        </w:rPr>
      </w:pPr>
    </w:p>
    <w:p>
      <w:pPr>
        <w:spacing w:after="0" w:line="229" w:lineRule="exact"/>
        <w:rPr>
          <w:rFonts w:ascii="Verdana" w:cs="Verdana" w:eastAsia="Verdana" w:hAnsi="Verdana"/>
          <w:sz w:val="14"/>
          <w:szCs w:val="14"/>
          <w:color w:val="auto"/>
        </w:rPr>
      </w:pPr>
    </w:p>
    <w:p>
      <w:pPr>
        <w:ind w:left="1100" w:hanging="635"/>
        <w:spacing w:after="0" w:line="254" w:lineRule="auto"/>
        <w:tabs>
          <w:tab w:leader="none" w:pos="866"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Beschränkung der Übertragbarkeit von Namenaktien;</w:t>
      </w:r>
    </w:p>
    <w:p>
      <w:pPr>
        <w:spacing w:after="0" w:line="184" w:lineRule="exact"/>
        <w:rPr>
          <w:rFonts w:ascii="Verdana" w:cs="Verdana" w:eastAsia="Verdana" w:hAnsi="Verdana"/>
          <w:sz w:val="14"/>
          <w:szCs w:val="14"/>
          <w:color w:val="auto"/>
        </w:rPr>
      </w:pPr>
    </w:p>
    <w:p>
      <w:pPr>
        <w:ind w:left="1100" w:hanging="635"/>
        <w:spacing w:after="0" w:line="254" w:lineRule="auto"/>
        <w:tabs>
          <w:tab w:leader="none" w:pos="827"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Einführung eines bedingten Kapitals oder eines Kapitalbands;</w:t>
      </w:r>
    </w:p>
    <w:p>
      <w:pPr>
        <w:spacing w:after="0" w:line="184" w:lineRule="exact"/>
        <w:rPr>
          <w:rFonts w:ascii="Verdana" w:cs="Verdana" w:eastAsia="Verdana" w:hAnsi="Verdana"/>
          <w:sz w:val="14"/>
          <w:szCs w:val="14"/>
          <w:color w:val="auto"/>
        </w:rPr>
      </w:pPr>
    </w:p>
    <w:p>
      <w:pPr>
        <w:ind w:left="1100" w:hanging="635"/>
        <w:spacing w:after="0" w:line="241" w:lineRule="auto"/>
        <w:tabs>
          <w:tab w:leader="none" w:pos="850"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Kapitalerhöhung aus Eigenkapital, gegen Sacheinlage oder durch Verrechnung mit einer Forderung und die Gewährung von besonderen Vorteilen;</w:t>
      </w:r>
    </w:p>
    <w:p>
      <w:pPr>
        <w:spacing w:after="0" w:line="197" w:lineRule="exact"/>
        <w:rPr>
          <w:rFonts w:ascii="Verdana" w:cs="Verdana" w:eastAsia="Verdana" w:hAnsi="Verdana"/>
          <w:sz w:val="14"/>
          <w:szCs w:val="14"/>
          <w:color w:val="auto"/>
        </w:rPr>
      </w:pPr>
    </w:p>
    <w:p>
      <w:pPr>
        <w:ind w:left="1100" w:hanging="635"/>
        <w:spacing w:after="0" w:line="254" w:lineRule="auto"/>
        <w:tabs>
          <w:tab w:leader="none" w:pos="838"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Einschränkung oder Aufhebung des Bezugsrechtes;</w:t>
      </w:r>
    </w:p>
    <w:p>
      <w:pPr>
        <w:spacing w:after="0" w:line="184" w:lineRule="exact"/>
        <w:rPr>
          <w:rFonts w:ascii="Verdana" w:cs="Verdana" w:eastAsia="Verdana" w:hAnsi="Verdana"/>
          <w:sz w:val="14"/>
          <w:szCs w:val="14"/>
          <w:color w:val="auto"/>
        </w:rPr>
      </w:pPr>
    </w:p>
    <w:p>
      <w:pPr>
        <w:ind w:left="1100" w:hanging="635"/>
        <w:spacing w:after="0" w:line="254" w:lineRule="auto"/>
        <w:tabs>
          <w:tab w:leader="none" w:pos="1026"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den Wechsel der Währung des Aktienkapitals;</w:t>
      </w:r>
    </w:p>
    <w:p>
      <w:pPr>
        <w:spacing w:after="0" w:line="184" w:lineRule="exact"/>
        <w:rPr>
          <w:rFonts w:ascii="Verdana" w:cs="Verdana" w:eastAsia="Verdana" w:hAnsi="Verdana"/>
          <w:sz w:val="14"/>
          <w:szCs w:val="14"/>
          <w:color w:val="auto"/>
        </w:rPr>
      </w:pPr>
    </w:p>
    <w:p>
      <w:pPr>
        <w:ind w:left="920" w:hanging="455"/>
        <w:spacing w:after="0"/>
        <w:tabs>
          <w:tab w:leader="none" w:pos="920"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Auflösung der Gesellschaft;</w:t>
      </w:r>
    </w:p>
    <w:p>
      <w:pPr>
        <w:spacing w:after="0" w:line="213" w:lineRule="exact"/>
        <w:rPr>
          <w:rFonts w:ascii="Verdana" w:cs="Verdana" w:eastAsia="Verdana" w:hAnsi="Verdana"/>
          <w:sz w:val="14"/>
          <w:szCs w:val="14"/>
          <w:color w:val="auto"/>
        </w:rPr>
      </w:pPr>
    </w:p>
    <w:p>
      <w:pPr>
        <w:ind w:left="840" w:hanging="375"/>
        <w:spacing w:after="0"/>
        <w:tabs>
          <w:tab w:leader="none" w:pos="840"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Zusammenlegung von Aktien;</w:t>
      </w:r>
    </w:p>
    <w:p>
      <w:pPr>
        <w:spacing w:after="0" w:line="213" w:lineRule="exact"/>
        <w:rPr>
          <w:rFonts w:ascii="Verdana" w:cs="Verdana" w:eastAsia="Verdana" w:hAnsi="Verdana"/>
          <w:sz w:val="14"/>
          <w:szCs w:val="14"/>
          <w:color w:val="auto"/>
        </w:rPr>
      </w:pPr>
    </w:p>
    <w:p>
      <w:pPr>
        <w:ind w:left="1100" w:hanging="635"/>
        <w:spacing w:after="0" w:line="254" w:lineRule="auto"/>
        <w:tabs>
          <w:tab w:leader="none" w:pos="1750" w:val="left"/>
        </w:tabs>
        <w:numPr>
          <w:ilvl w:val="1"/>
          <w:numId w:val="29"/>
        </w:numPr>
        <w:rPr>
          <w:rFonts w:ascii="Verdana" w:cs="Verdana" w:eastAsia="Verdana" w:hAnsi="Verdana"/>
          <w:sz w:val="14"/>
          <w:szCs w:val="14"/>
          <w:color w:val="auto"/>
        </w:rPr>
      </w:pPr>
      <w:r>
        <w:rPr>
          <w:rFonts w:ascii="Verdana" w:cs="Verdana" w:eastAsia="Verdana" w:hAnsi="Verdana"/>
          <w:sz w:val="18"/>
          <w:szCs w:val="18"/>
          <w:color w:val="auto"/>
        </w:rPr>
        <w:t>die Umwandlung von Partizipationsscheinen in Aktien;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442595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24" w:name="page25"/>
    <w:bookmarkEnd w:id="24"/>
    <w:p>
      <w:pPr>
        <w:spacing w:after="0" w:line="3" w:lineRule="exact"/>
        <w:rPr>
          <w:sz w:val="20"/>
          <w:szCs w:val="20"/>
          <w:color w:val="auto"/>
        </w:rPr>
      </w:pPr>
    </w:p>
    <w:p>
      <w:pPr>
        <w:ind w:left="1100" w:hanging="643"/>
        <w:spacing w:after="0" w:line="254" w:lineRule="auto"/>
        <w:tabs>
          <w:tab w:leader="none" w:pos="854" w:val="left"/>
        </w:tabs>
        <w:numPr>
          <w:ilvl w:val="1"/>
          <w:numId w:val="30"/>
        </w:numPr>
        <w:rPr>
          <w:rFonts w:ascii="Verdana" w:cs="Verdana" w:eastAsia="Verdana" w:hAnsi="Verdana"/>
          <w:sz w:val="14"/>
          <w:szCs w:val="14"/>
          <w:color w:val="auto"/>
        </w:rPr>
      </w:pPr>
      <w:r>
        <w:rPr>
          <w:rFonts w:ascii="Verdana" w:cs="Verdana" w:eastAsia="Verdana" w:hAnsi="Verdana"/>
          <w:sz w:val="18"/>
          <w:szCs w:val="18"/>
          <w:color w:val="auto"/>
        </w:rPr>
        <w:t>the introduction of a casting vote of the Chairman in the General Meeting;</w:t>
      </w:r>
    </w:p>
    <w:p>
      <w:pPr>
        <w:spacing w:after="0" w:line="200" w:lineRule="exact"/>
        <w:rPr>
          <w:rFonts w:ascii="Verdana" w:cs="Verdana" w:eastAsia="Verdana" w:hAnsi="Verdana"/>
          <w:sz w:val="14"/>
          <w:szCs w:val="14"/>
          <w:color w:val="auto"/>
        </w:rPr>
      </w:pPr>
    </w:p>
    <w:p>
      <w:pPr>
        <w:spacing w:after="0" w:line="200" w:lineRule="exact"/>
        <w:rPr>
          <w:rFonts w:ascii="Verdana" w:cs="Verdana" w:eastAsia="Verdana" w:hAnsi="Verdana"/>
          <w:sz w:val="14"/>
          <w:szCs w:val="14"/>
          <w:color w:val="auto"/>
        </w:rPr>
      </w:pPr>
    </w:p>
    <w:p>
      <w:pPr>
        <w:ind w:left="1100" w:hanging="643"/>
        <w:spacing w:after="0" w:line="254" w:lineRule="auto"/>
        <w:tabs>
          <w:tab w:leader="none" w:pos="988" w:val="left"/>
        </w:tabs>
        <w:numPr>
          <w:ilvl w:val="1"/>
          <w:numId w:val="30"/>
        </w:numPr>
        <w:rPr>
          <w:rFonts w:ascii="Verdana" w:cs="Verdana" w:eastAsia="Verdana" w:hAnsi="Verdana"/>
          <w:sz w:val="14"/>
          <w:szCs w:val="14"/>
          <w:color w:val="auto"/>
        </w:rPr>
      </w:pPr>
      <w:r>
        <w:rPr>
          <w:rFonts w:ascii="Verdana" w:cs="Verdana" w:eastAsia="Verdana" w:hAnsi="Verdana"/>
          <w:sz w:val="18"/>
          <w:szCs w:val="18"/>
          <w:color w:val="auto"/>
        </w:rPr>
        <w:t>the introduction of the possibility to hold the General Meeting abroad;</w:t>
      </w:r>
    </w:p>
    <w:p>
      <w:pPr>
        <w:spacing w:after="0" w:line="200" w:lineRule="exact"/>
        <w:rPr>
          <w:rFonts w:ascii="Verdana" w:cs="Verdana" w:eastAsia="Verdana" w:hAnsi="Verdana"/>
          <w:sz w:val="14"/>
          <w:szCs w:val="14"/>
          <w:color w:val="auto"/>
        </w:rPr>
      </w:pPr>
    </w:p>
    <w:p>
      <w:pPr>
        <w:spacing w:after="0" w:line="200" w:lineRule="exact"/>
        <w:rPr>
          <w:rFonts w:ascii="Verdana" w:cs="Verdana" w:eastAsia="Verdana" w:hAnsi="Verdana"/>
          <w:sz w:val="14"/>
          <w:szCs w:val="14"/>
          <w:color w:val="auto"/>
        </w:rPr>
      </w:pPr>
    </w:p>
    <w:p>
      <w:pPr>
        <w:spacing w:after="0" w:line="216" w:lineRule="exact"/>
        <w:rPr>
          <w:rFonts w:ascii="Verdana" w:cs="Verdana" w:eastAsia="Verdana" w:hAnsi="Verdana"/>
          <w:sz w:val="14"/>
          <w:szCs w:val="14"/>
          <w:color w:val="auto"/>
        </w:rPr>
      </w:pPr>
    </w:p>
    <w:p>
      <w:pPr>
        <w:ind w:left="1100" w:hanging="643"/>
        <w:spacing w:after="0" w:line="254" w:lineRule="auto"/>
        <w:tabs>
          <w:tab w:leader="none" w:pos="1059" w:val="left"/>
        </w:tabs>
        <w:numPr>
          <w:ilvl w:val="1"/>
          <w:numId w:val="30"/>
        </w:numPr>
        <w:rPr>
          <w:rFonts w:ascii="Verdana" w:cs="Verdana" w:eastAsia="Verdana" w:hAnsi="Verdana"/>
          <w:sz w:val="14"/>
          <w:szCs w:val="14"/>
          <w:color w:val="auto"/>
        </w:rPr>
      </w:pPr>
      <w:r>
        <w:rPr>
          <w:rFonts w:ascii="Verdana" w:cs="Verdana" w:eastAsia="Verdana" w:hAnsi="Verdana"/>
          <w:sz w:val="18"/>
          <w:szCs w:val="18"/>
          <w:color w:val="auto"/>
        </w:rPr>
        <w:t>the delisting the Company’s equity securities;</w:t>
      </w:r>
    </w:p>
    <w:p>
      <w:pPr>
        <w:spacing w:after="0" w:line="184" w:lineRule="exact"/>
        <w:rPr>
          <w:rFonts w:ascii="Verdana" w:cs="Verdana" w:eastAsia="Verdana" w:hAnsi="Verdana"/>
          <w:sz w:val="14"/>
          <w:szCs w:val="14"/>
          <w:color w:val="auto"/>
        </w:rPr>
      </w:pPr>
    </w:p>
    <w:p>
      <w:pPr>
        <w:ind w:left="1100" w:hanging="643"/>
        <w:spacing w:after="0" w:line="254" w:lineRule="auto"/>
        <w:tabs>
          <w:tab w:leader="none" w:pos="984" w:val="left"/>
        </w:tabs>
        <w:numPr>
          <w:ilvl w:val="1"/>
          <w:numId w:val="30"/>
        </w:numPr>
        <w:rPr>
          <w:rFonts w:ascii="Verdana" w:cs="Verdana" w:eastAsia="Verdana" w:hAnsi="Verdana"/>
          <w:sz w:val="14"/>
          <w:szCs w:val="14"/>
          <w:color w:val="auto"/>
        </w:rPr>
      </w:pPr>
      <w:r>
        <w:rPr>
          <w:rFonts w:ascii="Verdana" w:cs="Verdana" w:eastAsia="Verdana" w:hAnsi="Verdana"/>
          <w:sz w:val="18"/>
          <w:szCs w:val="18"/>
          <w:color w:val="auto"/>
        </w:rPr>
        <w:t>the relocation of the registered office of the Company;</w:t>
      </w:r>
    </w:p>
    <w:p>
      <w:pPr>
        <w:spacing w:after="0" w:line="184" w:lineRule="exact"/>
        <w:rPr>
          <w:rFonts w:ascii="Verdana" w:cs="Verdana" w:eastAsia="Verdana" w:hAnsi="Verdana"/>
          <w:sz w:val="14"/>
          <w:szCs w:val="14"/>
          <w:color w:val="auto"/>
        </w:rPr>
      </w:pPr>
    </w:p>
    <w:p>
      <w:pPr>
        <w:ind w:left="1100" w:hanging="643"/>
        <w:spacing w:after="0" w:line="254" w:lineRule="auto"/>
        <w:tabs>
          <w:tab w:leader="none" w:pos="1097" w:val="left"/>
        </w:tabs>
        <w:numPr>
          <w:ilvl w:val="1"/>
          <w:numId w:val="30"/>
        </w:numPr>
        <w:rPr>
          <w:rFonts w:ascii="Verdana" w:cs="Verdana" w:eastAsia="Verdana" w:hAnsi="Verdana"/>
          <w:sz w:val="14"/>
          <w:szCs w:val="14"/>
          <w:color w:val="auto"/>
        </w:rPr>
      </w:pPr>
      <w:r>
        <w:rPr>
          <w:rFonts w:ascii="Verdana" w:cs="Verdana" w:eastAsia="Verdana" w:hAnsi="Verdana"/>
          <w:sz w:val="18"/>
          <w:szCs w:val="18"/>
          <w:color w:val="auto"/>
        </w:rPr>
        <w:t>the introduction of an arbitration clause in the Articles of Association</w:t>
      </w:r>
    </w:p>
    <w:p>
      <w:pPr>
        <w:spacing w:after="0" w:line="184" w:lineRule="exact"/>
        <w:rPr>
          <w:rFonts w:ascii="Verdana" w:cs="Verdana" w:eastAsia="Verdana" w:hAnsi="Verdana"/>
          <w:sz w:val="14"/>
          <w:szCs w:val="14"/>
          <w:color w:val="auto"/>
        </w:rPr>
      </w:pPr>
    </w:p>
    <w:p>
      <w:pPr>
        <w:ind w:left="440" w:hanging="309"/>
        <w:spacing w:after="0" w:line="253" w:lineRule="auto"/>
        <w:tabs>
          <w:tab w:leader="none" w:pos="440" w:val="left"/>
        </w:tabs>
        <w:numPr>
          <w:ilvl w:val="0"/>
          <w:numId w:val="31"/>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merger, de-merger or conversion of the Company (subject to mandatory law);</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440" w:right="20" w:hanging="309"/>
        <w:spacing w:after="0" w:line="253" w:lineRule="auto"/>
        <w:tabs>
          <w:tab w:leader="none" w:pos="440" w:val="left"/>
        </w:tabs>
        <w:numPr>
          <w:ilvl w:val="0"/>
          <w:numId w:val="31"/>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alleviating or withdrawal of restrictions upon the transfer of registered shares;</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440" w:right="20" w:hanging="309"/>
        <w:spacing w:after="0" w:line="253" w:lineRule="auto"/>
        <w:tabs>
          <w:tab w:leader="none" w:pos="440" w:val="left"/>
        </w:tabs>
        <w:numPr>
          <w:ilvl w:val="0"/>
          <w:numId w:val="31"/>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removal of a serving member of the Board of Directors;</w:t>
      </w:r>
    </w:p>
    <w:p>
      <w:pPr>
        <w:spacing w:after="0" w:line="185" w:lineRule="exact"/>
        <w:rPr>
          <w:rFonts w:ascii="Times New Roman" w:cs="Times New Roman" w:eastAsia="Times New Roman" w:hAnsi="Times New Roman"/>
          <w:sz w:val="18"/>
          <w:szCs w:val="18"/>
          <w:color w:val="auto"/>
        </w:rPr>
      </w:pPr>
    </w:p>
    <w:p>
      <w:pPr>
        <w:ind w:left="440" w:hanging="309"/>
        <w:spacing w:after="0" w:line="253" w:lineRule="auto"/>
        <w:tabs>
          <w:tab w:leader="none" w:pos="440" w:val="left"/>
        </w:tabs>
        <w:numPr>
          <w:ilvl w:val="0"/>
          <w:numId w:val="31"/>
        </w:numPr>
        <w:rPr>
          <w:rFonts w:ascii="Times New Roman" w:cs="Times New Roman" w:eastAsia="Times New Roman" w:hAnsi="Times New Roman"/>
          <w:sz w:val="18"/>
          <w:szCs w:val="18"/>
          <w:color w:val="auto"/>
        </w:rPr>
      </w:pPr>
      <w:r>
        <w:rPr>
          <w:rFonts w:ascii="Verdana" w:cs="Verdana" w:eastAsia="Verdana" w:hAnsi="Verdana"/>
          <w:sz w:val="18"/>
          <w:szCs w:val="18"/>
          <w:color w:val="auto"/>
        </w:rPr>
        <w:t>an increase in the maximum number of members of the Board of Directors;</w:t>
      </w:r>
    </w:p>
    <w:p>
      <w:pPr>
        <w:spacing w:after="0" w:line="185" w:lineRule="exact"/>
        <w:rPr>
          <w:rFonts w:ascii="Times New Roman" w:cs="Times New Roman" w:eastAsia="Times New Roman" w:hAnsi="Times New Roman"/>
          <w:sz w:val="18"/>
          <w:szCs w:val="18"/>
          <w:color w:val="auto"/>
        </w:rPr>
      </w:pPr>
    </w:p>
    <w:p>
      <w:pPr>
        <w:ind w:left="440" w:hanging="309"/>
        <w:spacing w:after="0" w:line="253" w:lineRule="auto"/>
        <w:tabs>
          <w:tab w:leader="none" w:pos="440" w:val="left"/>
        </w:tabs>
        <w:numPr>
          <w:ilvl w:val="0"/>
          <w:numId w:val="31"/>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conversion of registered shares into bearer shares; and</w:t>
      </w:r>
    </w:p>
    <w:p>
      <w:pPr>
        <w:spacing w:after="0" w:line="185" w:lineRule="exact"/>
        <w:rPr>
          <w:rFonts w:ascii="Times New Roman" w:cs="Times New Roman" w:eastAsia="Times New Roman" w:hAnsi="Times New Roman"/>
          <w:sz w:val="18"/>
          <w:szCs w:val="18"/>
          <w:color w:val="auto"/>
        </w:rPr>
      </w:pPr>
    </w:p>
    <w:p>
      <w:pPr>
        <w:jc w:val="both"/>
        <w:ind w:left="440" w:hanging="309"/>
        <w:spacing w:after="0" w:line="245" w:lineRule="auto"/>
        <w:tabs>
          <w:tab w:leader="none" w:pos="440" w:val="left"/>
        </w:tabs>
        <w:numPr>
          <w:ilvl w:val="0"/>
          <w:numId w:val="31"/>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amendment or elimination of the provisions of Article 4, 16, 17 and 29 of the Articles of Association.</w:t>
      </w:r>
    </w:p>
    <w:p>
      <w:pPr>
        <w:spacing w:after="0" w:line="193"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18</w:t>
      </w:r>
      <w:r>
        <w:rPr>
          <w:sz w:val="20"/>
          <w:szCs w:val="20"/>
          <w:color w:val="auto"/>
        </w:rPr>
        <w:tab/>
      </w:r>
      <w:r>
        <w:rPr>
          <w:rFonts w:ascii="Verdana" w:cs="Verdana" w:eastAsia="Verdana" w:hAnsi="Verdana"/>
          <w:sz w:val="17"/>
          <w:szCs w:val="17"/>
          <w:b w:val="1"/>
          <w:bCs w:val="1"/>
          <w:color w:val="auto"/>
        </w:rPr>
        <w:t>Votes on Compensation</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General Meeting approves annually and separately the total maximum aggregate amounts proposed by the Board of Directors for:</w:t>
      </w:r>
    </w:p>
    <w:p>
      <w:pPr>
        <w:spacing w:after="0" w:line="194" w:lineRule="exact"/>
        <w:rPr>
          <w:sz w:val="20"/>
          <w:szCs w:val="20"/>
          <w:color w:val="auto"/>
        </w:rPr>
      </w:pPr>
    </w:p>
    <w:p>
      <w:pPr>
        <w:jc w:val="both"/>
        <w:ind w:left="380" w:hanging="379"/>
        <w:spacing w:after="0" w:line="245" w:lineRule="auto"/>
        <w:tabs>
          <w:tab w:leader="none" w:pos="380" w:val="left"/>
        </w:tabs>
        <w:numPr>
          <w:ilvl w:val="0"/>
          <w:numId w:val="3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non-performance-related compensation of the Board of Directors for the period until the next General Meeting;</w:t>
      </w:r>
    </w:p>
    <w:p>
      <w:pPr>
        <w:spacing w:after="0" w:line="192" w:lineRule="exact"/>
        <w:rPr>
          <w:rFonts w:ascii="Times New Roman" w:cs="Times New Roman" w:eastAsia="Times New Roman" w:hAnsi="Times New Roman"/>
          <w:sz w:val="18"/>
          <w:szCs w:val="18"/>
          <w:color w:val="auto"/>
        </w:rPr>
      </w:pPr>
    </w:p>
    <w:p>
      <w:pPr>
        <w:jc w:val="both"/>
        <w:ind w:left="380" w:right="20" w:hanging="379"/>
        <w:spacing w:after="0" w:line="242" w:lineRule="auto"/>
        <w:tabs>
          <w:tab w:leader="none" w:pos="380" w:val="left"/>
        </w:tabs>
        <w:numPr>
          <w:ilvl w:val="0"/>
          <w:numId w:val="3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non-performance-related compensation of the Executive Committee for the 12-month period starting on 1 July following the General</w:t>
      </w:r>
    </w:p>
    <w:p>
      <w:pPr>
        <w:spacing w:after="0" w:line="20" w:lineRule="exact"/>
        <w:rPr>
          <w:sz w:val="20"/>
          <w:szCs w:val="20"/>
          <w:color w:val="auto"/>
        </w:rPr>
      </w:pPr>
      <w:r>
        <w:rPr>
          <w:sz w:val="20"/>
          <w:szCs w:val="20"/>
          <w:color w:val="auto"/>
        </w:rPr>
        <w:br w:type="column"/>
      </w:r>
    </w:p>
    <w:p>
      <w:pPr>
        <w:ind w:left="905" w:hanging="449"/>
        <w:spacing w:after="0"/>
        <w:tabs>
          <w:tab w:leader="none" w:pos="905" w:val="left"/>
        </w:tabs>
        <w:numPr>
          <w:ilvl w:val="1"/>
          <w:numId w:val="33"/>
        </w:numPr>
        <w:rPr>
          <w:rFonts w:ascii="Verdana" w:cs="Verdana" w:eastAsia="Verdana" w:hAnsi="Verdana"/>
          <w:sz w:val="14"/>
          <w:szCs w:val="14"/>
          <w:color w:val="auto"/>
        </w:rPr>
      </w:pPr>
      <w:r>
        <w:rPr>
          <w:rFonts w:ascii="Verdana" w:cs="Verdana" w:eastAsia="Verdana" w:hAnsi="Verdana"/>
          <w:sz w:val="18"/>
          <w:szCs w:val="18"/>
          <w:color w:val="auto"/>
        </w:rPr>
        <w:t>die Einführung des Stichentscheids des</w:t>
      </w:r>
    </w:p>
    <w:p>
      <w:pPr>
        <w:ind w:left="1085"/>
        <w:spacing w:after="0" w:line="254" w:lineRule="auto"/>
        <w:rPr>
          <w:rFonts w:ascii="Verdana" w:cs="Verdana" w:eastAsia="Verdana" w:hAnsi="Verdana"/>
          <w:sz w:val="14"/>
          <w:szCs w:val="14"/>
          <w:color w:val="auto"/>
        </w:rPr>
      </w:pPr>
      <w:r>
        <w:rPr>
          <w:rFonts w:ascii="Verdana" w:cs="Verdana" w:eastAsia="Verdana" w:hAnsi="Verdana"/>
          <w:sz w:val="18"/>
          <w:szCs w:val="18"/>
          <w:color w:val="auto"/>
        </w:rPr>
        <w:t>Vorsitzenden in der Generalversammlung;</w:t>
      </w:r>
    </w:p>
    <w:p>
      <w:pPr>
        <w:spacing w:after="0" w:line="182" w:lineRule="exact"/>
        <w:rPr>
          <w:rFonts w:ascii="Verdana" w:cs="Verdana" w:eastAsia="Verdana" w:hAnsi="Verdana"/>
          <w:sz w:val="14"/>
          <w:szCs w:val="14"/>
          <w:color w:val="auto"/>
        </w:rPr>
      </w:pPr>
    </w:p>
    <w:p>
      <w:pPr>
        <w:ind w:left="1825" w:hanging="1369"/>
        <w:spacing w:after="0"/>
        <w:tabs>
          <w:tab w:leader="none" w:pos="1825" w:val="left"/>
        </w:tabs>
        <w:numPr>
          <w:ilvl w:val="1"/>
          <w:numId w:val="33"/>
        </w:numPr>
        <w:rPr>
          <w:rFonts w:ascii="Verdana" w:cs="Verdana" w:eastAsia="Verdana" w:hAnsi="Verdana"/>
          <w:sz w:val="14"/>
          <w:szCs w:val="14"/>
          <w:color w:val="auto"/>
        </w:rPr>
      </w:pPr>
      <w:r>
        <w:rPr>
          <w:rFonts w:ascii="Verdana" w:cs="Verdana" w:eastAsia="Verdana" w:hAnsi="Verdana"/>
          <w:sz w:val="18"/>
          <w:szCs w:val="18"/>
          <w:color w:val="auto"/>
        </w:rPr>
        <w:t>dieEinführungeiner</w:t>
      </w:r>
    </w:p>
    <w:p>
      <w:pPr>
        <w:ind w:left="1085"/>
        <w:spacing w:after="0" w:line="236" w:lineRule="auto"/>
        <w:rPr>
          <w:rFonts w:ascii="Verdana" w:cs="Verdana" w:eastAsia="Verdana" w:hAnsi="Verdana"/>
          <w:sz w:val="14"/>
          <w:szCs w:val="14"/>
          <w:color w:val="auto"/>
        </w:rPr>
      </w:pPr>
      <w:r>
        <w:rPr>
          <w:rFonts w:ascii="Verdana" w:cs="Verdana" w:eastAsia="Verdana" w:hAnsi="Verdana"/>
          <w:sz w:val="18"/>
          <w:szCs w:val="18"/>
          <w:color w:val="auto"/>
        </w:rPr>
        <w:t>Statutenbestimmungzur</w:t>
      </w:r>
    </w:p>
    <w:p>
      <w:pPr>
        <w:ind w:left="1085"/>
        <w:spacing w:after="0" w:line="254" w:lineRule="auto"/>
        <w:rPr>
          <w:rFonts w:ascii="Verdana" w:cs="Verdana" w:eastAsia="Verdana" w:hAnsi="Verdana"/>
          <w:sz w:val="14"/>
          <w:szCs w:val="14"/>
          <w:color w:val="auto"/>
        </w:rPr>
      </w:pPr>
      <w:r>
        <w:rPr>
          <w:rFonts w:ascii="Verdana" w:cs="Verdana" w:eastAsia="Verdana" w:hAnsi="Verdana"/>
          <w:sz w:val="18"/>
          <w:szCs w:val="18"/>
          <w:color w:val="auto"/>
        </w:rPr>
        <w:t>Durchführung der Generalversammlung im Ausland;</w:t>
      </w:r>
    </w:p>
    <w:p>
      <w:pPr>
        <w:spacing w:after="0" w:line="184" w:lineRule="exact"/>
        <w:rPr>
          <w:rFonts w:ascii="Verdana" w:cs="Verdana" w:eastAsia="Verdana" w:hAnsi="Verdana"/>
          <w:sz w:val="14"/>
          <w:szCs w:val="14"/>
          <w:color w:val="auto"/>
        </w:rPr>
      </w:pPr>
    </w:p>
    <w:p>
      <w:pPr>
        <w:ind w:left="1085" w:hanging="629"/>
        <w:spacing w:after="0" w:line="254" w:lineRule="auto"/>
        <w:tabs>
          <w:tab w:leader="none" w:pos="930" w:val="left"/>
        </w:tabs>
        <w:numPr>
          <w:ilvl w:val="1"/>
          <w:numId w:val="33"/>
        </w:numPr>
        <w:rPr>
          <w:rFonts w:ascii="Verdana" w:cs="Verdana" w:eastAsia="Verdana" w:hAnsi="Verdana"/>
          <w:sz w:val="14"/>
          <w:szCs w:val="14"/>
          <w:color w:val="auto"/>
        </w:rPr>
      </w:pPr>
      <w:r>
        <w:rPr>
          <w:rFonts w:ascii="Verdana" w:cs="Verdana" w:eastAsia="Verdana" w:hAnsi="Verdana"/>
          <w:sz w:val="18"/>
          <w:szCs w:val="18"/>
          <w:color w:val="auto"/>
        </w:rPr>
        <w:t>die Dekotierung der Beteiligungspapiere der Gesellschaft;</w:t>
      </w:r>
    </w:p>
    <w:p>
      <w:pPr>
        <w:spacing w:after="0" w:line="184" w:lineRule="exact"/>
        <w:rPr>
          <w:rFonts w:ascii="Verdana" w:cs="Verdana" w:eastAsia="Verdana" w:hAnsi="Verdana"/>
          <w:sz w:val="14"/>
          <w:szCs w:val="14"/>
          <w:color w:val="auto"/>
        </w:rPr>
      </w:pPr>
    </w:p>
    <w:p>
      <w:pPr>
        <w:ind w:left="1085" w:hanging="629"/>
        <w:spacing w:after="0" w:line="254" w:lineRule="auto"/>
        <w:tabs>
          <w:tab w:leader="none" w:pos="1279" w:val="left"/>
        </w:tabs>
        <w:numPr>
          <w:ilvl w:val="1"/>
          <w:numId w:val="33"/>
        </w:numPr>
        <w:rPr>
          <w:rFonts w:ascii="Verdana" w:cs="Verdana" w:eastAsia="Verdana" w:hAnsi="Verdana"/>
          <w:sz w:val="14"/>
          <w:szCs w:val="14"/>
          <w:color w:val="auto"/>
        </w:rPr>
      </w:pPr>
      <w:r>
        <w:rPr>
          <w:rFonts w:ascii="Verdana" w:cs="Verdana" w:eastAsia="Verdana" w:hAnsi="Verdana"/>
          <w:sz w:val="18"/>
          <w:szCs w:val="18"/>
          <w:color w:val="auto"/>
        </w:rPr>
        <w:t>die Verlegung des Sitzes der Gesellschaft;</w:t>
      </w:r>
    </w:p>
    <w:p>
      <w:pPr>
        <w:spacing w:after="0" w:line="184" w:lineRule="exact"/>
        <w:rPr>
          <w:rFonts w:ascii="Verdana" w:cs="Verdana" w:eastAsia="Verdana" w:hAnsi="Verdana"/>
          <w:sz w:val="14"/>
          <w:szCs w:val="14"/>
          <w:color w:val="auto"/>
        </w:rPr>
      </w:pPr>
    </w:p>
    <w:p>
      <w:pPr>
        <w:ind w:left="1085" w:hanging="629"/>
        <w:spacing w:after="0" w:line="254" w:lineRule="auto"/>
        <w:tabs>
          <w:tab w:leader="none" w:pos="1091" w:val="left"/>
        </w:tabs>
        <w:numPr>
          <w:ilvl w:val="1"/>
          <w:numId w:val="33"/>
        </w:numPr>
        <w:rPr>
          <w:rFonts w:ascii="Verdana" w:cs="Verdana" w:eastAsia="Verdana" w:hAnsi="Verdana"/>
          <w:sz w:val="14"/>
          <w:szCs w:val="14"/>
          <w:color w:val="auto"/>
        </w:rPr>
      </w:pPr>
      <w:r>
        <w:rPr>
          <w:rFonts w:ascii="Verdana" w:cs="Verdana" w:eastAsia="Verdana" w:hAnsi="Verdana"/>
          <w:sz w:val="18"/>
          <w:szCs w:val="18"/>
          <w:color w:val="auto"/>
        </w:rPr>
        <w:t>die Einführung einer statutarischen Schiedsklausel</w:t>
      </w:r>
    </w:p>
    <w:p>
      <w:pPr>
        <w:spacing w:after="0" w:line="181" w:lineRule="exact"/>
        <w:rPr>
          <w:rFonts w:ascii="Verdana" w:cs="Verdana" w:eastAsia="Verdana" w:hAnsi="Verdana"/>
          <w:sz w:val="14"/>
          <w:szCs w:val="14"/>
          <w:color w:val="auto"/>
        </w:rPr>
      </w:pPr>
    </w:p>
    <w:p>
      <w:pPr>
        <w:ind w:left="445" w:hanging="315"/>
        <w:spacing w:after="0"/>
        <w:tabs>
          <w:tab w:leader="none" w:pos="445" w:val="left"/>
        </w:tabs>
        <w:numPr>
          <w:ilvl w:val="0"/>
          <w:numId w:val="3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Fusion, Spaltung oder Umwandlung der</w:t>
      </w:r>
    </w:p>
    <w:p>
      <w:pPr>
        <w:ind w:left="445"/>
        <w:spacing w:after="0" w:line="254"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Gesellschaft (vorbehalten zwingender gesetzlicher Bestimmungen);</w:t>
      </w:r>
    </w:p>
    <w:p>
      <w:pPr>
        <w:spacing w:after="0" w:line="184" w:lineRule="exact"/>
        <w:rPr>
          <w:rFonts w:ascii="Times New Roman" w:cs="Times New Roman" w:eastAsia="Times New Roman" w:hAnsi="Times New Roman"/>
          <w:sz w:val="18"/>
          <w:szCs w:val="18"/>
          <w:color w:val="auto"/>
        </w:rPr>
      </w:pPr>
    </w:p>
    <w:p>
      <w:pPr>
        <w:jc w:val="both"/>
        <w:ind w:left="445" w:hanging="315"/>
        <w:spacing w:after="0" w:line="245" w:lineRule="auto"/>
        <w:tabs>
          <w:tab w:leader="none" w:pos="445" w:val="left"/>
        </w:tabs>
        <w:numPr>
          <w:ilvl w:val="0"/>
          <w:numId w:val="3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Erleichterung oder den Entzug der Beschränkungen betreffend die Übertragung von Namenaktien;</w:t>
      </w:r>
    </w:p>
    <w:p>
      <w:pPr>
        <w:spacing w:after="0" w:line="192" w:lineRule="exact"/>
        <w:rPr>
          <w:rFonts w:ascii="Times New Roman" w:cs="Times New Roman" w:eastAsia="Times New Roman" w:hAnsi="Times New Roman"/>
          <w:sz w:val="18"/>
          <w:szCs w:val="18"/>
          <w:color w:val="auto"/>
        </w:rPr>
      </w:pPr>
    </w:p>
    <w:p>
      <w:pPr>
        <w:ind w:left="445" w:hanging="315"/>
        <w:spacing w:after="0" w:line="253" w:lineRule="auto"/>
        <w:tabs>
          <w:tab w:leader="none" w:pos="445" w:val="left"/>
        </w:tabs>
        <w:numPr>
          <w:ilvl w:val="0"/>
          <w:numId w:val="3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Abwahl von amtierenden Mitgliedern des Verwaltungsrats;</w:t>
      </w:r>
    </w:p>
    <w:p>
      <w:pPr>
        <w:spacing w:after="0" w:line="185" w:lineRule="exact"/>
        <w:rPr>
          <w:rFonts w:ascii="Times New Roman" w:cs="Times New Roman" w:eastAsia="Times New Roman" w:hAnsi="Times New Roman"/>
          <w:sz w:val="18"/>
          <w:szCs w:val="18"/>
          <w:color w:val="auto"/>
        </w:rPr>
      </w:pPr>
    </w:p>
    <w:p>
      <w:pPr>
        <w:ind w:left="445" w:hanging="315"/>
        <w:spacing w:after="0" w:line="253" w:lineRule="auto"/>
        <w:tabs>
          <w:tab w:leader="none" w:pos="445" w:val="left"/>
        </w:tabs>
        <w:numPr>
          <w:ilvl w:val="0"/>
          <w:numId w:val="3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Erhöhung der Maximalzahl der Mitglieder des Verwaltungsrats;</w:t>
      </w:r>
    </w:p>
    <w:p>
      <w:pPr>
        <w:spacing w:after="0" w:line="185" w:lineRule="exact"/>
        <w:rPr>
          <w:rFonts w:ascii="Times New Roman" w:cs="Times New Roman" w:eastAsia="Times New Roman" w:hAnsi="Times New Roman"/>
          <w:sz w:val="18"/>
          <w:szCs w:val="18"/>
          <w:color w:val="auto"/>
        </w:rPr>
      </w:pPr>
    </w:p>
    <w:p>
      <w:pPr>
        <w:ind w:left="445" w:hanging="315"/>
        <w:spacing w:after="0" w:line="253" w:lineRule="auto"/>
        <w:tabs>
          <w:tab w:leader="none" w:pos="445" w:val="left"/>
        </w:tabs>
        <w:numPr>
          <w:ilvl w:val="0"/>
          <w:numId w:val="3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Umwandlung von Namenaktien in Inhaberaktien; und</w:t>
      </w:r>
    </w:p>
    <w:p>
      <w:pPr>
        <w:spacing w:after="0" w:line="185" w:lineRule="exact"/>
        <w:rPr>
          <w:rFonts w:ascii="Times New Roman" w:cs="Times New Roman" w:eastAsia="Times New Roman" w:hAnsi="Times New Roman"/>
          <w:sz w:val="18"/>
          <w:szCs w:val="18"/>
          <w:color w:val="auto"/>
        </w:rPr>
      </w:pPr>
    </w:p>
    <w:p>
      <w:pPr>
        <w:jc w:val="both"/>
        <w:ind w:left="445" w:hanging="315"/>
        <w:spacing w:after="0" w:line="245" w:lineRule="auto"/>
        <w:tabs>
          <w:tab w:leader="none" w:pos="445" w:val="left"/>
        </w:tabs>
        <w:numPr>
          <w:ilvl w:val="0"/>
          <w:numId w:val="34"/>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Änderung oder Aufhebung der Bestimmungen der Artikel 4, 16, 17 und 29 der Statuten.</w:t>
      </w:r>
    </w:p>
    <w:p>
      <w:pPr>
        <w:spacing w:after="0" w:line="193" w:lineRule="exact"/>
        <w:rPr>
          <w:sz w:val="20"/>
          <w:szCs w:val="20"/>
          <w:color w:val="auto"/>
        </w:rPr>
      </w:pPr>
    </w:p>
    <w:p>
      <w:pPr>
        <w:ind w:left="5"/>
        <w:spacing w:after="0"/>
        <w:tabs>
          <w:tab w:leader="none" w:pos="965" w:val="left"/>
        </w:tabs>
        <w:rPr>
          <w:sz w:val="20"/>
          <w:szCs w:val="20"/>
          <w:color w:val="auto"/>
        </w:rPr>
      </w:pPr>
      <w:r>
        <w:rPr>
          <w:rFonts w:ascii="Verdana" w:cs="Verdana" w:eastAsia="Verdana" w:hAnsi="Verdana"/>
          <w:sz w:val="18"/>
          <w:szCs w:val="18"/>
          <w:b w:val="1"/>
          <w:bCs w:val="1"/>
          <w:color w:val="auto"/>
        </w:rPr>
        <w:t>Art. 18</w:t>
        <w:tab/>
        <w:t>Abstimmung über Vergütungen</w:t>
      </w:r>
    </w:p>
    <w:p>
      <w:pPr>
        <w:spacing w:after="0" w:line="213" w:lineRule="exact"/>
        <w:rPr>
          <w:sz w:val="20"/>
          <w:szCs w:val="20"/>
          <w:color w:val="auto"/>
        </w:rPr>
      </w:pPr>
    </w:p>
    <w:p>
      <w:pPr>
        <w:jc w:val="both"/>
        <w:ind w:left="5"/>
        <w:spacing w:after="0" w:line="245" w:lineRule="auto"/>
        <w:rPr>
          <w:sz w:val="20"/>
          <w:szCs w:val="20"/>
          <w:color w:val="auto"/>
        </w:rPr>
      </w:pPr>
      <w:r>
        <w:rPr>
          <w:rFonts w:ascii="Verdana" w:cs="Verdana" w:eastAsia="Verdana" w:hAnsi="Verdana"/>
          <w:sz w:val="18"/>
          <w:szCs w:val="18"/>
          <w:color w:val="auto"/>
        </w:rPr>
        <w:t>Die Generalversammlung genehmigt jährlich separat und auf Antrag des Verwaltungsrats die maximalen Gesamtbeträge betreffend:</w:t>
      </w:r>
    </w:p>
    <w:p>
      <w:pPr>
        <w:spacing w:after="0" w:line="194" w:lineRule="exact"/>
        <w:rPr>
          <w:sz w:val="20"/>
          <w:szCs w:val="20"/>
          <w:color w:val="auto"/>
        </w:rPr>
      </w:pPr>
    </w:p>
    <w:p>
      <w:pPr>
        <w:jc w:val="both"/>
        <w:ind w:left="425" w:hanging="425"/>
        <w:spacing w:after="0" w:line="245" w:lineRule="auto"/>
        <w:tabs>
          <w:tab w:leader="none" w:pos="425"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die nicht-erfolgsabhängige Vergütung des Verwaltungsrates für die Zeitperiode bis zur nächsten Generalversammlung;</w:t>
      </w:r>
    </w:p>
    <w:p>
      <w:pPr>
        <w:spacing w:after="0" w:line="194" w:lineRule="exact"/>
        <w:rPr>
          <w:rFonts w:ascii="Verdana" w:cs="Verdana" w:eastAsia="Verdana" w:hAnsi="Verdana"/>
          <w:sz w:val="18"/>
          <w:szCs w:val="18"/>
          <w:color w:val="auto"/>
        </w:rPr>
      </w:pPr>
    </w:p>
    <w:p>
      <w:pPr>
        <w:jc w:val="both"/>
        <w:ind w:left="425" w:hanging="425"/>
        <w:spacing w:after="0" w:line="245" w:lineRule="auto"/>
        <w:tabs>
          <w:tab w:leader="none" w:pos="425"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die nicht-erfolgsabhängige Vergütung der Geschäftsleitung für die Zeitperiode von 12 Monaten, welche an dem 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516890</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480" w:space="435"/>
            <w:col w:w="4605"/>
          </w:cols>
          <w:pgMar w:left="1180" w:top="752" w:right="1199" w:bottom="1440" w:gutter="0" w:footer="0" w:header="0"/>
        </w:sectPr>
      </w:pPr>
    </w:p>
    <w:bookmarkStart w:id="25" w:name="page26"/>
    <w:bookmarkEnd w:id="25"/>
    <w:p>
      <w:pPr>
        <w:ind w:left="440"/>
        <w:spacing w:after="0"/>
        <w:rPr>
          <w:sz w:val="20"/>
          <w:szCs w:val="20"/>
          <w:color w:val="auto"/>
        </w:rPr>
      </w:pPr>
      <w:r>
        <w:rPr>
          <w:rFonts w:ascii="Verdana" w:cs="Verdana" w:eastAsia="Verdana" w:hAnsi="Verdana"/>
          <w:sz w:val="18"/>
          <w:szCs w:val="18"/>
          <w:color w:val="auto"/>
        </w:rPr>
        <w:t>Meeting;</w:t>
      </w:r>
    </w:p>
    <w:p>
      <w:pPr>
        <w:spacing w:after="0" w:line="321" w:lineRule="exact"/>
        <w:rPr>
          <w:sz w:val="20"/>
          <w:szCs w:val="20"/>
          <w:color w:val="auto"/>
        </w:rPr>
      </w:pPr>
    </w:p>
    <w:p>
      <w:pPr>
        <w:jc w:val="both"/>
        <w:ind w:left="380" w:hanging="379"/>
        <w:spacing w:after="0" w:line="245" w:lineRule="auto"/>
        <w:tabs>
          <w:tab w:leader="none" w:pos="380" w:val="left"/>
        </w:tabs>
        <w:numPr>
          <w:ilvl w:val="0"/>
          <w:numId w:val="3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variable compensation for the Executive Committee for the current business year; and</w:t>
      </w:r>
    </w:p>
    <w:p>
      <w:pPr>
        <w:spacing w:after="0" w:line="192" w:lineRule="exact"/>
        <w:rPr>
          <w:rFonts w:ascii="Times New Roman" w:cs="Times New Roman" w:eastAsia="Times New Roman" w:hAnsi="Times New Roman"/>
          <w:sz w:val="18"/>
          <w:szCs w:val="18"/>
          <w:color w:val="auto"/>
        </w:rPr>
      </w:pPr>
    </w:p>
    <w:p>
      <w:pPr>
        <w:jc w:val="both"/>
        <w:ind w:left="380" w:hanging="379"/>
        <w:spacing w:after="0" w:line="242" w:lineRule="auto"/>
        <w:tabs>
          <w:tab w:leader="none" w:pos="380" w:val="left"/>
        </w:tabs>
        <w:numPr>
          <w:ilvl w:val="0"/>
          <w:numId w:val="3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grant of shares, options or similar financial instruments and/or units in the Company to the Board of Directors and the Executive Committee.</w:t>
      </w:r>
    </w:p>
    <w:p>
      <w:pPr>
        <w:spacing w:after="0" w:line="19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Board of Directors may submit to the General Meeting requests for approval with regard to maximum amounts or individual compensation elements for other periods or with regard to additional amounts for special compensation elements as well as additional conditional requests.</w:t>
      </w:r>
    </w:p>
    <w:p>
      <w:pPr>
        <w:spacing w:after="0" w:line="20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respective total compensation amounts include all social security and occupational pension contributions for the benefit of the members of the Board of Directors, the Executive Committee and the Company.</w:t>
      </w:r>
    </w:p>
    <w:p>
      <w:pPr>
        <w:spacing w:after="0" w:line="19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If the variable compensation for the Executive Committee is submitted for approval for the current business year, the compensation report for that financial year shall be submitted to the General Meeting for advisory vote.</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Company or companies under its control may pay out compensation prior to approval by the General Meeting subject to subsequent approval by the General Meeting.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If the General Meeting refuses to approve a respective motion by the Board of Directors, the Board of Directors may either submit a new motion at the same meeting or determine a maximum total compensation or several maximum partial compensation, subject to the relevant principles of the compensation, or submit a new motion to the next General Meeting for approval.</w:t>
      </w:r>
    </w:p>
    <w:p>
      <w:pPr>
        <w:spacing w:after="0" w:line="307"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19</w:t>
      </w:r>
      <w:r>
        <w:rPr>
          <w:sz w:val="20"/>
          <w:szCs w:val="20"/>
          <w:color w:val="auto"/>
        </w:rPr>
        <w:tab/>
      </w:r>
      <w:r>
        <w:rPr>
          <w:rFonts w:ascii="Verdana" w:cs="Verdana" w:eastAsia="Verdana" w:hAnsi="Verdana"/>
          <w:sz w:val="17"/>
          <w:szCs w:val="17"/>
          <w:b w:val="1"/>
          <w:bCs w:val="1"/>
          <w:color w:val="auto"/>
        </w:rPr>
        <w:t>Independent Proxy</w:t>
      </w:r>
    </w:p>
    <w:p>
      <w:pPr>
        <w:spacing w:after="0" w:line="200" w:lineRule="exact"/>
        <w:rPr>
          <w:sz w:val="20"/>
          <w:szCs w:val="20"/>
          <w:color w:val="auto"/>
        </w:rPr>
      </w:pPr>
    </w:p>
    <w:p>
      <w:pPr>
        <w:spacing w:after="0" w:line="22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Independent Proxy shall be elected by the Ordinary General Meeting for a term of one year</w:t>
      </w:r>
    </w:p>
    <w:p>
      <w:pPr>
        <w:spacing w:after="0" w:line="20" w:lineRule="exact"/>
        <w:rPr>
          <w:sz w:val="20"/>
          <w:szCs w:val="20"/>
          <w:color w:val="auto"/>
        </w:rPr>
      </w:pPr>
      <w:r>
        <w:rPr>
          <w:sz w:val="20"/>
          <w:szCs w:val="20"/>
          <w:color w:val="auto"/>
        </w:rPr>
        <w:br w:type="column"/>
      </w:r>
    </w:p>
    <w:p>
      <w:pPr>
        <w:ind w:left="425"/>
        <w:spacing w:after="0" w:line="254" w:lineRule="auto"/>
        <w:rPr>
          <w:sz w:val="20"/>
          <w:szCs w:val="20"/>
          <w:color w:val="auto"/>
        </w:rPr>
      </w:pPr>
      <w:r>
        <w:rPr>
          <w:rFonts w:ascii="Verdana" w:cs="Verdana" w:eastAsia="Verdana" w:hAnsi="Verdana"/>
          <w:sz w:val="18"/>
          <w:szCs w:val="18"/>
          <w:color w:val="auto"/>
        </w:rPr>
        <w:t>Generalversammlung folgenden 1. Juli beginnt;</w:t>
      </w:r>
    </w:p>
    <w:p>
      <w:pPr>
        <w:spacing w:after="0" w:line="77" w:lineRule="exact"/>
        <w:rPr>
          <w:sz w:val="20"/>
          <w:szCs w:val="20"/>
          <w:color w:val="auto"/>
        </w:rPr>
      </w:pPr>
    </w:p>
    <w:p>
      <w:pPr>
        <w:ind w:left="425" w:hanging="425"/>
        <w:spacing w:after="0" w:line="254" w:lineRule="auto"/>
        <w:tabs>
          <w:tab w:leader="none" w:pos="425" w:val="left"/>
        </w:tabs>
        <w:numPr>
          <w:ilvl w:val="0"/>
          <w:numId w:val="37"/>
        </w:numPr>
        <w:rPr>
          <w:rFonts w:ascii="Verdana" w:cs="Verdana" w:eastAsia="Verdana" w:hAnsi="Verdana"/>
          <w:sz w:val="18"/>
          <w:szCs w:val="18"/>
          <w:color w:val="auto"/>
        </w:rPr>
      </w:pPr>
      <w:r>
        <w:rPr>
          <w:rFonts w:ascii="Verdana" w:cs="Verdana" w:eastAsia="Verdana" w:hAnsi="Verdana"/>
          <w:sz w:val="18"/>
          <w:szCs w:val="18"/>
          <w:color w:val="auto"/>
        </w:rPr>
        <w:t>die variable Vergütung der Geschäftsleitung für das laufende Geschäftsjahr; und</w:t>
      </w:r>
    </w:p>
    <w:p>
      <w:pPr>
        <w:spacing w:after="0" w:line="200" w:lineRule="exact"/>
        <w:rPr>
          <w:rFonts w:ascii="Verdana" w:cs="Verdana" w:eastAsia="Verdana" w:hAnsi="Verdana"/>
          <w:sz w:val="18"/>
          <w:szCs w:val="18"/>
          <w:color w:val="auto"/>
        </w:rPr>
      </w:pPr>
    </w:p>
    <w:p>
      <w:pPr>
        <w:spacing w:after="0" w:line="200" w:lineRule="exact"/>
        <w:rPr>
          <w:rFonts w:ascii="Verdana" w:cs="Verdana" w:eastAsia="Verdana" w:hAnsi="Verdana"/>
          <w:sz w:val="18"/>
          <w:szCs w:val="18"/>
          <w:color w:val="auto"/>
        </w:rPr>
      </w:pPr>
    </w:p>
    <w:p>
      <w:pPr>
        <w:jc w:val="both"/>
        <w:ind w:left="425" w:hanging="425"/>
        <w:spacing w:after="0" w:line="242" w:lineRule="auto"/>
        <w:tabs>
          <w:tab w:leader="none" w:pos="425" w:val="left"/>
        </w:tabs>
        <w:numPr>
          <w:ilvl w:val="0"/>
          <w:numId w:val="37"/>
        </w:numPr>
        <w:rPr>
          <w:rFonts w:ascii="Verdana" w:cs="Verdana" w:eastAsia="Verdana" w:hAnsi="Verdana"/>
          <w:sz w:val="18"/>
          <w:szCs w:val="18"/>
          <w:color w:val="auto"/>
        </w:rPr>
      </w:pPr>
      <w:r>
        <w:rPr>
          <w:rFonts w:ascii="Verdana" w:cs="Verdana" w:eastAsia="Verdana" w:hAnsi="Verdana"/>
          <w:sz w:val="18"/>
          <w:szCs w:val="18"/>
          <w:color w:val="auto"/>
        </w:rPr>
        <w:t>die Gewährung von Aktien, Optionen oder ähnlichen Finanzinstrumenten und/oder Anteilen der Gesellschaft an den Verwaltungsrat oder die Geschäftsleitung.</w:t>
      </w:r>
    </w:p>
    <w:p>
      <w:pPr>
        <w:spacing w:after="0" w:line="198" w:lineRule="exact"/>
        <w:rPr>
          <w:sz w:val="20"/>
          <w:szCs w:val="20"/>
          <w:color w:val="auto"/>
        </w:rPr>
      </w:pPr>
    </w:p>
    <w:p>
      <w:pPr>
        <w:jc w:val="both"/>
        <w:ind w:left="5"/>
        <w:spacing w:after="0" w:line="239" w:lineRule="auto"/>
        <w:rPr>
          <w:sz w:val="20"/>
          <w:szCs w:val="20"/>
          <w:color w:val="auto"/>
        </w:rPr>
      </w:pPr>
      <w:r>
        <w:rPr>
          <w:rFonts w:ascii="Verdana" w:cs="Verdana" w:eastAsia="Verdana" w:hAnsi="Verdana"/>
          <w:sz w:val="18"/>
          <w:szCs w:val="18"/>
          <w:color w:val="auto"/>
        </w:rPr>
        <w:t>Der Verwaltungsrat kann der Generalversammlung Anträge in Bezug auf die maximalen Gesamtbeträge oder einzelne Vergütungselemente für andere Zeitperioden oder in Bezug auf Zusatzbeträge für besondere Vergütungselemente sowie zusätzliche bedingte Anträge zur Genehmigung vorlegen.</w:t>
      </w:r>
    </w:p>
    <w:p>
      <w:pPr>
        <w:spacing w:after="0" w:line="203" w:lineRule="exact"/>
        <w:rPr>
          <w:sz w:val="20"/>
          <w:szCs w:val="20"/>
          <w:color w:val="auto"/>
        </w:rPr>
      </w:pPr>
    </w:p>
    <w:p>
      <w:pPr>
        <w:jc w:val="both"/>
        <w:ind w:left="5"/>
        <w:spacing w:after="0" w:line="247" w:lineRule="auto"/>
        <w:rPr>
          <w:sz w:val="20"/>
          <w:szCs w:val="20"/>
          <w:color w:val="auto"/>
        </w:rPr>
      </w:pPr>
      <w:r>
        <w:rPr>
          <w:rFonts w:ascii="Verdana" w:cs="Verdana" w:eastAsia="Verdana" w:hAnsi="Verdana"/>
          <w:sz w:val="18"/>
          <w:szCs w:val="18"/>
          <w:color w:val="auto"/>
        </w:rPr>
        <w:t>Die entsprechenden Gesamtvergütungen umfassen sämtliche Beiträge zugunsten des Verwaltungsrats und der Geschäftsleitung an die Sozialversicherung und die Berufliche Vorsorge.</w:t>
      </w:r>
    </w:p>
    <w:p>
      <w:pPr>
        <w:spacing w:after="0" w:line="395" w:lineRule="exact"/>
        <w:rPr>
          <w:sz w:val="20"/>
          <w:szCs w:val="20"/>
          <w:color w:val="auto"/>
        </w:rPr>
      </w:pPr>
    </w:p>
    <w:p>
      <w:pPr>
        <w:jc w:val="both"/>
        <w:ind w:left="5"/>
        <w:spacing w:after="0" w:line="241" w:lineRule="auto"/>
        <w:rPr>
          <w:sz w:val="20"/>
          <w:szCs w:val="20"/>
          <w:color w:val="auto"/>
        </w:rPr>
      </w:pPr>
      <w:r>
        <w:rPr>
          <w:rFonts w:ascii="Verdana" w:cs="Verdana" w:eastAsia="Verdana" w:hAnsi="Verdana"/>
          <w:sz w:val="18"/>
          <w:szCs w:val="18"/>
          <w:color w:val="auto"/>
        </w:rPr>
        <w:t>Wird die variable Vergütung der Geschäftsleitung für das laufende Geschäftsjahr zur Genehmigung vorgelegt, so ist der Vergütungsbericht für dieses Geschäftsjahr der Generalversammlung zur Konsultativabstimmung vorzulegen.</w:t>
      </w:r>
    </w:p>
    <w:p>
      <w:pPr>
        <w:spacing w:after="0" w:line="198" w:lineRule="exact"/>
        <w:rPr>
          <w:sz w:val="20"/>
          <w:szCs w:val="20"/>
          <w:color w:val="auto"/>
        </w:rPr>
      </w:pPr>
    </w:p>
    <w:p>
      <w:pPr>
        <w:jc w:val="both"/>
        <w:ind w:left="5"/>
        <w:spacing w:after="0"/>
        <w:rPr>
          <w:sz w:val="20"/>
          <w:szCs w:val="20"/>
          <w:color w:val="auto"/>
        </w:rPr>
      </w:pPr>
      <w:r>
        <w:rPr>
          <w:rFonts w:ascii="Verdana" w:cs="Verdana" w:eastAsia="Verdana" w:hAnsi="Verdana"/>
          <w:sz w:val="18"/>
          <w:szCs w:val="18"/>
          <w:color w:val="auto"/>
        </w:rPr>
        <w:t>Die Gesellschaft oder von ihr kontrollierte Gesellschaften können Vergütungen vor Genehmigung durch die Generalversammlung ausrichten, unter dem Vorbehalt der nachträglichen Genehmigung durch die Generalversammlung.</w:t>
      </w:r>
    </w:p>
    <w:p>
      <w:pPr>
        <w:spacing w:after="0" w:line="199" w:lineRule="exact"/>
        <w:rPr>
          <w:sz w:val="20"/>
          <w:szCs w:val="20"/>
          <w:color w:val="auto"/>
        </w:rPr>
      </w:pPr>
    </w:p>
    <w:p>
      <w:pPr>
        <w:jc w:val="both"/>
        <w:ind w:left="5"/>
        <w:spacing w:after="0" w:line="250" w:lineRule="auto"/>
        <w:rPr>
          <w:sz w:val="20"/>
          <w:szCs w:val="20"/>
          <w:color w:val="auto"/>
        </w:rPr>
      </w:pPr>
      <w:r>
        <w:rPr>
          <w:rFonts w:ascii="Verdana" w:cs="Verdana" w:eastAsia="Verdana" w:hAnsi="Verdana"/>
          <w:sz w:val="17"/>
          <w:szCs w:val="17"/>
          <w:color w:val="auto"/>
        </w:rPr>
        <w:t>Lehnt die Generalversammlung einen entsprechenden Antrag des Verwaltungsrats ab, kann der Verwaltungsrat entweder an der gleichen Versammlung einen neuen Antrag stellen, eine</w:t>
      </w:r>
    </w:p>
    <w:p>
      <w:pPr>
        <w:spacing w:after="0" w:line="3" w:lineRule="exact"/>
        <w:rPr>
          <w:sz w:val="20"/>
          <w:szCs w:val="20"/>
          <w:color w:val="auto"/>
        </w:rPr>
      </w:pPr>
    </w:p>
    <w:p>
      <w:pPr>
        <w:jc w:val="both"/>
        <w:ind w:left="5"/>
        <w:spacing w:after="0"/>
        <w:rPr>
          <w:sz w:val="20"/>
          <w:szCs w:val="20"/>
          <w:color w:val="auto"/>
        </w:rPr>
      </w:pPr>
      <w:r>
        <w:rPr>
          <w:rFonts w:ascii="Verdana" w:cs="Verdana" w:eastAsia="Verdana" w:hAnsi="Verdana"/>
          <w:sz w:val="18"/>
          <w:szCs w:val="18"/>
          <w:color w:val="auto"/>
        </w:rPr>
        <w:t>ausserordentliche Generalversammlung einberufen oder einen maximalen Gesamtbetrag oder mehrere maximale Teilbeträge unter Berücksichtigung der relevanten Grundsätze festsetzen und der nächsten Generalversammlung zur Genehmigung vorlegen.</w:t>
      </w:r>
    </w:p>
    <w:p>
      <w:pPr>
        <w:spacing w:after="0" w:line="89" w:lineRule="exact"/>
        <w:rPr>
          <w:sz w:val="20"/>
          <w:szCs w:val="20"/>
          <w:color w:val="auto"/>
        </w:rPr>
      </w:pPr>
    </w:p>
    <w:p>
      <w:pPr>
        <w:ind w:left="5"/>
        <w:spacing w:after="0"/>
        <w:tabs>
          <w:tab w:leader="none" w:pos="965" w:val="left"/>
        </w:tabs>
        <w:rPr>
          <w:sz w:val="20"/>
          <w:szCs w:val="20"/>
          <w:color w:val="auto"/>
        </w:rPr>
      </w:pPr>
      <w:r>
        <w:rPr>
          <w:rFonts w:ascii="Verdana" w:cs="Verdana" w:eastAsia="Verdana" w:hAnsi="Verdana"/>
          <w:sz w:val="18"/>
          <w:szCs w:val="18"/>
          <w:b w:val="1"/>
          <w:bCs w:val="1"/>
          <w:color w:val="auto"/>
        </w:rPr>
        <w:t>Art. 19</w:t>
        <w:tab/>
        <w:t>Unabhängiger</w:t>
      </w:r>
    </w:p>
    <w:p>
      <w:pPr>
        <w:ind w:left="1225"/>
        <w:spacing w:after="0"/>
        <w:rPr>
          <w:sz w:val="20"/>
          <w:szCs w:val="20"/>
          <w:color w:val="auto"/>
        </w:rPr>
      </w:pPr>
      <w:r>
        <w:rPr>
          <w:rFonts w:ascii="Verdana" w:cs="Verdana" w:eastAsia="Verdana" w:hAnsi="Verdana"/>
          <w:sz w:val="18"/>
          <w:szCs w:val="18"/>
          <w:b w:val="1"/>
          <w:bCs w:val="1"/>
          <w:color w:val="auto"/>
        </w:rPr>
        <w:t>Stimmrechtsvertreter</w:t>
      </w:r>
    </w:p>
    <w:p>
      <w:pPr>
        <w:spacing w:after="0" w:line="213" w:lineRule="exact"/>
        <w:rPr>
          <w:sz w:val="20"/>
          <w:szCs w:val="20"/>
          <w:color w:val="auto"/>
        </w:rPr>
      </w:pPr>
    </w:p>
    <w:p>
      <w:pPr>
        <w:jc w:val="both"/>
        <w:ind w:left="5"/>
        <w:spacing w:after="0" w:line="254" w:lineRule="auto"/>
        <w:rPr>
          <w:sz w:val="20"/>
          <w:szCs w:val="20"/>
          <w:color w:val="auto"/>
        </w:rPr>
      </w:pPr>
      <w:r>
        <w:rPr>
          <w:rFonts w:ascii="Verdana" w:cs="Verdana" w:eastAsia="Verdana" w:hAnsi="Verdana"/>
          <w:sz w:val="18"/>
          <w:szCs w:val="18"/>
          <w:color w:val="auto"/>
        </w:rPr>
        <w:t>Der Unabhängige Stimmrechtsvertreter wird von der ordentlichen Generalversammlung für 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374015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480" w:space="435"/>
            <w:col w:w="4605"/>
          </w:cols>
          <w:pgMar w:left="1180" w:top="755" w:right="1199" w:bottom="1440" w:gutter="0" w:footer="0" w:header="0"/>
        </w:sectPr>
      </w:pPr>
    </w:p>
    <w:bookmarkStart w:id="26" w:name="page27"/>
    <w:bookmarkEnd w:id="26"/>
    <w:p>
      <w:pPr>
        <w:jc w:val="both"/>
        <w:ind w:right="380"/>
        <w:spacing w:after="0" w:line="239" w:lineRule="auto"/>
        <w:rPr>
          <w:sz w:val="20"/>
          <w:szCs w:val="20"/>
          <w:color w:val="auto"/>
        </w:rPr>
      </w:pPr>
      <w:r>
        <w:rPr>
          <w:rFonts w:ascii="Verdana" w:cs="Verdana" w:eastAsia="Verdana" w:hAnsi="Verdana"/>
          <w:sz w:val="18"/>
          <w:szCs w:val="18"/>
          <w:color w:val="auto"/>
        </w:rPr>
        <w:t>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hanging="499"/>
        <w:spacing w:after="0"/>
        <w:tabs>
          <w:tab w:leader="none" w:pos="500" w:val="left"/>
        </w:tabs>
        <w:numPr>
          <w:ilvl w:val="0"/>
          <w:numId w:val="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BOARD OF DIRECTORS</w:t>
      </w:r>
    </w:p>
    <w:p>
      <w:pPr>
        <w:spacing w:after="0" w:line="200" w:lineRule="exact"/>
        <w:rPr>
          <w:sz w:val="20"/>
          <w:szCs w:val="20"/>
          <w:color w:val="auto"/>
        </w:rPr>
      </w:pPr>
    </w:p>
    <w:p>
      <w:pPr>
        <w:spacing w:after="0" w:line="229" w:lineRule="exact"/>
        <w:rPr>
          <w:sz w:val="20"/>
          <w:szCs w:val="20"/>
          <w:color w:val="auto"/>
        </w:rPr>
      </w:pPr>
    </w:p>
    <w:p>
      <w:pPr>
        <w:ind w:left="980" w:right="600" w:hanging="1220"/>
        <w:spacing w:after="0" w:line="254" w:lineRule="auto"/>
        <w:tabs>
          <w:tab w:leader="none" w:pos="960" w:val="left"/>
        </w:tabs>
        <w:rPr>
          <w:sz w:val="20"/>
          <w:szCs w:val="20"/>
          <w:color w:val="auto"/>
        </w:rPr>
      </w:pPr>
      <w:r>
        <w:rPr>
          <w:rFonts w:ascii="Verdana" w:cs="Verdana" w:eastAsia="Verdana" w:hAnsi="Verdana"/>
          <w:sz w:val="18"/>
          <w:szCs w:val="18"/>
          <w:b w:val="1"/>
          <w:bCs w:val="1"/>
          <w:color w:val="auto"/>
        </w:rPr>
        <w:t>Art. 20</w:t>
        <w:tab/>
        <w:t>Number of Members, Term of Office</w:t>
      </w:r>
    </w:p>
    <w:p>
      <w:pPr>
        <w:spacing w:after="0" w:line="185"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The Board of Directors shall consist of at least 3 and not more than 11 members. The chairman and the members of the Board of Directors are individually elected by the General Meeting for a term of one year until the end of the next Ordinary General Meeting, provided that he/she does not resign or is not replaced during his/her term.</w:t>
      </w:r>
    </w:p>
    <w:p>
      <w:pPr>
        <w:spacing w:after="0" w:line="201" w:lineRule="exact"/>
        <w:rPr>
          <w:sz w:val="20"/>
          <w:szCs w:val="20"/>
          <w:color w:val="auto"/>
        </w:rPr>
      </w:pPr>
    </w:p>
    <w:p>
      <w:pPr>
        <w:jc w:val="both"/>
        <w:ind w:right="400"/>
        <w:spacing w:after="0" w:line="239" w:lineRule="auto"/>
        <w:rPr>
          <w:sz w:val="20"/>
          <w:szCs w:val="20"/>
          <w:color w:val="auto"/>
        </w:rPr>
      </w:pPr>
      <w:r>
        <w:rPr>
          <w:rFonts w:ascii="Verdana" w:cs="Verdana" w:eastAsia="Verdana" w:hAnsi="Verdana"/>
          <w:sz w:val="18"/>
          <w:szCs w:val="18"/>
          <w:color w:val="auto"/>
        </w:rPr>
        <w:t>The members of the Board of Directors may be re-elected without limitation. The maximum age limit of members of the Board of Directors shall be 75 years. When a member of the Board of Directors reaches this age limit during his/her term of office, such term shall automatically extend to the next Ordinary General Meeting. The General Meeting may resolve to grant an exception to the age limit.</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21</w:t>
        <w:tab/>
        <w:t>Constitution</w:t>
      </w:r>
    </w:p>
    <w:p>
      <w:pPr>
        <w:spacing w:after="0" w:line="213" w:lineRule="exact"/>
        <w:rPr>
          <w:sz w:val="20"/>
          <w:szCs w:val="20"/>
          <w:color w:val="auto"/>
        </w:rPr>
      </w:pPr>
    </w:p>
    <w:p>
      <w:pPr>
        <w:jc w:val="both"/>
        <w:ind w:right="380"/>
        <w:spacing w:after="0" w:line="241" w:lineRule="auto"/>
        <w:rPr>
          <w:sz w:val="20"/>
          <w:szCs w:val="20"/>
          <w:color w:val="auto"/>
        </w:rPr>
      </w:pPr>
      <w:r>
        <w:rPr>
          <w:rFonts w:ascii="Verdana" w:cs="Verdana" w:eastAsia="Verdana" w:hAnsi="Verdana"/>
          <w:sz w:val="18"/>
          <w:szCs w:val="18"/>
          <w:color w:val="auto"/>
        </w:rPr>
        <w:t>Subject to the powers of the General Meeting, the Board of Directors determines its own organization. It may appoint a Secretary who needs not be a member of the Board of Directors.</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22</w:t>
      </w:r>
      <w:r>
        <w:rPr>
          <w:sz w:val="20"/>
          <w:szCs w:val="20"/>
          <w:color w:val="auto"/>
        </w:rPr>
        <w:tab/>
      </w:r>
      <w:r>
        <w:rPr>
          <w:rFonts w:ascii="Verdana" w:cs="Verdana" w:eastAsia="Verdana" w:hAnsi="Verdana"/>
          <w:sz w:val="17"/>
          <w:szCs w:val="17"/>
          <w:b w:val="1"/>
          <w:bCs w:val="1"/>
          <w:color w:val="auto"/>
        </w:rPr>
        <w:t>Function, Organization</w:t>
      </w:r>
    </w:p>
    <w:p>
      <w:pPr>
        <w:spacing w:after="0" w:line="213"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It is the Board of Director's duty to lead the Company and to supervise the management. The Board of Director represents the Company and may take decisions to all affairs which are not assigned to any other body of the Company by law, the Articles of association or Regulations.</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Verdana" w:cs="Verdana" w:eastAsia="Verdana" w:hAnsi="Verdana"/>
          <w:sz w:val="18"/>
          <w:szCs w:val="18"/>
          <w:color w:val="auto"/>
        </w:rPr>
        <w:t>Amtsdauer von einem Jahr bis zum Ende der nächsten ordentlichen Generalversammlung gewählt. Wiederwahl ist möglich. Der Unabhängige Stimmrechtsvertreter informiert die Gesellschaft über Anzahl, Art, Nennwert und Kategorie der vertretenen Aktien. Der Präsident des Verwaltungsrats gibt diese Informationen der Generalversammlung bekannt. Die Pflichten des Unabhängigen Stimmrechtsvertreters ergeben sich aus den anwendbaren gesetzlichen Bestimmungen.</w:t>
      </w:r>
    </w:p>
    <w:p>
      <w:pPr>
        <w:spacing w:after="0" w:line="200" w:lineRule="exact"/>
        <w:rPr>
          <w:sz w:val="20"/>
          <w:szCs w:val="20"/>
          <w:color w:val="auto"/>
        </w:rPr>
      </w:pPr>
    </w:p>
    <w:p>
      <w:pPr>
        <w:spacing w:after="0" w:line="222" w:lineRule="exact"/>
        <w:rPr>
          <w:sz w:val="20"/>
          <w:szCs w:val="20"/>
          <w:color w:val="auto"/>
        </w:rPr>
      </w:pPr>
    </w:p>
    <w:p>
      <w:pPr>
        <w:ind w:left="500" w:hanging="494"/>
        <w:spacing w:after="0"/>
        <w:tabs>
          <w:tab w:leader="none" w:pos="500" w:val="left"/>
        </w:tabs>
        <w:numPr>
          <w:ilvl w:val="0"/>
          <w:numId w:val="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VERWALTUNGSRAT</w:t>
      </w:r>
    </w:p>
    <w:p>
      <w:pPr>
        <w:spacing w:after="0" w:line="200" w:lineRule="exact"/>
        <w:rPr>
          <w:sz w:val="20"/>
          <w:szCs w:val="20"/>
          <w:color w:val="auto"/>
        </w:rPr>
      </w:pPr>
    </w:p>
    <w:p>
      <w:pPr>
        <w:spacing w:after="0" w:line="229" w:lineRule="exact"/>
        <w:rPr>
          <w:sz w:val="20"/>
          <w:szCs w:val="20"/>
          <w:color w:val="auto"/>
        </w:rPr>
      </w:pPr>
    </w:p>
    <w:p>
      <w:pPr>
        <w:ind w:left="1000" w:right="1040" w:hanging="1220"/>
        <w:spacing w:after="0" w:line="283" w:lineRule="auto"/>
        <w:tabs>
          <w:tab w:leader="none" w:pos="980" w:val="left"/>
        </w:tabs>
        <w:rPr>
          <w:sz w:val="20"/>
          <w:szCs w:val="20"/>
          <w:color w:val="auto"/>
        </w:rPr>
      </w:pPr>
      <w:r>
        <w:rPr>
          <w:rFonts w:ascii="Verdana" w:cs="Verdana" w:eastAsia="Verdana" w:hAnsi="Verdana"/>
          <w:sz w:val="18"/>
          <w:szCs w:val="18"/>
          <w:b w:val="1"/>
          <w:bCs w:val="1"/>
          <w:color w:val="auto"/>
        </w:rPr>
        <w:t>Art. 20</w:t>
      </w:r>
      <w:r>
        <w:rPr>
          <w:sz w:val="20"/>
          <w:szCs w:val="20"/>
          <w:color w:val="auto"/>
        </w:rPr>
        <w:tab/>
      </w:r>
      <w:r>
        <w:rPr>
          <w:rFonts w:ascii="Verdana" w:cs="Verdana" w:eastAsia="Verdana" w:hAnsi="Verdana"/>
          <w:sz w:val="17"/>
          <w:szCs w:val="17"/>
          <w:b w:val="1"/>
          <w:bCs w:val="1"/>
          <w:color w:val="auto"/>
        </w:rPr>
        <w:t>Anzahl der Mitglieder, Amtsdauer</w:t>
      </w:r>
    </w:p>
    <w:p>
      <w:pPr>
        <w:spacing w:after="0" w:line="16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Der Verwaltungsrat besteht aus mindestens 3 und höchstens 11 Mitgliedern. Der Präsident sowie die Mitglieder des Verwaltungsrates werden jeweils für die Dauer von einem Jahr bis zum Ende der nächsten ordentlichen</w:t>
      </w:r>
    </w:p>
    <w:p>
      <w:pPr>
        <w:spacing w:after="0" w:line="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Generalversammlung einzeln gewählt. Vorbehalten bleiben vorheriger Rücktritt oder Abberufung.</w:t>
      </w:r>
    </w:p>
    <w:p>
      <w:pPr>
        <w:spacing w:after="0" w:line="194"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Die Mitglieder des Verwaltungsrates sind jederzeit wieder wählbar. Die oberste</w:t>
      </w:r>
    </w:p>
    <w:p>
      <w:pPr>
        <w:spacing w:after="0" w:line="2"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Altersgrenze von Mitgliedern des Verwaltungsrats beträgt 75 Jahre. Wenn ein</w:t>
      </w:r>
    </w:p>
    <w:p>
      <w:pPr>
        <w:spacing w:after="0" w:line="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Mitglied des Verwaltungsrats diese Altersgrenze während seiner Amtszeit erreicht, wird diese automatisch zur nächsten ordentlichen Generalversammlung verlängert. Die Generalversammlung kann eine Ausnahme von der Altersgrenze beschliessen.</w:t>
      </w:r>
    </w:p>
    <w:p>
      <w:pPr>
        <w:spacing w:after="0" w:line="19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21</w:t>
      </w:r>
      <w:r>
        <w:rPr>
          <w:sz w:val="20"/>
          <w:szCs w:val="20"/>
          <w:color w:val="auto"/>
        </w:rPr>
        <w:tab/>
      </w:r>
      <w:r>
        <w:rPr>
          <w:rFonts w:ascii="Verdana" w:cs="Verdana" w:eastAsia="Verdana" w:hAnsi="Verdana"/>
          <w:sz w:val="17"/>
          <w:szCs w:val="17"/>
          <w:b w:val="1"/>
          <w:bCs w:val="1"/>
          <w:color w:val="auto"/>
        </w:rPr>
        <w:t>Konstituierung</w:t>
      </w:r>
    </w:p>
    <w:p>
      <w:pPr>
        <w:spacing w:after="0" w:line="210" w:lineRule="exact"/>
        <w:rPr>
          <w:sz w:val="20"/>
          <w:szCs w:val="20"/>
          <w:color w:val="auto"/>
        </w:rPr>
      </w:pPr>
    </w:p>
    <w:p>
      <w:pPr>
        <w:spacing w:after="0"/>
        <w:tabs>
          <w:tab w:leader="none" w:pos="700" w:val="left"/>
          <w:tab w:leader="none" w:pos="2460" w:val="left"/>
          <w:tab w:leader="none" w:pos="3880" w:val="left"/>
        </w:tabs>
        <w:rPr>
          <w:sz w:val="20"/>
          <w:szCs w:val="20"/>
          <w:color w:val="auto"/>
        </w:rPr>
      </w:pPr>
      <w:r>
        <w:rPr>
          <w:rFonts w:ascii="Verdana" w:cs="Verdana" w:eastAsia="Verdana" w:hAnsi="Verdana"/>
          <w:sz w:val="18"/>
          <w:szCs w:val="18"/>
          <w:color w:val="auto"/>
        </w:rPr>
        <w:t>Der</w:t>
      </w:r>
      <w:r>
        <w:rPr>
          <w:sz w:val="20"/>
          <w:szCs w:val="20"/>
          <w:color w:val="auto"/>
        </w:rPr>
        <w:tab/>
      </w:r>
      <w:r>
        <w:rPr>
          <w:rFonts w:ascii="Verdana" w:cs="Verdana" w:eastAsia="Verdana" w:hAnsi="Verdana"/>
          <w:sz w:val="18"/>
          <w:szCs w:val="18"/>
          <w:color w:val="auto"/>
        </w:rPr>
        <w:t>Verwaltungsrat</w:t>
      </w:r>
      <w:r>
        <w:rPr>
          <w:sz w:val="20"/>
          <w:szCs w:val="20"/>
          <w:color w:val="auto"/>
        </w:rPr>
        <w:tab/>
      </w:r>
      <w:r>
        <w:rPr>
          <w:rFonts w:ascii="Verdana" w:cs="Verdana" w:eastAsia="Verdana" w:hAnsi="Verdana"/>
          <w:sz w:val="18"/>
          <w:szCs w:val="18"/>
          <w:color w:val="auto"/>
        </w:rPr>
        <w:t>konstituiert</w:t>
      </w:r>
      <w:r>
        <w:rPr>
          <w:sz w:val="20"/>
          <w:szCs w:val="20"/>
          <w:color w:val="auto"/>
        </w:rPr>
        <w:tab/>
      </w:r>
      <w:r>
        <w:rPr>
          <w:rFonts w:ascii="Verdana" w:cs="Verdana" w:eastAsia="Verdana" w:hAnsi="Verdana"/>
          <w:sz w:val="18"/>
          <w:szCs w:val="18"/>
          <w:color w:val="auto"/>
        </w:rPr>
        <w:t>sich</w:t>
      </w:r>
    </w:p>
    <w:p>
      <w:pPr>
        <w:jc w:val="both"/>
        <w:spacing w:after="0" w:line="242" w:lineRule="auto"/>
        <w:rPr>
          <w:sz w:val="20"/>
          <w:szCs w:val="20"/>
          <w:color w:val="auto"/>
        </w:rPr>
      </w:pPr>
      <w:r>
        <w:rPr>
          <w:rFonts w:ascii="Verdana" w:cs="Verdana" w:eastAsia="Verdana" w:hAnsi="Verdana"/>
          <w:sz w:val="18"/>
          <w:szCs w:val="18"/>
          <w:color w:val="auto"/>
        </w:rPr>
        <w:t>vorbehältlich der Befugnisse der Generalversammlung selbst. Er kann einen Sekretär bezeichnen, der nicht Mitglied des Verwaltungsrates sein muss.</w:t>
      </w:r>
    </w:p>
    <w:p>
      <w:pPr>
        <w:spacing w:after="0" w:line="198"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22</w:t>
      </w:r>
      <w:r>
        <w:rPr>
          <w:sz w:val="20"/>
          <w:szCs w:val="20"/>
          <w:color w:val="auto"/>
        </w:rPr>
        <w:tab/>
      </w:r>
      <w:r>
        <w:rPr>
          <w:rFonts w:ascii="Verdana" w:cs="Verdana" w:eastAsia="Verdana" w:hAnsi="Verdana"/>
          <w:sz w:val="17"/>
          <w:szCs w:val="17"/>
          <w:b w:val="1"/>
          <w:bCs w:val="1"/>
          <w:color w:val="auto"/>
        </w:rPr>
        <w:t>Funktion, Organisation</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454025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647" w:right="1199" w:bottom="1440" w:gutter="0" w:footer="0" w:header="0"/>
        </w:sectPr>
      </w:pPr>
    </w:p>
    <w:bookmarkStart w:id="27" w:name="page28"/>
    <w:bookmarkEnd w:id="27"/>
    <w:p>
      <w:pPr>
        <w:jc w:val="both"/>
        <w:spacing w:after="0" w:line="245" w:lineRule="auto"/>
        <w:rPr>
          <w:sz w:val="20"/>
          <w:szCs w:val="20"/>
          <w:color w:val="auto"/>
        </w:rPr>
      </w:pPr>
      <w:r>
        <w:rPr>
          <w:rFonts w:ascii="Verdana" w:cs="Verdana" w:eastAsia="Verdana" w:hAnsi="Verdana"/>
          <w:sz w:val="18"/>
          <w:szCs w:val="18"/>
          <w:color w:val="auto"/>
        </w:rPr>
        <w:t>The Board of Directors shall adopt the organizational regulations and the corresponding contractual relationships.</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23</w:t>
        <w:tab/>
        <w:t>Powers</w:t>
      </w:r>
    </w:p>
    <w:p>
      <w:pPr>
        <w:spacing w:after="0" w:line="21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The Board of Directors has the following non-delegable and inalienable duties:</w:t>
      </w:r>
    </w:p>
    <w:p>
      <w:pPr>
        <w:spacing w:after="0" w:line="185" w:lineRule="exact"/>
        <w:rPr>
          <w:sz w:val="20"/>
          <w:szCs w:val="20"/>
          <w:color w:val="auto"/>
        </w:rPr>
      </w:pPr>
    </w:p>
    <w:p>
      <w:pPr>
        <w:ind w:left="380" w:right="20" w:hanging="379"/>
        <w:spacing w:after="0" w:line="253"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overall management of the Company and the issuing of all necessary directives;</w:t>
      </w:r>
    </w:p>
    <w:p>
      <w:pPr>
        <w:spacing w:after="0" w:line="185" w:lineRule="exact"/>
        <w:rPr>
          <w:rFonts w:ascii="Times New Roman" w:cs="Times New Roman" w:eastAsia="Times New Roman" w:hAnsi="Times New Roman"/>
          <w:sz w:val="18"/>
          <w:szCs w:val="18"/>
          <w:color w:val="auto"/>
        </w:rPr>
      </w:pPr>
    </w:p>
    <w:p>
      <w:pPr>
        <w:jc w:val="both"/>
        <w:ind w:left="380" w:right="20" w:hanging="379"/>
        <w:spacing w:after="0" w:line="245"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determination of the Company's organization by means of organizational regulations;</w:t>
      </w:r>
    </w:p>
    <w:p>
      <w:pPr>
        <w:spacing w:after="0" w:line="192" w:lineRule="exact"/>
        <w:rPr>
          <w:rFonts w:ascii="Times New Roman" w:cs="Times New Roman" w:eastAsia="Times New Roman" w:hAnsi="Times New Roman"/>
          <w:sz w:val="18"/>
          <w:szCs w:val="18"/>
          <w:color w:val="auto"/>
        </w:rPr>
      </w:pPr>
    </w:p>
    <w:p>
      <w:pPr>
        <w:jc w:val="both"/>
        <w:ind w:left="380" w:right="20" w:hanging="379"/>
        <w:spacing w:after="0" w:line="245"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organisation of the accounting, financial control and financial planning systems as required for management of the Company;</w:t>
      </w:r>
    </w:p>
    <w:p>
      <w:pPr>
        <w:spacing w:after="0" w:line="192" w:lineRule="exact"/>
        <w:rPr>
          <w:rFonts w:ascii="Times New Roman" w:cs="Times New Roman" w:eastAsia="Times New Roman" w:hAnsi="Times New Roman"/>
          <w:sz w:val="18"/>
          <w:szCs w:val="18"/>
          <w:color w:val="auto"/>
        </w:rPr>
      </w:pPr>
    </w:p>
    <w:p>
      <w:pPr>
        <w:jc w:val="both"/>
        <w:ind w:left="380" w:right="20" w:hanging="379"/>
        <w:spacing w:after="0" w:line="242"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appointment and dismissal of the persons entrusted with the management and representation of the Company and grant of signatures;</w:t>
      </w:r>
    </w:p>
    <w:p>
      <w:pPr>
        <w:spacing w:after="0" w:line="196" w:lineRule="exact"/>
        <w:rPr>
          <w:rFonts w:ascii="Times New Roman" w:cs="Times New Roman" w:eastAsia="Times New Roman" w:hAnsi="Times New Roman"/>
          <w:sz w:val="18"/>
          <w:szCs w:val="18"/>
          <w:color w:val="auto"/>
        </w:rPr>
      </w:pPr>
    </w:p>
    <w:p>
      <w:pPr>
        <w:jc w:val="both"/>
        <w:ind w:left="380" w:hanging="379"/>
        <w:spacing w:after="0" w:line="241"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overall supervision of the persons entrusted with managing the Company, in particular with regard to compliance with the law, the Articles of Association, operational regulations and directives;</w:t>
      </w:r>
    </w:p>
    <w:p>
      <w:pPr>
        <w:spacing w:after="0" w:line="196" w:lineRule="exact"/>
        <w:rPr>
          <w:rFonts w:ascii="Times New Roman" w:cs="Times New Roman" w:eastAsia="Times New Roman" w:hAnsi="Times New Roman"/>
          <w:sz w:val="18"/>
          <w:szCs w:val="18"/>
          <w:color w:val="auto"/>
        </w:rPr>
      </w:pPr>
    </w:p>
    <w:p>
      <w:pPr>
        <w:jc w:val="both"/>
        <w:ind w:left="380" w:right="20" w:hanging="379"/>
        <w:spacing w:after="0" w:line="241"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compilation of the annual report, the compensation report, the report on non-financial matters (if any) and other reports that are subject to mandatory approval by the Board of Directors;</w:t>
      </w:r>
    </w:p>
    <w:p>
      <w:pPr>
        <w:spacing w:after="0" w:line="196" w:lineRule="exact"/>
        <w:rPr>
          <w:rFonts w:ascii="Times New Roman" w:cs="Times New Roman" w:eastAsia="Times New Roman" w:hAnsi="Times New Roman"/>
          <w:sz w:val="18"/>
          <w:szCs w:val="18"/>
          <w:color w:val="auto"/>
        </w:rPr>
      </w:pPr>
    </w:p>
    <w:p>
      <w:pPr>
        <w:ind w:left="380" w:right="20" w:hanging="379"/>
        <w:spacing w:after="0" w:line="253"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preparation of the Shareholders’ Meeting and the implementing of its resolutions;</w:t>
      </w:r>
    </w:p>
    <w:p>
      <w:pPr>
        <w:spacing w:after="0" w:line="185" w:lineRule="exact"/>
        <w:rPr>
          <w:rFonts w:ascii="Times New Roman" w:cs="Times New Roman" w:eastAsia="Times New Roman" w:hAnsi="Times New Roman"/>
          <w:sz w:val="18"/>
          <w:szCs w:val="18"/>
          <w:color w:val="auto"/>
        </w:rPr>
      </w:pPr>
    </w:p>
    <w:p>
      <w:pPr>
        <w:jc w:val="both"/>
        <w:ind w:left="380" w:hanging="379"/>
        <w:spacing w:after="0" w:line="245"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filing of a motion for debt-restructuring moratorium and the notification of the court in the case of over-indebtedness; and</w:t>
      </w:r>
    </w:p>
    <w:p>
      <w:pPr>
        <w:spacing w:after="0" w:line="192" w:lineRule="exact"/>
        <w:rPr>
          <w:rFonts w:ascii="Times New Roman" w:cs="Times New Roman" w:eastAsia="Times New Roman" w:hAnsi="Times New Roman"/>
          <w:sz w:val="18"/>
          <w:szCs w:val="18"/>
          <w:color w:val="auto"/>
        </w:rPr>
      </w:pPr>
    </w:p>
    <w:p>
      <w:pPr>
        <w:jc w:val="both"/>
        <w:ind w:left="380" w:hanging="379"/>
        <w:spacing w:after="0" w:line="245" w:lineRule="auto"/>
        <w:tabs>
          <w:tab w:leader="none" w:pos="380" w:val="left"/>
        </w:tabs>
        <w:numPr>
          <w:ilvl w:val="0"/>
          <w:numId w:val="40"/>
        </w:numPr>
        <w:rPr>
          <w:rFonts w:ascii="Times New Roman" w:cs="Times New Roman" w:eastAsia="Times New Roman" w:hAnsi="Times New Roman"/>
          <w:sz w:val="18"/>
          <w:szCs w:val="18"/>
          <w:color w:val="auto"/>
        </w:rPr>
      </w:pPr>
      <w:r>
        <w:rPr>
          <w:rFonts w:ascii="Verdana" w:cs="Verdana" w:eastAsia="Verdana" w:hAnsi="Verdana"/>
          <w:sz w:val="18"/>
          <w:szCs w:val="18"/>
          <w:color w:val="auto"/>
        </w:rPr>
        <w:t>other powers and duties reserved for the Board of Directors by law or the Articles of Association.</w:t>
      </w:r>
    </w:p>
    <w:p>
      <w:pPr>
        <w:spacing w:after="0" w:line="19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The Board of Directors may assign responsibility for preparing and implementing its resolutions or monitoring transactions to committees or</w:t>
      </w:r>
    </w:p>
    <w:p>
      <w:pPr>
        <w:spacing w:after="0" w:line="20" w:lineRule="exact"/>
        <w:rPr>
          <w:sz w:val="20"/>
          <w:szCs w:val="20"/>
          <w:color w:val="auto"/>
        </w:rPr>
      </w:pPr>
      <w:r>
        <w:rPr>
          <w:sz w:val="20"/>
          <w:szCs w:val="20"/>
          <w:color w:val="auto"/>
        </w:rPr>
        <w:br w:type="column"/>
      </w:r>
    </w:p>
    <w:p>
      <w:pPr>
        <w:jc w:val="both"/>
        <w:spacing w:after="0" w:line="245" w:lineRule="auto"/>
        <w:rPr>
          <w:sz w:val="20"/>
          <w:szCs w:val="20"/>
          <w:color w:val="auto"/>
        </w:rPr>
      </w:pPr>
      <w:r>
        <w:rPr>
          <w:rFonts w:ascii="Verdana" w:cs="Verdana" w:eastAsia="Verdana" w:hAnsi="Verdana"/>
          <w:sz w:val="18"/>
          <w:szCs w:val="18"/>
          <w:color w:val="auto"/>
        </w:rPr>
        <w:t>Der Verwaltungsrat erlässt das Organisationsreglement und ordnet die entsprechenden Vertragsverhältnisse.</w:t>
      </w:r>
    </w:p>
    <w:p>
      <w:pPr>
        <w:spacing w:after="0" w:line="194"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23</w:t>
      </w:r>
      <w:r>
        <w:rPr>
          <w:sz w:val="20"/>
          <w:szCs w:val="20"/>
          <w:color w:val="auto"/>
        </w:rPr>
        <w:tab/>
      </w:r>
      <w:r>
        <w:rPr>
          <w:rFonts w:ascii="Verdana" w:cs="Verdana" w:eastAsia="Verdana" w:hAnsi="Verdana"/>
          <w:sz w:val="17"/>
          <w:szCs w:val="17"/>
          <w:b w:val="1"/>
          <w:bCs w:val="1"/>
          <w:color w:val="auto"/>
        </w:rPr>
        <w:t>Aufgaben</w:t>
      </w:r>
    </w:p>
    <w:p>
      <w:pPr>
        <w:spacing w:after="0" w:line="21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Der Verwaltungsrat hat folgende unübertragbare und unentziehbare Aufgaben:</w:t>
      </w:r>
    </w:p>
    <w:p>
      <w:pPr>
        <w:spacing w:after="0" w:line="185" w:lineRule="exact"/>
        <w:rPr>
          <w:sz w:val="20"/>
          <w:szCs w:val="20"/>
          <w:color w:val="auto"/>
        </w:rPr>
      </w:pPr>
    </w:p>
    <w:p>
      <w:pPr>
        <w:ind w:left="440" w:hanging="431"/>
        <w:spacing w:after="0" w:line="253"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Oberleitung der Gesellschaft und Erteilung der nötigen Weisungen;</w:t>
      </w:r>
    </w:p>
    <w:p>
      <w:pPr>
        <w:spacing w:after="0" w:line="185" w:lineRule="exact"/>
        <w:rPr>
          <w:rFonts w:ascii="Times New Roman" w:cs="Times New Roman" w:eastAsia="Times New Roman" w:hAnsi="Times New Roman"/>
          <w:sz w:val="18"/>
          <w:szCs w:val="18"/>
          <w:color w:val="auto"/>
        </w:rPr>
      </w:pPr>
    </w:p>
    <w:p>
      <w:pPr>
        <w:ind w:left="440" w:hanging="431"/>
        <w:spacing w:after="0" w:line="253"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Festlegung der Organisation der Gesellschaft mittels eines Organisationsreglements;</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both"/>
        <w:ind w:left="440" w:hanging="431"/>
        <w:spacing w:after="0" w:line="245"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Organisation des Rechnungswesens, der Finanzkontrolle sowie der Finanzplanung zur Führung der Gesellschaft;</w:t>
      </w:r>
    </w:p>
    <w:p>
      <w:pPr>
        <w:spacing w:after="0" w:line="192" w:lineRule="exact"/>
        <w:rPr>
          <w:rFonts w:ascii="Times New Roman" w:cs="Times New Roman" w:eastAsia="Times New Roman" w:hAnsi="Times New Roman"/>
          <w:sz w:val="18"/>
          <w:szCs w:val="18"/>
          <w:color w:val="auto"/>
        </w:rPr>
      </w:pPr>
    </w:p>
    <w:p>
      <w:pPr>
        <w:jc w:val="both"/>
        <w:ind w:left="440" w:hanging="431"/>
        <w:spacing w:after="0" w:line="242"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Ernennung und Abberufung der mit der Geschäftsführung und der Vertretung betrauten Personen und Regelung der Zeichnungsberechtigung;</w:t>
      </w:r>
    </w:p>
    <w:p>
      <w:pPr>
        <w:spacing w:after="0" w:line="196" w:lineRule="exact"/>
        <w:rPr>
          <w:rFonts w:ascii="Times New Roman" w:cs="Times New Roman" w:eastAsia="Times New Roman" w:hAnsi="Times New Roman"/>
          <w:sz w:val="18"/>
          <w:szCs w:val="18"/>
          <w:color w:val="auto"/>
        </w:rPr>
      </w:pPr>
    </w:p>
    <w:p>
      <w:pPr>
        <w:jc w:val="both"/>
        <w:ind w:left="440" w:hanging="431"/>
        <w:spacing w:after="0" w:line="241"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Oberaufsicht über die mit der Geschäftsführung betrauten Personen, namentlich im Hinblick auf die Befolgung der Gesetze, Statuten, Reglemente und Weisungen;</w:t>
      </w:r>
    </w:p>
    <w:p>
      <w:pPr>
        <w:spacing w:after="0" w:line="196" w:lineRule="exact"/>
        <w:rPr>
          <w:rFonts w:ascii="Times New Roman" w:cs="Times New Roman" w:eastAsia="Times New Roman" w:hAnsi="Times New Roman"/>
          <w:sz w:val="18"/>
          <w:szCs w:val="18"/>
          <w:color w:val="auto"/>
        </w:rPr>
      </w:pPr>
    </w:p>
    <w:p>
      <w:pPr>
        <w:jc w:val="both"/>
        <w:ind w:left="440" w:hanging="431"/>
        <w:spacing w:after="0" w:line="241"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Erstellung des Geschäftsberichtes, des Vergütungsberichts und des Berichts über nichtfinanzielle Belange (sofern vorhanden) sowie andere Berichte, die durch den Verwaltungsrat genehmigt werden müssen;</w:t>
      </w:r>
    </w:p>
    <w:p>
      <w:pPr>
        <w:spacing w:after="0" w:line="196" w:lineRule="exact"/>
        <w:rPr>
          <w:rFonts w:ascii="Times New Roman" w:cs="Times New Roman" w:eastAsia="Times New Roman" w:hAnsi="Times New Roman"/>
          <w:sz w:val="18"/>
          <w:szCs w:val="18"/>
          <w:color w:val="auto"/>
        </w:rPr>
      </w:pPr>
    </w:p>
    <w:p>
      <w:pPr>
        <w:ind w:left="440" w:hanging="431"/>
        <w:spacing w:after="0" w:line="253"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Vorbereitung der Generalversammlung und die Ausführung ihrer Beschlüsse;</w:t>
      </w:r>
    </w:p>
    <w:p>
      <w:pPr>
        <w:spacing w:after="0" w:line="185" w:lineRule="exact"/>
        <w:rPr>
          <w:rFonts w:ascii="Times New Roman" w:cs="Times New Roman" w:eastAsia="Times New Roman" w:hAnsi="Times New Roman"/>
          <w:sz w:val="18"/>
          <w:szCs w:val="18"/>
          <w:color w:val="auto"/>
        </w:rPr>
      </w:pPr>
    </w:p>
    <w:p>
      <w:pPr>
        <w:jc w:val="both"/>
        <w:ind w:left="440" w:hanging="431"/>
        <w:spacing w:after="0" w:line="245"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die Einreichung eines Gesuchs um Nachlassstundung und die Benachrichtigung des Gerichts im Falle der Überschuldung; und</w:t>
      </w:r>
    </w:p>
    <w:p>
      <w:pPr>
        <w:spacing w:after="0" w:line="192" w:lineRule="exact"/>
        <w:rPr>
          <w:rFonts w:ascii="Times New Roman" w:cs="Times New Roman" w:eastAsia="Times New Roman" w:hAnsi="Times New Roman"/>
          <w:sz w:val="18"/>
          <w:szCs w:val="18"/>
          <w:color w:val="auto"/>
        </w:rPr>
      </w:pPr>
    </w:p>
    <w:p>
      <w:pPr>
        <w:jc w:val="both"/>
        <w:ind w:left="440" w:hanging="431"/>
        <w:spacing w:after="0" w:line="245" w:lineRule="auto"/>
        <w:tabs>
          <w:tab w:leader="none" w:pos="440" w:val="left"/>
        </w:tabs>
        <w:numPr>
          <w:ilvl w:val="0"/>
          <w:numId w:val="41"/>
        </w:numPr>
        <w:rPr>
          <w:rFonts w:ascii="Times New Roman" w:cs="Times New Roman" w:eastAsia="Times New Roman" w:hAnsi="Times New Roman"/>
          <w:sz w:val="18"/>
          <w:szCs w:val="18"/>
          <w:color w:val="auto"/>
        </w:rPr>
      </w:pPr>
      <w:r>
        <w:rPr>
          <w:rFonts w:ascii="Verdana" w:cs="Verdana" w:eastAsia="Verdana" w:hAnsi="Verdana"/>
          <w:sz w:val="18"/>
          <w:szCs w:val="18"/>
          <w:color w:val="auto"/>
        </w:rPr>
        <w:t>sonstige Befugnisse und Aufgaben, die dem Verwaltungsrat durch Gesetz oder Statuten vorbehalten sind.</w:t>
      </w:r>
    </w:p>
    <w:p>
      <w:pPr>
        <w:spacing w:after="0" w:line="19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Der Verwaltungsrat kann die Vorbereitung und die Ausführung seiner Beschlüsse oder die Überwachung von Geschäften Ausschüssen oder einzelnen Mitgliedern zuweisen. Er hat für 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382270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28" w:name="page29"/>
    <w:bookmarkEnd w:id="28"/>
    <w:p>
      <w:pPr>
        <w:jc w:val="both"/>
        <w:ind w:right="20"/>
        <w:spacing w:after="0" w:line="254" w:lineRule="auto"/>
        <w:rPr>
          <w:sz w:val="20"/>
          <w:szCs w:val="20"/>
          <w:color w:val="auto"/>
        </w:rPr>
      </w:pPr>
      <w:r>
        <w:rPr>
          <w:rFonts w:ascii="Verdana" w:cs="Verdana" w:eastAsia="Verdana" w:hAnsi="Verdana"/>
          <w:sz w:val="18"/>
          <w:szCs w:val="18"/>
          <w:color w:val="auto"/>
        </w:rPr>
        <w:t>individual members. It must ensure appropriate reporting to its members.</w:t>
      </w:r>
    </w:p>
    <w:p>
      <w:pPr>
        <w:spacing w:after="0" w:line="185"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24</w:t>
        <w:tab/>
        <w:t>Representation of the Company</w:t>
      </w:r>
    </w:p>
    <w:p>
      <w:pPr>
        <w:spacing w:after="0" w:line="21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The Board of Directors shall assign the persons with signatory power for the Company and the kind of signatory power.</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25</w:t>
        <w:tab/>
        <w:t>Delegation</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Subject to Article 23 of the Articles of Association, the Board of Directors is authorized to delegate, in part or entirely, the management and the representation of the Company, within the limits of the law, to one or more individual directors (Delegates) or to third parties pursuant to organizational regulations.</w:t>
      </w:r>
    </w:p>
    <w:p>
      <w:pPr>
        <w:spacing w:after="0" w:line="203" w:lineRule="exact"/>
        <w:rPr>
          <w:sz w:val="20"/>
          <w:szCs w:val="20"/>
          <w:color w:val="auto"/>
        </w:rPr>
      </w:pPr>
    </w:p>
    <w:p>
      <w:pPr>
        <w:ind w:left="980" w:right="860" w:hanging="1220"/>
        <w:spacing w:after="0" w:line="254" w:lineRule="auto"/>
        <w:tabs>
          <w:tab w:leader="none" w:pos="960" w:val="left"/>
        </w:tabs>
        <w:rPr>
          <w:sz w:val="20"/>
          <w:szCs w:val="20"/>
          <w:color w:val="auto"/>
        </w:rPr>
      </w:pPr>
      <w:r>
        <w:rPr>
          <w:rFonts w:ascii="Verdana" w:cs="Verdana" w:eastAsia="Verdana" w:hAnsi="Verdana"/>
          <w:sz w:val="18"/>
          <w:szCs w:val="18"/>
          <w:b w:val="1"/>
          <w:bCs w:val="1"/>
          <w:color w:val="auto"/>
        </w:rPr>
        <w:t>Art. 26</w:t>
        <w:tab/>
        <w:t>Meetings, Resolutions and Minutes</w:t>
      </w:r>
    </w:p>
    <w:p>
      <w:pPr>
        <w:spacing w:after="0" w:line="185"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 organization of the meetings, the presence quorum and the passing of resolutions, of the Board of Directors is determined by the organizational regulations. No presence quorum is required for the approval of the capital increase.</w:t>
      </w:r>
    </w:p>
    <w:p>
      <w:pPr>
        <w:spacing w:after="0" w:line="199"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Resolutions may be passed by electronic means (including telephone or videoconference) with or without venue applying Article 701c–701f CO mutatis mutandis. Resolutions may also be passed by way of circulation, provided that no member requests oral deliberation.</w:t>
      </w:r>
    </w:p>
    <w:p>
      <w:pPr>
        <w:spacing w:after="0" w:line="19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Minutes are kept of the Board's discussions and resolutions and signed by the chairman and the minute-taker.</w:t>
      </w:r>
    </w:p>
    <w:p>
      <w:pPr>
        <w:spacing w:after="0" w:line="200" w:lineRule="exact"/>
        <w:rPr>
          <w:sz w:val="20"/>
          <w:szCs w:val="20"/>
          <w:color w:val="auto"/>
        </w:rPr>
      </w:pPr>
    </w:p>
    <w:p>
      <w:pPr>
        <w:spacing w:after="0" w:line="251"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27</w:t>
        <w:tab/>
        <w:t>Disclosure and Right of Inspection</w:t>
      </w:r>
    </w:p>
    <w:p>
      <w:pPr>
        <w:spacing w:after="0" w:line="21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Any member of the Board of Directors may request information on any company business.</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36" w:lineRule="auto"/>
        <w:rPr>
          <w:sz w:val="20"/>
          <w:szCs w:val="20"/>
          <w:color w:val="auto"/>
        </w:rPr>
      </w:pPr>
      <w:r>
        <w:rPr>
          <w:rFonts w:ascii="Verdana" w:cs="Verdana" w:eastAsia="Verdana" w:hAnsi="Verdana"/>
          <w:sz w:val="18"/>
          <w:szCs w:val="18"/>
          <w:color w:val="auto"/>
        </w:rPr>
        <w:t>Outside meetings, any member may request information from the persons entrusted with managing the company's business concerning the Company's business performance and, with</w:t>
      </w:r>
    </w:p>
    <w:p>
      <w:pPr>
        <w:spacing w:after="0" w:line="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Chairman's authorization, specific transactions.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Verdana" w:cs="Verdana" w:eastAsia="Verdana" w:hAnsi="Verdana"/>
          <w:sz w:val="18"/>
          <w:szCs w:val="18"/>
          <w:color w:val="auto"/>
        </w:rPr>
        <w:t>angemessene Berichterstattung an seine Mitglieder zu sorgen.</w:t>
      </w:r>
    </w:p>
    <w:p>
      <w:pPr>
        <w:spacing w:after="0" w:line="185"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24</w:t>
      </w:r>
      <w:r>
        <w:rPr>
          <w:sz w:val="20"/>
          <w:szCs w:val="20"/>
          <w:color w:val="auto"/>
        </w:rPr>
        <w:tab/>
      </w:r>
      <w:r>
        <w:rPr>
          <w:rFonts w:ascii="Verdana" w:cs="Verdana" w:eastAsia="Verdana" w:hAnsi="Verdana"/>
          <w:sz w:val="17"/>
          <w:szCs w:val="17"/>
          <w:b w:val="1"/>
          <w:bCs w:val="1"/>
          <w:color w:val="auto"/>
        </w:rPr>
        <w:t>Vertretung der Gesellschaft</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Der Verwaltungsrat bestimmt die für die Gesellschaft zeichnungsberechtigten Personen und die Art ihrer Zeichnung.</w:t>
      </w:r>
    </w:p>
    <w:p>
      <w:pPr>
        <w:spacing w:after="0" w:line="194"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25</w:t>
      </w:r>
      <w:r>
        <w:rPr>
          <w:sz w:val="20"/>
          <w:szCs w:val="20"/>
          <w:color w:val="auto"/>
        </w:rPr>
        <w:tab/>
      </w:r>
      <w:r>
        <w:rPr>
          <w:rFonts w:ascii="Verdana" w:cs="Verdana" w:eastAsia="Verdana" w:hAnsi="Verdana"/>
          <w:sz w:val="17"/>
          <w:szCs w:val="17"/>
          <w:b w:val="1"/>
          <w:bCs w:val="1"/>
          <w:color w:val="auto"/>
        </w:rPr>
        <w:t>Delegation</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Der Verwaltungsrat kann vorbehaltlich Art. 23 der Statuten die Geschäftsführung und alle Aufgaben und Befugnisse, die ihm nicht durch das Gesetz oder die Statuten zwingend zugewiesen sind, nach Massgabe des Organisationsreglements ganz oder zum Teil an einzelne oder mehrere Mitglieder oder Dritte übertragen.</w:t>
      </w:r>
    </w:p>
    <w:p>
      <w:pPr>
        <w:spacing w:after="0" w:line="203" w:lineRule="exact"/>
        <w:rPr>
          <w:sz w:val="20"/>
          <w:szCs w:val="20"/>
          <w:color w:val="auto"/>
        </w:rPr>
      </w:pPr>
    </w:p>
    <w:p>
      <w:pPr>
        <w:ind w:left="1000" w:right="240" w:hanging="1220"/>
        <w:spacing w:after="0" w:line="254" w:lineRule="auto"/>
        <w:tabs>
          <w:tab w:leader="none" w:pos="980" w:val="left"/>
        </w:tabs>
        <w:rPr>
          <w:sz w:val="20"/>
          <w:szCs w:val="20"/>
          <w:color w:val="auto"/>
        </w:rPr>
      </w:pPr>
      <w:r>
        <w:rPr>
          <w:rFonts w:ascii="Verdana" w:cs="Verdana" w:eastAsia="Verdana" w:hAnsi="Verdana"/>
          <w:sz w:val="18"/>
          <w:szCs w:val="18"/>
          <w:b w:val="1"/>
          <w:bCs w:val="1"/>
          <w:color w:val="auto"/>
        </w:rPr>
        <w:t>Art. 26</w:t>
        <w:tab/>
        <w:t>Sitzungen, Beschlussfassung und Protokoll</w:t>
      </w:r>
    </w:p>
    <w:p>
      <w:pPr>
        <w:spacing w:after="0" w:line="18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Sitzungsordnung, Beschlussfähigkeit und Beschlussfassung des Verwaltungsrats richten sich nach dem Organisationsreglement. Für den Feststellungsbeschluss einer Kapitalerhöhung ist kein Präsenzquorum erforderlich.</w:t>
      </w:r>
    </w:p>
    <w:p>
      <w:pPr>
        <w:spacing w:after="0" w:line="200" w:lineRule="exact"/>
        <w:rPr>
          <w:sz w:val="20"/>
          <w:szCs w:val="20"/>
          <w:color w:val="auto"/>
        </w:rPr>
      </w:pPr>
    </w:p>
    <w:p>
      <w:pPr>
        <w:spacing w:after="0" w:line="21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Elektronische Beschlussfassung (einschliesslich via Telefon- oder Videokonferenz) mit und ohne Tagungsort ist gemäss Art. 701c‒701f OR analog zulässig. Beschlüsse können auch auf dem Zirkularweg gefasst werden, sofern nicht ein Mitglied die Durchführung einer Sitzung verlangt.</w:t>
      </w:r>
    </w:p>
    <w:p>
      <w:pPr>
        <w:spacing w:after="0" w:line="1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Über Verhandlungen und Beschlüsse des Verwaltungsrats wird ein Protokoll erstellt,</w:t>
      </w:r>
    </w:p>
    <w:p>
      <w:pPr>
        <w:spacing w:after="0" w:line="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welches vom Vorsitzenden und vom Sekretär des Verwaltungsrates zu unterzeichnen ist.</w:t>
      </w:r>
    </w:p>
    <w:p>
      <w:pPr>
        <w:spacing w:after="0" w:line="185"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27</w:t>
      </w:r>
      <w:r>
        <w:rPr>
          <w:sz w:val="20"/>
          <w:szCs w:val="20"/>
          <w:color w:val="auto"/>
        </w:rPr>
        <w:tab/>
      </w:r>
      <w:r>
        <w:rPr>
          <w:rFonts w:ascii="Verdana" w:cs="Verdana" w:eastAsia="Verdana" w:hAnsi="Verdana"/>
          <w:sz w:val="17"/>
          <w:szCs w:val="17"/>
          <w:b w:val="1"/>
          <w:bCs w:val="1"/>
          <w:color w:val="auto"/>
        </w:rPr>
        <w:t>Recht auf Auskunft und Einsicht</w:t>
      </w:r>
    </w:p>
    <w:p>
      <w:pPr>
        <w:spacing w:after="0" w:line="210" w:lineRule="exact"/>
        <w:rPr>
          <w:sz w:val="20"/>
          <w:szCs w:val="20"/>
          <w:color w:val="auto"/>
        </w:rPr>
      </w:pPr>
    </w:p>
    <w:p>
      <w:pPr>
        <w:spacing w:after="0"/>
        <w:tabs>
          <w:tab w:leader="none" w:pos="760" w:val="left"/>
          <w:tab w:leader="none" w:pos="1720" w:val="left"/>
          <w:tab w:leader="none" w:pos="2300" w:val="left"/>
          <w:tab w:leader="none" w:pos="4140" w:val="left"/>
        </w:tabs>
        <w:rPr>
          <w:sz w:val="20"/>
          <w:szCs w:val="20"/>
          <w:color w:val="auto"/>
        </w:rPr>
      </w:pPr>
      <w:r>
        <w:rPr>
          <w:rFonts w:ascii="Verdana" w:cs="Verdana" w:eastAsia="Verdana" w:hAnsi="Verdana"/>
          <w:sz w:val="18"/>
          <w:szCs w:val="18"/>
          <w:color w:val="auto"/>
        </w:rPr>
        <w:t>Jedes</w:t>
        <w:tab/>
        <w:t>Mitglied</w:t>
        <w:tab/>
        <w:t>des</w:t>
        <w:tab/>
        <w:t>Verwaltungsrates</w:t>
      </w:r>
      <w:r>
        <w:rPr>
          <w:sz w:val="20"/>
          <w:szCs w:val="20"/>
          <w:color w:val="auto"/>
        </w:rPr>
        <w:tab/>
      </w:r>
      <w:r>
        <w:rPr>
          <w:rFonts w:ascii="Verdana" w:cs="Verdana" w:eastAsia="Verdana" w:hAnsi="Verdana"/>
          <w:sz w:val="17"/>
          <w:szCs w:val="17"/>
          <w:color w:val="auto"/>
        </w:rPr>
        <w:t>kann</w:t>
      </w:r>
    </w:p>
    <w:p>
      <w:pPr>
        <w:spacing w:after="0" w:line="236" w:lineRule="auto"/>
        <w:tabs>
          <w:tab w:leader="none" w:pos="1100" w:val="left"/>
          <w:tab w:leader="none" w:pos="1840" w:val="left"/>
          <w:tab w:leader="none" w:pos="2460" w:val="left"/>
          <w:tab w:leader="none" w:pos="4280" w:val="left"/>
        </w:tabs>
        <w:rPr>
          <w:sz w:val="20"/>
          <w:szCs w:val="20"/>
          <w:color w:val="auto"/>
        </w:rPr>
      </w:pPr>
      <w:r>
        <w:rPr>
          <w:rFonts w:ascii="Verdana" w:cs="Verdana" w:eastAsia="Verdana" w:hAnsi="Verdana"/>
          <w:sz w:val="18"/>
          <w:szCs w:val="18"/>
          <w:color w:val="auto"/>
        </w:rPr>
        <w:t>Auskunft</w:t>
        <w:tab/>
        <w:t>über</w:t>
        <w:tab/>
        <w:t>alle</w:t>
        <w:tab/>
        <w:t>Angelegenheiten</w:t>
        <w:tab/>
        <w:t>der</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Gesellschaft verlangen.</w:t>
      </w:r>
    </w:p>
    <w:p>
      <w:pPr>
        <w:spacing w:after="0" w:line="21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Ausserhalb der Sitzungen kann jedes Mitglied von den mit der Geschäftsführung betrauten Personen Auskunft über den Geschäftsgang und, mit Ermächtigung des Präsidenten, auch über einzelne Geschäfte verlangen.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587375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29" w:name="page30"/>
    <w:bookmarkEnd w:id="29"/>
    <w:p>
      <w:pPr>
        <w:jc w:val="both"/>
        <w:ind w:right="20"/>
        <w:spacing w:after="0" w:line="242" w:lineRule="auto"/>
        <w:rPr>
          <w:sz w:val="20"/>
          <w:szCs w:val="20"/>
          <w:color w:val="auto"/>
        </w:rPr>
      </w:pPr>
      <w:r>
        <w:rPr>
          <w:rFonts w:ascii="Verdana" w:cs="Verdana" w:eastAsia="Verdana" w:hAnsi="Verdana"/>
          <w:sz w:val="18"/>
          <w:szCs w:val="18"/>
          <w:color w:val="auto"/>
        </w:rPr>
        <w:t>Where required for the performance of his duties, any member may request the Chairman to have books of account and documents made available to him for inspection.</w:t>
      </w:r>
    </w:p>
    <w:p>
      <w:pPr>
        <w:spacing w:after="0" w:line="198"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If the Chairman refuses a request for information, a request to be heard or an application to inspect documents, the Board of Directors rules on the matter.</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28</w:t>
      </w:r>
      <w:r>
        <w:rPr>
          <w:sz w:val="20"/>
          <w:szCs w:val="20"/>
          <w:color w:val="auto"/>
        </w:rPr>
        <w:tab/>
      </w:r>
      <w:r>
        <w:rPr>
          <w:rFonts w:ascii="Verdana" w:cs="Verdana" w:eastAsia="Verdana" w:hAnsi="Verdana"/>
          <w:sz w:val="17"/>
          <w:szCs w:val="17"/>
          <w:b w:val="1"/>
          <w:bCs w:val="1"/>
          <w:color w:val="auto"/>
        </w:rPr>
        <w:t>Compensation Committee</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Compensation Committee shall comprise at least 2 members. The members of the Compensation Committee shall be individually elected by the Ordinary General Meeting from among the members of the Board of Directors for a term of office until the next Ordinary General Meeting. Re-election is permitted. The Compensation Committee has the following duties:</w:t>
      </w:r>
    </w:p>
    <w:p>
      <w:pPr>
        <w:spacing w:after="0" w:line="199" w:lineRule="exact"/>
        <w:rPr>
          <w:sz w:val="20"/>
          <w:szCs w:val="20"/>
          <w:color w:val="auto"/>
        </w:rPr>
      </w:pPr>
    </w:p>
    <w:p>
      <w:pPr>
        <w:jc w:val="both"/>
        <w:ind w:left="380" w:right="20" w:hanging="379"/>
        <w:spacing w:after="0" w:line="242" w:lineRule="auto"/>
        <w:tabs>
          <w:tab w:leader="none" w:pos="380" w:val="left"/>
        </w:tabs>
        <w:numPr>
          <w:ilvl w:val="0"/>
          <w:numId w:val="4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draw up principles for compensation of members of the Board of Directors and the Executive Committee and to submit them to the Board of Directors for approval;</w:t>
      </w:r>
    </w:p>
    <w:p>
      <w:pPr>
        <w:spacing w:after="0" w:line="196" w:lineRule="exact"/>
        <w:rPr>
          <w:rFonts w:ascii="Times New Roman" w:cs="Times New Roman" w:eastAsia="Times New Roman" w:hAnsi="Times New Roman"/>
          <w:sz w:val="18"/>
          <w:szCs w:val="18"/>
          <w:color w:val="auto"/>
        </w:rPr>
      </w:pPr>
    </w:p>
    <w:p>
      <w:pPr>
        <w:jc w:val="both"/>
        <w:ind w:left="380" w:hanging="379"/>
        <w:spacing w:after="0" w:line="241" w:lineRule="auto"/>
        <w:tabs>
          <w:tab w:leader="none" w:pos="380" w:val="left"/>
        </w:tabs>
        <w:numPr>
          <w:ilvl w:val="0"/>
          <w:numId w:val="4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propose to the Board of Directors the resolution to be submitted to the Ordinary General Meeting for the maximum total compensation of the Board of Directors and Executive Committee;</w:t>
      </w:r>
    </w:p>
    <w:p>
      <w:pPr>
        <w:spacing w:after="0" w:line="196" w:lineRule="exact"/>
        <w:rPr>
          <w:rFonts w:ascii="Times New Roman" w:cs="Times New Roman" w:eastAsia="Times New Roman" w:hAnsi="Times New Roman"/>
          <w:sz w:val="18"/>
          <w:szCs w:val="18"/>
          <w:color w:val="auto"/>
        </w:rPr>
      </w:pPr>
    </w:p>
    <w:p>
      <w:pPr>
        <w:jc w:val="both"/>
        <w:ind w:left="380" w:hanging="379"/>
        <w:spacing w:after="0" w:line="239" w:lineRule="auto"/>
        <w:tabs>
          <w:tab w:leader="none" w:pos="380" w:val="left"/>
        </w:tabs>
        <w:numPr>
          <w:ilvl w:val="0"/>
          <w:numId w:val="42"/>
        </w:numPr>
        <w:rPr>
          <w:rFonts w:ascii="Times New Roman" w:cs="Times New Roman" w:eastAsia="Times New Roman" w:hAnsi="Times New Roman"/>
          <w:sz w:val="18"/>
          <w:szCs w:val="18"/>
          <w:color w:val="auto"/>
        </w:rPr>
      </w:pPr>
      <w:r>
        <w:rPr>
          <w:rFonts w:ascii="Verdana" w:cs="Verdana" w:eastAsia="Verdana" w:hAnsi="Verdana"/>
          <w:sz w:val="18"/>
          <w:szCs w:val="18"/>
          <w:color w:val="auto"/>
        </w:rPr>
        <w:t>subject to and within the bounds of the maximum compensation approved by the Ordinary General Meeting, to request approval by the Board of Directors of the individual compensation packages to be paid to members of the Board of Directors and members of the Executive Committee;</w:t>
      </w:r>
    </w:p>
    <w:p>
      <w:pPr>
        <w:spacing w:after="0" w:line="201" w:lineRule="exact"/>
        <w:rPr>
          <w:rFonts w:ascii="Times New Roman" w:cs="Times New Roman" w:eastAsia="Times New Roman" w:hAnsi="Times New Roman"/>
          <w:sz w:val="18"/>
          <w:szCs w:val="18"/>
          <w:color w:val="auto"/>
        </w:rPr>
      </w:pPr>
    </w:p>
    <w:p>
      <w:pPr>
        <w:jc w:val="both"/>
        <w:ind w:left="380" w:right="20" w:hanging="379"/>
        <w:spacing w:after="0" w:line="242" w:lineRule="auto"/>
        <w:tabs>
          <w:tab w:leader="none" w:pos="380" w:val="left"/>
        </w:tabs>
        <w:numPr>
          <w:ilvl w:val="0"/>
          <w:numId w:val="4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request approval by the Board of Directors regarding the determination of the compensation-related targets for the Executive Committee;</w:t>
      </w:r>
    </w:p>
    <w:p>
      <w:pPr>
        <w:spacing w:after="0" w:line="196" w:lineRule="exact"/>
        <w:rPr>
          <w:rFonts w:ascii="Times New Roman" w:cs="Times New Roman" w:eastAsia="Times New Roman" w:hAnsi="Times New Roman"/>
          <w:sz w:val="18"/>
          <w:szCs w:val="18"/>
          <w:color w:val="auto"/>
        </w:rPr>
      </w:pPr>
    </w:p>
    <w:p>
      <w:pPr>
        <w:jc w:val="both"/>
        <w:ind w:left="380" w:hanging="379"/>
        <w:spacing w:after="0" w:line="245" w:lineRule="auto"/>
        <w:tabs>
          <w:tab w:leader="none" w:pos="380" w:val="left"/>
        </w:tabs>
        <w:numPr>
          <w:ilvl w:val="0"/>
          <w:numId w:val="4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request approval by the Board of Directors regarding the adjustments to the Articles of Association relating to compensation; and</w:t>
      </w:r>
    </w:p>
    <w:p>
      <w:pPr>
        <w:spacing w:after="0" w:line="192"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42"/>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prepare the Compensation Report and</w:t>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Verdana" w:cs="Verdana" w:eastAsia="Verdana" w:hAnsi="Verdana"/>
          <w:sz w:val="18"/>
          <w:szCs w:val="18"/>
          <w:color w:val="auto"/>
        </w:rPr>
        <w:t>Soweit es für die Erfüllung einer Aufgabe erforderlich ist, kann jedes Mitglied dem Präsidenten beantragen, dass ihm Bücher und Akten vorgelegt werden.</w:t>
      </w:r>
    </w:p>
    <w:p>
      <w:pPr>
        <w:spacing w:after="0" w:line="19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Weist der Präsident ein Gesuch auf Auskunft, Anhörung oder Einsicht ab, so entscheidet der Verwaltungsrat.</w:t>
      </w:r>
    </w:p>
    <w:p>
      <w:pPr>
        <w:spacing w:after="0" w:line="200" w:lineRule="exact"/>
        <w:rPr>
          <w:sz w:val="20"/>
          <w:szCs w:val="20"/>
          <w:color w:val="auto"/>
        </w:rPr>
      </w:pPr>
    </w:p>
    <w:p>
      <w:pPr>
        <w:spacing w:after="0" w:line="210"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28</w:t>
      </w:r>
      <w:r>
        <w:rPr>
          <w:sz w:val="20"/>
          <w:szCs w:val="20"/>
          <w:color w:val="auto"/>
        </w:rPr>
        <w:tab/>
      </w:r>
      <w:r>
        <w:rPr>
          <w:rFonts w:ascii="Verdana" w:cs="Verdana" w:eastAsia="Verdana" w:hAnsi="Verdana"/>
          <w:sz w:val="17"/>
          <w:szCs w:val="17"/>
          <w:b w:val="1"/>
          <w:bCs w:val="1"/>
          <w:color w:val="auto"/>
        </w:rPr>
        <w:t>Vergütungsausschuss</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Der Vergütungsausschuss umfasst mindestens 2</w:t>
      </w:r>
    </w:p>
    <w:p>
      <w:pPr>
        <w:jc w:val="both"/>
        <w:spacing w:after="0" w:line="250" w:lineRule="auto"/>
        <w:rPr>
          <w:sz w:val="20"/>
          <w:szCs w:val="20"/>
          <w:color w:val="auto"/>
        </w:rPr>
      </w:pPr>
      <w:r>
        <w:rPr>
          <w:rFonts w:ascii="Verdana" w:cs="Verdana" w:eastAsia="Verdana" w:hAnsi="Verdana"/>
          <w:sz w:val="17"/>
          <w:szCs w:val="17"/>
          <w:color w:val="auto"/>
        </w:rPr>
        <w:t>Mitglieder. Die Mitglieder des Vergütungsausschusses werden jährlich von der ordentlichen Generalversammlung aus den Mitgliedern des Verwaltungsrats für die Amtsdauer</w:t>
      </w:r>
    </w:p>
    <w:p>
      <w:pPr>
        <w:spacing w:after="0" w:line="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bis zur nächsten ordentlichen Generalversammlung einzeln gewählt. Wiederwahl ist zulässig. Der Vergütungsausschuss hat folgende Aufgaben:</w:t>
      </w:r>
    </w:p>
    <w:p>
      <w:pPr>
        <w:spacing w:after="0" w:line="198" w:lineRule="exact"/>
        <w:rPr>
          <w:sz w:val="20"/>
          <w:szCs w:val="20"/>
          <w:color w:val="auto"/>
        </w:rPr>
      </w:pPr>
    </w:p>
    <w:p>
      <w:pPr>
        <w:jc w:val="both"/>
        <w:ind w:left="440" w:hanging="431"/>
        <w:spacing w:after="0" w:line="242" w:lineRule="auto"/>
        <w:tabs>
          <w:tab w:leader="none" w:pos="440" w:val="left"/>
        </w:tabs>
        <w:numPr>
          <w:ilvl w:val="0"/>
          <w:numId w:val="43"/>
        </w:numPr>
        <w:rPr>
          <w:rFonts w:ascii="Times New Roman" w:cs="Times New Roman" w:eastAsia="Times New Roman" w:hAnsi="Times New Roman"/>
          <w:sz w:val="18"/>
          <w:szCs w:val="18"/>
          <w:color w:val="auto"/>
        </w:rPr>
      </w:pPr>
      <w:r>
        <w:rPr>
          <w:rFonts w:ascii="Verdana" w:cs="Verdana" w:eastAsia="Verdana" w:hAnsi="Verdana"/>
          <w:sz w:val="18"/>
          <w:szCs w:val="18"/>
          <w:color w:val="auto"/>
        </w:rPr>
        <w:t>Ausarbeiten der Grundsätze betreffend Vergütung an den Verwaltungsrat und an die Geschäftsleitung und Vorlegen derselben zur Genehmigung durch den Verwaltungsrat;</w:t>
      </w:r>
    </w:p>
    <w:p>
      <w:pPr>
        <w:spacing w:after="0" w:line="196" w:lineRule="exact"/>
        <w:rPr>
          <w:rFonts w:ascii="Times New Roman" w:cs="Times New Roman" w:eastAsia="Times New Roman" w:hAnsi="Times New Roman"/>
          <w:sz w:val="18"/>
          <w:szCs w:val="18"/>
          <w:color w:val="auto"/>
        </w:rPr>
      </w:pPr>
    </w:p>
    <w:p>
      <w:pPr>
        <w:jc w:val="both"/>
        <w:ind w:left="440" w:hanging="431"/>
        <w:spacing w:after="0" w:line="236" w:lineRule="auto"/>
        <w:tabs>
          <w:tab w:leader="none" w:pos="440" w:val="left"/>
        </w:tabs>
        <w:numPr>
          <w:ilvl w:val="0"/>
          <w:numId w:val="43"/>
        </w:numPr>
        <w:rPr>
          <w:rFonts w:ascii="Times New Roman" w:cs="Times New Roman" w:eastAsia="Times New Roman" w:hAnsi="Times New Roman"/>
          <w:sz w:val="18"/>
          <w:szCs w:val="18"/>
          <w:color w:val="auto"/>
        </w:rPr>
      </w:pPr>
      <w:r>
        <w:rPr>
          <w:rFonts w:ascii="Verdana" w:cs="Verdana" w:eastAsia="Verdana" w:hAnsi="Verdana"/>
          <w:sz w:val="18"/>
          <w:szCs w:val="18"/>
          <w:color w:val="auto"/>
        </w:rPr>
        <w:t>Antragstellung an den Verwaltungsrat zur Unterbreitung an die Generalversammlung</w:t>
      </w:r>
    </w:p>
    <w:p>
      <w:pPr>
        <w:ind w:left="440"/>
        <w:spacing w:after="0" w:line="254"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betreffend Gesamtvergütung des Verwaltungsrats und der Geschäftsleitung;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jc w:val="both"/>
        <w:ind w:left="440" w:hanging="431"/>
        <w:spacing w:after="0" w:line="241" w:lineRule="auto"/>
        <w:tabs>
          <w:tab w:leader="none" w:pos="440" w:val="left"/>
        </w:tabs>
        <w:numPr>
          <w:ilvl w:val="0"/>
          <w:numId w:val="43"/>
        </w:numPr>
        <w:rPr>
          <w:rFonts w:ascii="Times New Roman" w:cs="Times New Roman" w:eastAsia="Times New Roman" w:hAnsi="Times New Roman"/>
          <w:sz w:val="18"/>
          <w:szCs w:val="18"/>
          <w:color w:val="auto"/>
        </w:rPr>
      </w:pPr>
      <w:r>
        <w:rPr>
          <w:rFonts w:ascii="Verdana" w:cs="Verdana" w:eastAsia="Verdana" w:hAnsi="Verdana"/>
          <w:sz w:val="18"/>
          <w:szCs w:val="18"/>
          <w:color w:val="auto"/>
        </w:rPr>
        <w:t>Antragstellung an den Verwaltungsrat betreffend individuelle Vergütung der Verwaltungsratsmitglieder und der Mitglieder der Geschäftsleitung unter Vorbehalt und im Rahmen der Höhe der Gesamtvergütung;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left="440" w:hanging="431"/>
        <w:spacing w:after="0" w:line="245" w:lineRule="auto"/>
        <w:tabs>
          <w:tab w:leader="none" w:pos="440" w:val="left"/>
        </w:tabs>
        <w:numPr>
          <w:ilvl w:val="0"/>
          <w:numId w:val="43"/>
        </w:numPr>
        <w:rPr>
          <w:rFonts w:ascii="Times New Roman" w:cs="Times New Roman" w:eastAsia="Times New Roman" w:hAnsi="Times New Roman"/>
          <w:sz w:val="18"/>
          <w:szCs w:val="18"/>
          <w:color w:val="auto"/>
        </w:rPr>
      </w:pPr>
      <w:r>
        <w:rPr>
          <w:rFonts w:ascii="Verdana" w:cs="Verdana" w:eastAsia="Verdana" w:hAnsi="Verdana"/>
          <w:sz w:val="18"/>
          <w:szCs w:val="18"/>
          <w:color w:val="auto"/>
        </w:rPr>
        <w:t>Antragstellung an den Verwaltungsrat hinsichtlich der für die Geschäftsleitung vergütungsrelevanten Ziele;</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both"/>
        <w:ind w:left="440" w:hanging="431"/>
        <w:spacing w:after="0" w:line="245" w:lineRule="auto"/>
        <w:tabs>
          <w:tab w:leader="none" w:pos="440" w:val="left"/>
        </w:tabs>
        <w:numPr>
          <w:ilvl w:val="0"/>
          <w:numId w:val="43"/>
        </w:numPr>
        <w:rPr>
          <w:rFonts w:ascii="Times New Roman" w:cs="Times New Roman" w:eastAsia="Times New Roman" w:hAnsi="Times New Roman"/>
          <w:sz w:val="18"/>
          <w:szCs w:val="18"/>
          <w:color w:val="auto"/>
        </w:rPr>
      </w:pPr>
      <w:r>
        <w:rPr>
          <w:rFonts w:ascii="Verdana" w:cs="Verdana" w:eastAsia="Verdana" w:hAnsi="Verdana"/>
          <w:sz w:val="18"/>
          <w:szCs w:val="18"/>
          <w:color w:val="auto"/>
        </w:rPr>
        <w:t>Antragstellung an den Verwaltungsrat betreffend Anpassung der Statuten hinsichtlich des Vergütungssystems; und</w:t>
      </w:r>
    </w:p>
    <w:p>
      <w:pPr>
        <w:spacing w:after="0" w:line="192" w:lineRule="exact"/>
        <w:rPr>
          <w:rFonts w:ascii="Times New Roman" w:cs="Times New Roman" w:eastAsia="Times New Roman" w:hAnsi="Times New Roman"/>
          <w:sz w:val="18"/>
          <w:szCs w:val="18"/>
          <w:color w:val="auto"/>
        </w:rPr>
      </w:pPr>
    </w:p>
    <w:p>
      <w:pPr>
        <w:ind w:left="440" w:hanging="431"/>
        <w:spacing w:after="0"/>
        <w:tabs>
          <w:tab w:leader="none" w:pos="440" w:val="left"/>
        </w:tabs>
        <w:numPr>
          <w:ilvl w:val="0"/>
          <w:numId w:val="43"/>
        </w:numPr>
        <w:rPr>
          <w:rFonts w:ascii="Times New Roman" w:cs="Times New Roman" w:eastAsia="Times New Roman" w:hAnsi="Times New Roman"/>
          <w:sz w:val="18"/>
          <w:szCs w:val="18"/>
          <w:color w:val="auto"/>
        </w:rPr>
      </w:pPr>
      <w:r>
        <w:rPr>
          <w:rFonts w:ascii="Verdana" w:cs="Verdana" w:eastAsia="Verdana" w:hAnsi="Verdana"/>
          <w:sz w:val="18"/>
          <w:szCs w:val="18"/>
          <w:color w:val="auto"/>
        </w:rPr>
        <w:t>Entwurf des Vergütungsberichts 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459740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30" w:name="page31"/>
    <w:bookmarkEnd w:id="30"/>
    <w:p>
      <w:pPr>
        <w:ind w:left="440"/>
        <w:spacing w:after="0"/>
        <w:rPr>
          <w:sz w:val="20"/>
          <w:szCs w:val="20"/>
          <w:color w:val="auto"/>
        </w:rPr>
      </w:pPr>
      <w:r>
        <w:rPr>
          <w:rFonts w:ascii="Verdana" w:cs="Verdana" w:eastAsia="Verdana" w:hAnsi="Verdana"/>
          <w:sz w:val="18"/>
          <w:szCs w:val="18"/>
          <w:color w:val="auto"/>
        </w:rPr>
        <w:t>submit it to the Board of Directors</w:t>
      </w:r>
    </w:p>
    <w:p>
      <w:pPr>
        <w:spacing w:after="0" w:line="32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Board of Directors shall set out any further duties and responsibilities vested on the Compensation Committee in the Company's organizational regulations.</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29</w:t>
        <w:tab/>
        <w:t>Indemnification</w:t>
      </w:r>
    </w:p>
    <w:p>
      <w:pPr>
        <w:spacing w:after="0" w:line="213"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As far as is permissible under applicable law, the Company shall indemnify any current or former member of the Board of Directors, former members of the Executive Committee, or any person who is serving or has served at the request of the Company as a member of the Board of Directors or member of the Executive Committee (each individually, a "Covered Person"), against any expenses, including attorneys' fees, judgments, fines, and amounts paid in settlement actually and reasonably incurred by him or her in connection with any threatened, pending, or completed actions, suits or proceedings, whether civil, criminal or administrative, to which he or she was, is, or is threatened to be made a party, or is otherwise involved (a "Proceeding"). This provision shall not indemnify any Covered Person against any liability arising out of (a) any fraud or dishonesty in the performance of such Covered Person's duty to the Company, or (b) such Covered Party's conscious, intentional or willful or grossly negligent breach of the obligation to act honestly and in good faith with a view to the best interests of the Company. Notwithstanding the preceding sentence, this section shall not extend to any person holding the office of auditor or special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the case of any Proceeding by or in the name of the Company, the Company shall indemnify each Covered Person against expenses, including attorneys' fees, actually and reasonably incurred in connection with the defense or settlement thereof, except no indemnification shall be made in respect of any claim, issue or matter as to which a Covered Person shall have been adjudged to be</w:t>
      </w:r>
    </w:p>
    <w:p>
      <w:pPr>
        <w:spacing w:after="0" w:line="20" w:lineRule="exact"/>
        <w:rPr>
          <w:sz w:val="20"/>
          <w:szCs w:val="20"/>
          <w:color w:val="auto"/>
        </w:rPr>
      </w:pPr>
      <w:r>
        <w:rPr>
          <w:sz w:val="20"/>
          <w:szCs w:val="20"/>
          <w:color w:val="auto"/>
        </w:rPr>
        <w:br w:type="column"/>
      </w:r>
    </w:p>
    <w:p>
      <w:pPr>
        <w:ind w:left="440"/>
        <w:spacing w:after="0" w:line="254" w:lineRule="auto"/>
        <w:rPr>
          <w:sz w:val="20"/>
          <w:szCs w:val="20"/>
          <w:color w:val="auto"/>
        </w:rPr>
      </w:pPr>
      <w:r>
        <w:rPr>
          <w:rFonts w:ascii="Verdana" w:cs="Verdana" w:eastAsia="Verdana" w:hAnsi="Verdana"/>
          <w:sz w:val="18"/>
          <w:szCs w:val="18"/>
          <w:color w:val="auto"/>
        </w:rPr>
        <w:t>Unterbreitung des Vergütungsberichts an den Verwaltungsrat.</w:t>
      </w:r>
    </w:p>
    <w:p>
      <w:pPr>
        <w:spacing w:after="0" w:line="74" w:lineRule="exact"/>
        <w:rPr>
          <w:sz w:val="20"/>
          <w:szCs w:val="20"/>
          <w:color w:val="auto"/>
        </w:rPr>
      </w:pPr>
    </w:p>
    <w:p>
      <w:pPr>
        <w:spacing w:after="0"/>
        <w:rPr>
          <w:sz w:val="20"/>
          <w:szCs w:val="20"/>
          <w:color w:val="auto"/>
        </w:rPr>
      </w:pPr>
      <w:r>
        <w:rPr>
          <w:rFonts w:ascii="Verdana" w:cs="Verdana" w:eastAsia="Verdana" w:hAnsi="Verdana"/>
          <w:sz w:val="18"/>
          <w:szCs w:val="18"/>
          <w:color w:val="auto"/>
        </w:rPr>
        <w:t>Der Verwaltungsrat kann weitere Aufgaben und</w:t>
      </w:r>
    </w:p>
    <w:p>
      <w:pPr>
        <w:spacing w:after="0" w:line="236" w:lineRule="auto"/>
        <w:rPr>
          <w:sz w:val="20"/>
          <w:szCs w:val="20"/>
          <w:color w:val="auto"/>
        </w:rPr>
      </w:pPr>
      <w:r>
        <w:rPr>
          <w:rFonts w:ascii="Verdana" w:cs="Verdana" w:eastAsia="Verdana" w:hAnsi="Verdana"/>
          <w:sz w:val="18"/>
          <w:szCs w:val="18"/>
          <w:color w:val="auto"/>
        </w:rPr>
        <w:t>Zuständigkeiten  des  Vergütungsausschusses  im</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Organisationsreglement vorsehen.</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29</w:t>
      </w:r>
      <w:r>
        <w:rPr>
          <w:sz w:val="20"/>
          <w:szCs w:val="20"/>
          <w:color w:val="auto"/>
        </w:rPr>
        <w:tab/>
      </w:r>
      <w:r>
        <w:rPr>
          <w:rFonts w:ascii="Verdana" w:cs="Verdana" w:eastAsia="Verdana" w:hAnsi="Verdana"/>
          <w:sz w:val="17"/>
          <w:szCs w:val="17"/>
          <w:b w:val="1"/>
          <w:bCs w:val="1"/>
          <w:color w:val="auto"/>
        </w:rPr>
        <w:t>Schadloshaltung</w:t>
      </w:r>
    </w:p>
    <w:p>
      <w:pPr>
        <w:spacing w:after="0" w:line="21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Soweit gemäss anwendbarem Recht zulässig, wird die Gesellschaft jegliche aktuellen oder ehemaligen Verwaltungsratsmitglieder, ehemalige Geschäftsleitungsmitglieder, oder jede Person, die</w:t>
      </w:r>
    </w:p>
    <w:p>
      <w:pPr>
        <w:spacing w:after="0" w:line="1" w:lineRule="exact"/>
        <w:rPr>
          <w:sz w:val="20"/>
          <w:szCs w:val="20"/>
          <w:color w:val="auto"/>
        </w:rPr>
      </w:pPr>
    </w:p>
    <w:p>
      <w:pPr>
        <w:spacing w:after="0"/>
        <w:tabs>
          <w:tab w:leader="none" w:pos="980" w:val="left"/>
          <w:tab w:leader="none" w:pos="2500" w:val="left"/>
          <w:tab w:leader="none" w:pos="3480" w:val="left"/>
        </w:tabs>
        <w:rPr>
          <w:sz w:val="20"/>
          <w:szCs w:val="20"/>
          <w:color w:val="auto"/>
        </w:rPr>
      </w:pPr>
      <w:r>
        <w:rPr>
          <w:rFonts w:ascii="Verdana" w:cs="Verdana" w:eastAsia="Verdana" w:hAnsi="Verdana"/>
          <w:sz w:val="18"/>
          <w:szCs w:val="18"/>
          <w:color w:val="auto"/>
        </w:rPr>
        <w:t>auf</w:t>
      </w:r>
      <w:r>
        <w:rPr>
          <w:sz w:val="20"/>
          <w:szCs w:val="20"/>
          <w:color w:val="auto"/>
        </w:rPr>
        <w:tab/>
      </w:r>
      <w:r>
        <w:rPr>
          <w:rFonts w:ascii="Verdana" w:cs="Verdana" w:eastAsia="Verdana" w:hAnsi="Verdana"/>
          <w:sz w:val="18"/>
          <w:szCs w:val="18"/>
          <w:color w:val="auto"/>
        </w:rPr>
        <w:t>Ersuchen</w:t>
      </w:r>
      <w:r>
        <w:rPr>
          <w:sz w:val="20"/>
          <w:szCs w:val="20"/>
          <w:color w:val="auto"/>
        </w:rPr>
        <w:tab/>
      </w:r>
      <w:r>
        <w:rPr>
          <w:rFonts w:ascii="Verdana" w:cs="Verdana" w:eastAsia="Verdana" w:hAnsi="Verdana"/>
          <w:sz w:val="18"/>
          <w:szCs w:val="18"/>
          <w:color w:val="auto"/>
        </w:rPr>
        <w:t>der</w:t>
      </w:r>
      <w:r>
        <w:rPr>
          <w:sz w:val="20"/>
          <w:szCs w:val="20"/>
          <w:color w:val="auto"/>
        </w:rPr>
        <w:tab/>
      </w:r>
      <w:r>
        <w:rPr>
          <w:rFonts w:ascii="Verdana" w:cs="Verdana" w:eastAsia="Verdana" w:hAnsi="Verdana"/>
          <w:sz w:val="18"/>
          <w:szCs w:val="18"/>
          <w:color w:val="auto"/>
        </w:rPr>
        <w:t>Gesellschaft</w:t>
      </w:r>
    </w:p>
    <w:p>
      <w:pPr>
        <w:jc w:val="both"/>
        <w:spacing w:after="0" w:line="237" w:lineRule="auto"/>
        <w:rPr>
          <w:sz w:val="20"/>
          <w:szCs w:val="20"/>
          <w:color w:val="auto"/>
        </w:rPr>
      </w:pPr>
      <w:r>
        <w:rPr>
          <w:rFonts w:ascii="Verdana" w:cs="Verdana" w:eastAsia="Verdana" w:hAnsi="Verdana"/>
          <w:sz w:val="18"/>
          <w:szCs w:val="18"/>
          <w:color w:val="auto"/>
        </w:rPr>
        <w:t>Verwaltungsratsmitglied oder Geschäftsleitungsmitglied ist oder war (jede einzeln eine "versicherte Person"), gegen alle Kosten, einschliesslich Anwaltsgebühren, Urteile, Bussen und Ausgleichszahlungen, die tatsächlich und angemessenerweise durch diese Person zu tragen waren, entschädigen, die im Zusammenhang mit angedrohten, anhängig gemachten oder abgeschlossenen Klagen, Prozesse oder Verfahren, seien diese zivil-, straf-oder administrativrechtlicher Art, bei welchen die versicherte Person Partei war, ist oder es zu werden droht oder sonst wie beteiligt ist (ein "Verfahren"), entstanden sind. Diese Bestimmung hält die versicherte Person nicht schadlos gegen jegliche Haftung, die aufgrund (a) von Betrug oder Unehrlichkeit im Rahmen der Leistung der versicherten Person bei der Erfüllung einer Pflicht gegenüber der Gesellschaft, oder (b) eines bewussten, absichtlichen oder vorsätzlichen oder grob fahrlässigen Verstosses gegen die Verpflichtung der versicherten Person, ehrlich und in gutem Glauben im Hinblick auf die besten Interessen der Gesellschaft zu handeln, entstanden ist. Ungeachtet des vorstehenden Satzes, ist dieser Absatz nicht anwendbar für Revisoren oder Sonderrevisoren der Gesellschaft.</w:t>
      </w:r>
    </w:p>
    <w:p>
      <w:pPr>
        <w:spacing w:after="0" w:line="21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Im Falle eines Verfahrens, durch die oder im Namen der Gesellschaft, wird die Gesellschaft jeder versicherten Personen Aufwendungen, einschliesslich Anwaltskosten, die tatsächlich und angemessenerweise im Zusammenhang mit der Verteidigung oder Beilegung desselben entstanden sind, mit der Ausnahme, dass keine Entschädigung gewährt werden soll in Bezug auf eine Forderung,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382905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31" w:name="page32"/>
    <w:bookmarkEnd w:id="31"/>
    <w:p>
      <w:pPr>
        <w:jc w:val="both"/>
        <w:ind w:right="20"/>
        <w:spacing w:after="0" w:line="238" w:lineRule="auto"/>
        <w:rPr>
          <w:sz w:val="20"/>
          <w:szCs w:val="20"/>
          <w:color w:val="auto"/>
        </w:rPr>
      </w:pPr>
      <w:r>
        <w:rPr>
          <w:rFonts w:ascii="Verdana" w:cs="Verdana" w:eastAsia="Verdana" w:hAnsi="Verdana"/>
          <w:sz w:val="18"/>
          <w:szCs w:val="18"/>
          <w:color w:val="auto"/>
        </w:rPr>
        <w:t>liable for fraud or dishonesty in the performance of his or her duty to the Company, or for conscious, intentional or willful or grossly negligent breach of his or her obligation to act honestly and in good faith with a view to the best interests of the Company, unless and only to the extent that a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person holding the office of auditor or special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Any indemnification under this Article 29 (unless ordered by a court) shall be made by the Company only as authorized in the specific case upon a determination that indemnification of the Covered Person is proper in the circumstances because such person has met the applicable Standard of conduct set forth in this Article 29. Such determination shall be made, with respect to a Covered Person (a) by a majority vote of the members of the Board of Directors who are not parties to such proceeding, even though less than a quorum; (b) by a committee of such members of the Board of Directors designated by a majority vote of such the Board of Directors, even though less than a quorum; (c) if there are no such member of the Board of Directors, or if such member of the Board of Directors so direct, by independent legal counsel in a written opinion; or (d) by the General Meeting . Such determination shall be made, with respect to any other Covered Person, by any person or persons having the authority to act on the matter on behalf of the Company.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-1573530</wp:posOffset>
            </wp:positionV>
            <wp:extent cx="6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Verdana" w:cs="Verdana" w:eastAsia="Verdana" w:hAnsi="Verdana"/>
          <w:sz w:val="18"/>
          <w:szCs w:val="18"/>
          <w:color w:val="auto"/>
        </w:rPr>
        <w:t>ein Problem oder eine Angelegenheit, bei welcher sich eine versicherte Person die Haftung aufgrund von Betrug oder Unehrlichkeit im Rahmen der Leistung der versicherten Person bei der Erfüllung einer Pflicht gegenüber der Gesellschaft, oder für die bewusste, absichtliche oder vorsätzliche oder grob zu sein fahrlässige Verletzung seiner Pflichten, ehrlich und in gutem Glauben im Hinblick auf die im besten Interesse der Gesellschaft zu handeln, anrechnen lassen muss, es sei denn, und nur in dem Masse, als ein Gericht, bei dem eine solche Klage oder Maßnahme anhängig gemacht wurde, auf Antrag feststellt, dass trotz der Zurechnung der Haftung, aber in Anbetracht aller Umstände des Einzelfalls, die versicherte Person gerechter- und vernünftigerweise Anspruch auf Schadloshaltung hat, in einem Masse, als es das Gericht für angemessen hält. Ungeachtet des vorstehenden Satzes ist dieser Absatz nicht anwendbar für Revisoren oder Sonderrevisoren der Gesellschaft.</w:t>
      </w:r>
    </w:p>
    <w:p>
      <w:pPr>
        <w:spacing w:after="0" w:line="215"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Jegliche Schadloshaltung gemäss diesem Artikel 29 (ausser bei gerichtlicher Anordnung) wird von der Gesellschaft im Einzelfall nur aufgrund einer Genehmigung entrichtet, aufgrund eines Beschlusses, wonach die Schadloshaltung der versicherten Person in Anbetracht der Umstände angemessen ist, weil die versicherte Person den anzuwendenden Verhaltensmassstab gemäss diesem Artikel 29 erfüllt hat. Eine solcher Beschluss betreffend die versicherte Person wird getroffen durch (a) einen Mehrheitsbeschluss des Verwaltungsrast, die nicht Partei eines solchen Verfahrens sind, auch wenn das Quorum nicht erreicht wird; (b) von einem durch</w:t>
      </w:r>
    </w:p>
    <w:p>
      <w:pPr>
        <w:spacing w:after="0" w:line="10" w:lineRule="exact"/>
        <w:rPr>
          <w:sz w:val="20"/>
          <w:szCs w:val="20"/>
          <w:color w:val="auto"/>
        </w:rPr>
      </w:pPr>
    </w:p>
    <w:p>
      <w:pPr>
        <w:spacing w:after="0"/>
        <w:tabs>
          <w:tab w:leader="none" w:pos="2280" w:val="left"/>
          <w:tab w:leader="none" w:pos="3120" w:val="left"/>
        </w:tabs>
        <w:rPr>
          <w:sz w:val="20"/>
          <w:szCs w:val="20"/>
          <w:color w:val="auto"/>
        </w:rPr>
      </w:pPr>
      <w:r>
        <w:rPr>
          <w:rFonts w:ascii="Verdana" w:cs="Verdana" w:eastAsia="Verdana" w:hAnsi="Verdana"/>
          <w:sz w:val="18"/>
          <w:szCs w:val="18"/>
          <w:color w:val="auto"/>
        </w:rPr>
        <w:t>Mehrheitsbeschluss</w:t>
      </w:r>
      <w:r>
        <w:rPr>
          <w:sz w:val="20"/>
          <w:szCs w:val="20"/>
          <w:color w:val="auto"/>
        </w:rPr>
        <w:tab/>
      </w:r>
      <w:r>
        <w:rPr>
          <w:rFonts w:ascii="Verdana" w:cs="Verdana" w:eastAsia="Verdana" w:hAnsi="Verdana"/>
          <w:sz w:val="18"/>
          <w:szCs w:val="18"/>
          <w:color w:val="auto"/>
        </w:rPr>
        <w:t>des</w:t>
      </w:r>
      <w:r>
        <w:rPr>
          <w:sz w:val="20"/>
          <w:szCs w:val="20"/>
          <w:color w:val="auto"/>
        </w:rPr>
        <w:tab/>
      </w:r>
      <w:r>
        <w:rPr>
          <w:rFonts w:ascii="Verdana" w:cs="Verdana" w:eastAsia="Verdana" w:hAnsi="Verdana"/>
          <w:sz w:val="17"/>
          <w:szCs w:val="17"/>
          <w:color w:val="auto"/>
        </w:rPr>
        <w:t>Verwaltungsrats</w:t>
      </w:r>
    </w:p>
    <w:p>
      <w:pPr>
        <w:jc w:val="both"/>
        <w:spacing w:after="0" w:line="238" w:lineRule="auto"/>
        <w:rPr>
          <w:sz w:val="20"/>
          <w:szCs w:val="20"/>
          <w:color w:val="auto"/>
        </w:rPr>
      </w:pPr>
      <w:r>
        <w:rPr>
          <w:rFonts w:ascii="Verdana" w:cs="Verdana" w:eastAsia="Verdana" w:hAnsi="Verdana"/>
          <w:sz w:val="18"/>
          <w:szCs w:val="18"/>
          <w:color w:val="auto"/>
        </w:rPr>
        <w:t>bestimmten Ausschusses dieser Verwaltungsratsmitglieder, auch wenn das Quorum nicht erreicht wird; (c) wenn es keine solche Verwaltungsratsmitglieder gibt oder wenn diese Verwaltungsratsmitglieder es schriftlich durch einen unabhängigen Rechtskonsulenten entsprechend anordnen; oder (d) durch die Generalversammlung. Ein solcher Beschluss wird gemacht, betreffend jede andere versicherte Person, von jeder Person oder Personen, die die Befugnis haben, im Namen der Gesellschaft in der Angelegenheit zu handeln. Mit der Ausnahme jedoch, dass jede versicherte Person, die in der Sache selbst oder auf andere Weise bei der Abwehr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384810</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32" w:name="page33"/>
    <w:bookmarkEnd w:id="32"/>
    <w:p>
      <w:pPr>
        <w:jc w:val="both"/>
        <w:ind w:right="20"/>
        <w:spacing w:after="0" w:line="254" w:lineRule="auto"/>
        <w:rPr>
          <w:sz w:val="20"/>
          <w:szCs w:val="20"/>
          <w:color w:val="auto"/>
        </w:rPr>
      </w:pPr>
      <w:r>
        <w:rPr>
          <w:rFonts w:ascii="Verdana" w:cs="Verdana" w:eastAsia="Verdana" w:hAnsi="Verdana"/>
          <w:sz w:val="18"/>
          <w:szCs w:val="18"/>
          <w:color w:val="auto"/>
        </w:rPr>
        <w:t>therewith, without the necessity of authorization in the specific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As far as is permissible under applicable law, expenses, including attorneys' fees, incurred in defending any proceeding for which indemnification is permitted pursuant to this Article 29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these Articles of Association.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It being the policy of the Company that indemnification of the persons specified in this Article 29 shall be made to the fullest extent permitted by law and the indemnification provided by this Article 29 shall not be deemed exclusive (a) of any other rights to which those seeking indemnification or advancement of expenses may be entitled under these Articles of Association, any agreement, any insurance purchased by the Company, vote of shareholders or disinterested members of the Board of Directors, or pursuant to the decision of any court of competent jurisdiction, or otherwise, both as to action in his or her official capacity and as to action in another capacity while holding such office, or (b) of the power of the Company to indemnify any person who is or was an employee or agent of the Company or of another corporation, joint venture, trust or other enterprise which he or she is serving or has served at the request of the Company, to the same extent and in the same situations and subject to the same determinations as are hereinabove set forth with respect to a Covered Person.</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Verdana" w:cs="Verdana" w:eastAsia="Verdana" w:hAnsi="Verdana"/>
          <w:sz w:val="18"/>
          <w:szCs w:val="18"/>
          <w:color w:val="auto"/>
        </w:rPr>
        <w:t>eines Verfahrens oder der Abwehr von Ansprüchen, Problemen oder einer damit verbundenen Angelegenheit erfolgreich gewesen ist, für tatsächliche und angemessenerweise damit verbundene Aufwendungen (einschliesslich Anwaltskosten) entschädigt wird, ohne dass es einer Genehmigung im Einzelfall bedarf.</w:t>
      </w:r>
    </w:p>
    <w:p>
      <w:pPr>
        <w:spacing w:after="0" w:line="200" w:lineRule="exact"/>
        <w:rPr>
          <w:sz w:val="20"/>
          <w:szCs w:val="20"/>
          <w:color w:val="auto"/>
        </w:rPr>
      </w:pPr>
    </w:p>
    <w:p>
      <w:pPr>
        <w:spacing w:after="0"/>
        <w:tabs>
          <w:tab w:leader="none" w:pos="780" w:val="left"/>
          <w:tab w:leader="none" w:pos="1640" w:val="left"/>
          <w:tab w:leader="none" w:pos="3120" w:val="left"/>
          <w:tab w:leader="none" w:pos="3800" w:val="left"/>
        </w:tabs>
        <w:rPr>
          <w:sz w:val="20"/>
          <w:szCs w:val="20"/>
          <w:color w:val="auto"/>
        </w:rPr>
      </w:pPr>
      <w:r>
        <w:rPr>
          <w:rFonts w:ascii="Verdana" w:cs="Verdana" w:eastAsia="Verdana" w:hAnsi="Verdana"/>
          <w:sz w:val="18"/>
          <w:szCs w:val="18"/>
          <w:color w:val="auto"/>
        </w:rPr>
        <w:t>Soweit</w:t>
        <w:tab/>
        <w:t>gemäss</w:t>
        <w:tab/>
        <w:t>anwendbarem</w:t>
        <w:tab/>
        <w:t>Recht</w:t>
      </w:r>
      <w:r>
        <w:rPr>
          <w:sz w:val="20"/>
          <w:szCs w:val="20"/>
          <w:color w:val="auto"/>
        </w:rPr>
        <w:tab/>
      </w:r>
      <w:r>
        <w:rPr>
          <w:rFonts w:ascii="Verdana" w:cs="Verdana" w:eastAsia="Verdana" w:hAnsi="Verdana"/>
          <w:sz w:val="17"/>
          <w:szCs w:val="17"/>
          <w:color w:val="auto"/>
        </w:rPr>
        <w:t>zulässig,</w:t>
      </w:r>
    </w:p>
    <w:p>
      <w:pPr>
        <w:jc w:val="both"/>
        <w:spacing w:after="0" w:line="236" w:lineRule="auto"/>
        <w:rPr>
          <w:sz w:val="20"/>
          <w:szCs w:val="20"/>
          <w:color w:val="auto"/>
        </w:rPr>
      </w:pPr>
      <w:r>
        <w:rPr>
          <w:rFonts w:ascii="Verdana" w:cs="Verdana" w:eastAsia="Verdana" w:hAnsi="Verdana"/>
          <w:sz w:val="18"/>
          <w:szCs w:val="18"/>
          <w:color w:val="auto"/>
        </w:rPr>
        <w:t>werden Aufwendungen, einschliesslich Anwaltskosten, die im Rahmen der Verteidigung bei jeglichen Verfahren anfallen, für welche eine Schadloshaltung aufgrund dieses Artikels 29 zulässig ist, von der Gesellschaft vor der endgültigen Entscheidung eines solchen Verfahrens bezahlt gegen eine gegenüber dem Verwaltungsrat ausgesprochene Verpflichtung der</w:t>
      </w:r>
    </w:p>
    <w:p>
      <w:pPr>
        <w:spacing w:after="0" w:line="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versicherten Person, diesen Betrag zurückzuzahlen, sollte endgültig entschieden werden, dass er oder sie nicht berechtigt ist, von der Gesellschaft im Rahmen dieser Statuten schadlos gehalten zu werden.</w:t>
      </w:r>
    </w:p>
    <w:p>
      <w:pPr>
        <w:spacing w:after="0" w:line="198"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Es wird die Politik des Unternehmens, dass Schadloshaltung der in diesem Artikel 29</w:t>
      </w:r>
    </w:p>
    <w:p>
      <w:pPr>
        <w:spacing w:after="0" w:line="2"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genannten Personen vollumfänglich gesetzeskonform ist, und dass die gemäss diesem Artikel 29 gewährte Schadloshaltung nicht ausschliesst: (a) jegliche anderen Rechte, welche Personen, die Schadloshaltung oder einen Kostenvorschuss beanspruchen, aufgrund dieser Statuten, jeglicher Vereinbarung, jeglicher durch die Gesellschaft bezahlter Versicherungsleistung, einer Abstimmung der Aktionäre oder der</w:t>
      </w:r>
    </w:p>
    <w:p>
      <w:pPr>
        <w:spacing w:after="0" w:line="8"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neutralen Verwaltungsratsmitglieder oder aufgrund der Entscheidung jedes zuständigen Gerichts, oder sonstwie zustehen können, jeweils aufgrund des Handelns gemäss der zustehenden Entscheidungsbefugnis oder aufgrund des Handelns als Stellvertreter mit fremder Entscheidungsbefugnis; oder (b) die Befugnis der Gesellschaft, jede Person in gleichem Umfang und in den gleichen Situationen und gemäss den gleichen Bestimmungen, wie sie oben betreffend eine versicherte Person aufgestellt wurden, zu entschädigen, die ein Angestellter oder Vertreter der Gesellschaft oder einer anderen Gesellschaft, einer Joint Venture, eines Trusts oder eines anderen Unternehmens ist oder war, welchem 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384175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Verdana" w:cs="Verdana" w:eastAsia="Verdana" w:hAnsi="Verdana"/>
          <w:sz w:val="18"/>
          <w:szCs w:val="18"/>
          <w:color w:val="auto"/>
        </w:rPr>
        <w:t>As used in this Article 29, references to the</w:t>
      </w:r>
    </w:p>
    <w:p>
      <w:pPr>
        <w:jc w:val="both"/>
        <w:ind w:right="380"/>
        <w:spacing w:after="0" w:line="241" w:lineRule="auto"/>
        <w:rPr>
          <w:sz w:val="20"/>
          <w:szCs w:val="20"/>
          <w:color w:val="auto"/>
        </w:rPr>
      </w:pPr>
      <w:r>
        <w:rPr>
          <w:rFonts w:ascii="Verdana" w:cs="Verdana" w:eastAsia="Verdana" w:hAnsi="Verdana"/>
          <w:sz w:val="18"/>
          <w:szCs w:val="18"/>
          <w:color w:val="auto"/>
        </w:rPr>
        <w:t>"Company" include all constituent corporations in a consolidation or merger in which the Company or a predecessor to the Company by consolidation or merger was involved.</w:t>
      </w:r>
    </w:p>
    <w:p>
      <w:pPr>
        <w:spacing w:after="0" w:line="200" w:lineRule="exact"/>
        <w:rPr>
          <w:sz w:val="20"/>
          <w:szCs w:val="20"/>
          <w:color w:val="auto"/>
        </w:rPr>
      </w:pPr>
    </w:p>
    <w:p>
      <w:pPr>
        <w:spacing w:after="0" w:line="214" w:lineRule="exact"/>
        <w:rPr>
          <w:sz w:val="20"/>
          <w:szCs w:val="20"/>
          <w:color w:val="auto"/>
        </w:rPr>
      </w:pPr>
    </w:p>
    <w:p>
      <w:pPr>
        <w:jc w:val="both"/>
        <w:ind w:right="380"/>
        <w:spacing w:after="0"/>
        <w:rPr>
          <w:sz w:val="20"/>
          <w:szCs w:val="20"/>
          <w:color w:val="auto"/>
        </w:rPr>
      </w:pPr>
      <w:r>
        <w:rPr>
          <w:rFonts w:ascii="Verdana" w:cs="Verdana" w:eastAsia="Verdana" w:hAnsi="Verdana"/>
          <w:sz w:val="18"/>
          <w:szCs w:val="18"/>
          <w:color w:val="auto"/>
        </w:rPr>
        <w:t>The indemnification provided by this Art. 29 shall continue as to a person who has ceased to be a member of the Board of Directors or the Executive Committee and shall inure to the benefit of their heirs, executors, and administrators.</w:t>
      </w:r>
    </w:p>
    <w:p>
      <w:pPr>
        <w:spacing w:after="0" w:line="199" w:lineRule="exact"/>
        <w:rPr>
          <w:sz w:val="20"/>
          <w:szCs w:val="20"/>
          <w:color w:val="auto"/>
        </w:rPr>
      </w:pPr>
    </w:p>
    <w:p>
      <w:pPr>
        <w:jc w:val="both"/>
        <w:ind w:right="400"/>
        <w:spacing w:after="0" w:line="245" w:lineRule="auto"/>
        <w:rPr>
          <w:sz w:val="20"/>
          <w:szCs w:val="20"/>
          <w:color w:val="auto"/>
        </w:rPr>
      </w:pPr>
      <w:r>
        <w:rPr>
          <w:rFonts w:ascii="Verdana" w:cs="Verdana" w:eastAsia="Verdana" w:hAnsi="Verdana"/>
          <w:sz w:val="18"/>
          <w:szCs w:val="18"/>
          <w:color w:val="auto"/>
        </w:rPr>
        <w:t>Indemnities and advances as provided by this Art. 29 and any respective insurances shall not be considered as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80" w:val="left"/>
        </w:tabs>
        <w:rPr>
          <w:sz w:val="20"/>
          <w:szCs w:val="20"/>
          <w:color w:val="auto"/>
        </w:rPr>
      </w:pPr>
      <w:r>
        <w:rPr>
          <w:rFonts w:ascii="Verdana" w:cs="Verdana" w:eastAsia="Verdana" w:hAnsi="Verdana"/>
          <w:sz w:val="18"/>
          <w:szCs w:val="18"/>
          <w:b w:val="1"/>
          <w:bCs w:val="1"/>
          <w:color w:val="auto"/>
        </w:rPr>
        <w:t>VI.</w:t>
        <w:tab/>
        <w:t>AUDITORS</w:t>
      </w: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30</w:t>
        <w:tab/>
        <w:t>Election, Term</w:t>
      </w:r>
    </w:p>
    <w:p>
      <w:pPr>
        <w:spacing w:after="0" w:line="213" w:lineRule="exact"/>
        <w:rPr>
          <w:sz w:val="20"/>
          <w:szCs w:val="20"/>
          <w:color w:val="auto"/>
        </w:rPr>
      </w:pPr>
    </w:p>
    <w:p>
      <w:pPr>
        <w:jc w:val="both"/>
        <w:ind w:right="380"/>
        <w:spacing w:after="0" w:line="242" w:lineRule="auto"/>
        <w:rPr>
          <w:sz w:val="20"/>
          <w:szCs w:val="20"/>
          <w:color w:val="auto"/>
        </w:rPr>
      </w:pPr>
      <w:r>
        <w:rPr>
          <w:rFonts w:ascii="Verdana" w:cs="Verdana" w:eastAsia="Verdana" w:hAnsi="Verdana"/>
          <w:sz w:val="18"/>
          <w:szCs w:val="18"/>
          <w:color w:val="auto"/>
        </w:rPr>
        <w:t>The General Meeting shall elect one or more accountants as its Auditors in terms of Art. 727 et seq. CO for one business year each with the rights and duties determined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400"/>
        <w:spacing w:after="0" w:line="242" w:lineRule="auto"/>
        <w:rPr>
          <w:sz w:val="20"/>
          <w:szCs w:val="20"/>
          <w:color w:val="auto"/>
        </w:rPr>
      </w:pPr>
      <w:r>
        <w:rPr>
          <w:rFonts w:ascii="Verdana" w:cs="Verdana" w:eastAsia="Verdana" w:hAnsi="Verdana"/>
          <w:sz w:val="18"/>
          <w:szCs w:val="18"/>
          <w:color w:val="auto"/>
        </w:rPr>
        <w:t>The General Meeting may appoint Special Auditors for a term of up to three years who provide the attestations required for capital increases.</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31</w:t>
        <w:tab/>
        <w:t>Duties</w:t>
      </w:r>
    </w:p>
    <w:p>
      <w:pPr>
        <w:spacing w:after="0" w:line="213" w:lineRule="exact"/>
        <w:rPr>
          <w:sz w:val="20"/>
          <w:szCs w:val="20"/>
          <w:color w:val="auto"/>
        </w:rPr>
      </w:pPr>
    </w:p>
    <w:p>
      <w:pPr>
        <w:jc w:val="both"/>
        <w:ind w:right="400"/>
        <w:spacing w:after="0" w:line="241" w:lineRule="auto"/>
        <w:rPr>
          <w:sz w:val="20"/>
          <w:szCs w:val="20"/>
          <w:color w:val="auto"/>
        </w:rPr>
      </w:pPr>
      <w:r>
        <w:rPr>
          <w:rFonts w:ascii="Verdana" w:cs="Verdana" w:eastAsia="Verdana" w:hAnsi="Verdana"/>
          <w:sz w:val="18"/>
          <w:szCs w:val="18"/>
          <w:color w:val="auto"/>
        </w:rPr>
        <w:t>The Auditors shall perform their duties to audit and report whether the accounting, the annual accounts and the proposal regarding allocation of profits is in accordance with law and the Articles of Association.</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Verdana" w:cs="Verdana" w:eastAsia="Verdana" w:hAnsi="Verdana"/>
          <w:sz w:val="18"/>
          <w:szCs w:val="18"/>
          <w:color w:val="auto"/>
        </w:rPr>
        <w:t>welcher er oder sie auf Ersuchen der Gesellschaft dient oder gedient hat.</w:t>
      </w:r>
    </w:p>
    <w:p>
      <w:pPr>
        <w:spacing w:after="0" w:line="182" w:lineRule="exact"/>
        <w:rPr>
          <w:sz w:val="20"/>
          <w:szCs w:val="20"/>
          <w:color w:val="auto"/>
        </w:rPr>
      </w:pPr>
    </w:p>
    <w:p>
      <w:pPr>
        <w:spacing w:after="0"/>
        <w:tabs>
          <w:tab w:leader="none" w:pos="780" w:val="left"/>
          <w:tab w:leader="none" w:pos="1160" w:val="left"/>
          <w:tab w:leader="none" w:pos="2000" w:val="left"/>
          <w:tab w:leader="none" w:pos="2800" w:val="left"/>
          <w:tab w:leader="none" w:pos="3240" w:val="left"/>
        </w:tabs>
        <w:rPr>
          <w:sz w:val="20"/>
          <w:szCs w:val="20"/>
          <w:color w:val="auto"/>
        </w:rPr>
      </w:pPr>
      <w:r>
        <w:rPr>
          <w:rFonts w:ascii="Verdana" w:cs="Verdana" w:eastAsia="Verdana" w:hAnsi="Verdana"/>
          <w:sz w:val="18"/>
          <w:szCs w:val="18"/>
          <w:color w:val="auto"/>
        </w:rPr>
        <w:t>Sofern</w:t>
        <w:tab/>
        <w:t>in</w:t>
        <w:tab/>
        <w:t>diesem</w:t>
        <w:tab/>
        <w:t>Artikel</w:t>
        <w:tab/>
        <w:t>29</w:t>
      </w:r>
      <w:r>
        <w:rPr>
          <w:sz w:val="20"/>
          <w:szCs w:val="20"/>
          <w:color w:val="auto"/>
        </w:rPr>
        <w:tab/>
      </w:r>
      <w:r>
        <w:rPr>
          <w:rFonts w:ascii="Verdana" w:cs="Verdana" w:eastAsia="Verdana" w:hAnsi="Verdana"/>
          <w:sz w:val="17"/>
          <w:szCs w:val="17"/>
          <w:color w:val="auto"/>
        </w:rPr>
        <w:t>verwendet,</w:t>
      </w:r>
    </w:p>
    <w:p>
      <w:pPr>
        <w:jc w:val="both"/>
        <w:spacing w:after="0"/>
        <w:rPr>
          <w:sz w:val="20"/>
          <w:szCs w:val="20"/>
          <w:color w:val="auto"/>
        </w:rPr>
      </w:pPr>
      <w:r>
        <w:rPr>
          <w:rFonts w:ascii="Verdana" w:cs="Verdana" w:eastAsia="Verdana" w:hAnsi="Verdana"/>
          <w:sz w:val="18"/>
          <w:szCs w:val="18"/>
          <w:color w:val="auto"/>
        </w:rPr>
        <w:t>beinhalten Bezugnahmen auf die "Gesellschaft" alle Körperschaftsbestandteile einer Konsolidierung oder Fusion, in denen die Gesellschaft oder ein Vorläufer der Gesellschaft durch Konsolidierung oder Fusion beteiligt war.</w:t>
      </w:r>
    </w:p>
    <w:p>
      <w:pPr>
        <w:spacing w:after="0" w:line="199"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Die in diesem Art. 29 vorgesehenen Entschädigungen stehen Personen, die nicht</w:t>
      </w:r>
    </w:p>
    <w:p>
      <w:pPr>
        <w:spacing w:after="0" w:line="2"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mehr Verwaltungsrats- oder Geschäftsleitungsmitglied sind, weiter zu und sollen deren Erben, Vollstrecker und Verwalter zugutekommen.</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Die in diesem Artikel 29 vorgesehenen Entschädigungen sowie Vorschusszahlungen und die entsprechenden Versicherungen gelten nicht als Vergütung.</w:t>
      </w:r>
    </w:p>
    <w:p>
      <w:pPr>
        <w:spacing w:after="0" w:line="200" w:lineRule="exact"/>
        <w:rPr>
          <w:sz w:val="20"/>
          <w:szCs w:val="20"/>
          <w:color w:val="auto"/>
        </w:rPr>
      </w:pPr>
    </w:p>
    <w:p>
      <w:pPr>
        <w:spacing w:after="0" w:line="214" w:lineRule="exact"/>
        <w:rPr>
          <w:sz w:val="20"/>
          <w:szCs w:val="20"/>
          <w:color w:val="auto"/>
        </w:rPr>
      </w:pPr>
    </w:p>
    <w:p>
      <w:pPr>
        <w:spacing w:after="0"/>
        <w:tabs>
          <w:tab w:leader="none" w:pos="480" w:val="left"/>
        </w:tabs>
        <w:rPr>
          <w:sz w:val="20"/>
          <w:szCs w:val="20"/>
          <w:color w:val="auto"/>
        </w:rPr>
      </w:pPr>
      <w:r>
        <w:rPr>
          <w:rFonts w:ascii="Verdana" w:cs="Verdana" w:eastAsia="Verdana" w:hAnsi="Verdana"/>
          <w:sz w:val="18"/>
          <w:szCs w:val="18"/>
          <w:b w:val="1"/>
          <w:bCs w:val="1"/>
          <w:color w:val="auto"/>
        </w:rPr>
        <w:t>VI.</w:t>
      </w:r>
      <w:r>
        <w:rPr>
          <w:sz w:val="20"/>
          <w:szCs w:val="20"/>
          <w:color w:val="auto"/>
        </w:rPr>
        <w:tab/>
      </w:r>
      <w:r>
        <w:rPr>
          <w:rFonts w:ascii="Verdana" w:cs="Verdana" w:eastAsia="Verdana" w:hAnsi="Verdana"/>
          <w:sz w:val="17"/>
          <w:szCs w:val="17"/>
          <w:b w:val="1"/>
          <w:bCs w:val="1"/>
          <w:color w:val="auto"/>
        </w:rPr>
        <w:t>REVISIONSSTELLE</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30</w:t>
      </w:r>
      <w:r>
        <w:rPr>
          <w:sz w:val="20"/>
          <w:szCs w:val="20"/>
          <w:color w:val="auto"/>
        </w:rPr>
        <w:tab/>
      </w:r>
      <w:r>
        <w:rPr>
          <w:rFonts w:ascii="Verdana" w:cs="Verdana" w:eastAsia="Verdana" w:hAnsi="Verdana"/>
          <w:sz w:val="17"/>
          <w:szCs w:val="17"/>
          <w:b w:val="1"/>
          <w:bCs w:val="1"/>
          <w:color w:val="auto"/>
        </w:rPr>
        <w:t>Wahl, Amtsdauer</w:t>
      </w:r>
    </w:p>
    <w:p>
      <w:pPr>
        <w:spacing w:after="0" w:line="21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Die Generalversammlung wählt für die Dauer von einem Geschäftsjahr eine oder mehrere natürliche oder juristische Personen als Revisionsstelle im Sinne von Art. 727 ff. OR mit den im Gesetz festgehaltenen Rechten und Pflichten.</w:t>
      </w:r>
    </w:p>
    <w:p>
      <w:pPr>
        <w:spacing w:after="0" w:line="1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Die Generalversammlung kann für die Dauer von bis zu drei Jahren Sonderrevisoren bestimmen, welche die bei Kapitalerhöhungen erforderlichen Bescheinigungen erbringen.</w:t>
      </w:r>
    </w:p>
    <w:p>
      <w:pPr>
        <w:spacing w:after="0" w:line="200" w:lineRule="exact"/>
        <w:rPr>
          <w:sz w:val="20"/>
          <w:szCs w:val="20"/>
          <w:color w:val="auto"/>
        </w:rPr>
      </w:pPr>
    </w:p>
    <w:p>
      <w:pPr>
        <w:spacing w:after="0" w:line="322"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31</w:t>
      </w:r>
      <w:r>
        <w:rPr>
          <w:sz w:val="20"/>
          <w:szCs w:val="20"/>
          <w:color w:val="auto"/>
        </w:rPr>
        <w:tab/>
      </w:r>
      <w:r>
        <w:rPr>
          <w:rFonts w:ascii="Verdana" w:cs="Verdana" w:eastAsia="Verdana" w:hAnsi="Verdana"/>
          <w:sz w:val="17"/>
          <w:szCs w:val="17"/>
          <w:b w:val="1"/>
          <w:bCs w:val="1"/>
          <w:color w:val="auto"/>
        </w:rPr>
        <w:t>Aufgaben</w:t>
      </w:r>
    </w:p>
    <w:p>
      <w:pPr>
        <w:spacing w:after="0" w:line="21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Die Revisionsstelle prüft, ob die Buchführung und die Jahresrechnung sowie der Antrag über die Verwendung des Bilanzgewinns Gesetz und Statuten entsprechen.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588010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647" w:right="1199" w:bottom="1440" w:gutter="0" w:footer="0" w:header="0"/>
        </w:sectPr>
      </w:pPr>
    </w:p>
    <w:bookmarkStart w:id="34" w:name="page35"/>
    <w:bookmarkEnd w:id="34"/>
    <w:p>
      <w:pPr>
        <w:ind w:left="720" w:right="913" w:hanging="708"/>
        <w:spacing w:after="0" w:line="254" w:lineRule="auto"/>
        <w:rPr>
          <w:sz w:val="20"/>
          <w:szCs w:val="20"/>
          <w:color w:val="auto"/>
        </w:rPr>
      </w:pPr>
      <w:r>
        <w:rPr>
          <w:rFonts w:ascii="Verdana" w:cs="Verdana" w:eastAsia="Verdana" w:hAnsi="Verdana"/>
          <w:sz w:val="18"/>
          <w:szCs w:val="18"/>
          <w:b w:val="1"/>
          <w:bCs w:val="1"/>
          <w:color w:val="auto"/>
        </w:rPr>
        <w:t>VII. COMPENSATION AND RELATED PROVISIONS</w:t>
      </w:r>
    </w:p>
    <w:p>
      <w:pPr>
        <w:spacing w:after="0" w:line="3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32</w:t>
        <w:tab/>
        <w:t>Principles of the Compensation</w:t>
      </w:r>
    </w:p>
    <w:p>
      <w:pPr>
        <w:ind w:left="1220"/>
        <w:spacing w:after="0" w:line="236" w:lineRule="auto"/>
        <w:rPr>
          <w:sz w:val="20"/>
          <w:szCs w:val="20"/>
          <w:color w:val="auto"/>
        </w:rPr>
      </w:pPr>
      <w:r>
        <w:rPr>
          <w:rFonts w:ascii="Verdana" w:cs="Verdana" w:eastAsia="Verdana" w:hAnsi="Verdana"/>
          <w:sz w:val="18"/>
          <w:szCs w:val="18"/>
          <w:b w:val="1"/>
          <w:bCs w:val="1"/>
          <w:color w:val="auto"/>
        </w:rPr>
        <w:t>of the Board of Directors</w:t>
      </w:r>
    </w:p>
    <w:p>
      <w:pPr>
        <w:ind w:left="1220"/>
        <w:spacing w:after="0" w:line="237" w:lineRule="auto"/>
        <w:rPr>
          <w:sz w:val="20"/>
          <w:szCs w:val="20"/>
          <w:color w:val="auto"/>
        </w:rPr>
      </w:pPr>
      <w:r>
        <w:rPr>
          <w:rFonts w:ascii="Verdana" w:cs="Verdana" w:eastAsia="Verdana" w:hAnsi="Verdana"/>
          <w:sz w:val="18"/>
          <w:szCs w:val="18"/>
          <w:b w:val="1"/>
          <w:bCs w:val="1"/>
          <w:color w:val="auto"/>
        </w:rPr>
        <w:t>and the Executive</w:t>
      </w:r>
    </w:p>
    <w:p>
      <w:pPr>
        <w:spacing w:after="0" w:line="1" w:lineRule="exact"/>
        <w:rPr>
          <w:sz w:val="20"/>
          <w:szCs w:val="20"/>
          <w:color w:val="auto"/>
        </w:rPr>
      </w:pPr>
    </w:p>
    <w:p>
      <w:pPr>
        <w:ind w:left="1220"/>
        <w:spacing w:after="0"/>
        <w:rPr>
          <w:sz w:val="20"/>
          <w:szCs w:val="20"/>
          <w:color w:val="auto"/>
        </w:rPr>
      </w:pPr>
      <w:r>
        <w:rPr>
          <w:rFonts w:ascii="Verdana" w:cs="Verdana" w:eastAsia="Verdana" w:hAnsi="Verdana"/>
          <w:sz w:val="18"/>
          <w:szCs w:val="18"/>
          <w:b w:val="1"/>
          <w:bCs w:val="1"/>
          <w:color w:val="auto"/>
        </w:rPr>
        <w:t>Committee</w:t>
      </w:r>
    </w:p>
    <w:p>
      <w:pPr>
        <w:spacing w:after="0" w:line="213" w:lineRule="exact"/>
        <w:rPr>
          <w:sz w:val="20"/>
          <w:szCs w:val="20"/>
          <w:color w:val="auto"/>
        </w:rPr>
      </w:pPr>
    </w:p>
    <w:p>
      <w:pPr>
        <w:jc w:val="both"/>
        <w:ind w:right="373"/>
        <w:spacing w:after="0" w:line="241" w:lineRule="auto"/>
        <w:rPr>
          <w:sz w:val="20"/>
          <w:szCs w:val="20"/>
          <w:color w:val="auto"/>
        </w:rPr>
      </w:pPr>
      <w:r>
        <w:rPr>
          <w:rFonts w:ascii="Verdana" w:cs="Verdana" w:eastAsia="Verdana" w:hAnsi="Verdana"/>
          <w:sz w:val="18"/>
          <w:szCs w:val="18"/>
          <w:color w:val="auto"/>
        </w:rPr>
        <w:t>The compensation payable to the members of the Board of Directors may comprise, subject to and within the aggregate amounts approved by the General Meeting, the following elements:</w:t>
      </w:r>
    </w:p>
    <w:p>
      <w:pPr>
        <w:spacing w:after="0" w:line="200" w:lineRule="exact"/>
        <w:rPr>
          <w:sz w:val="20"/>
          <w:szCs w:val="20"/>
          <w:color w:val="auto"/>
        </w:rPr>
      </w:pPr>
    </w:p>
    <w:p>
      <w:pPr>
        <w:spacing w:after="0" w:line="214" w:lineRule="exact"/>
        <w:rPr>
          <w:sz w:val="20"/>
          <w:szCs w:val="20"/>
          <w:color w:val="auto"/>
        </w:rPr>
      </w:pPr>
    </w:p>
    <w:p>
      <w:pPr>
        <w:ind w:left="340" w:hanging="339"/>
        <w:spacing w:after="0"/>
        <w:tabs>
          <w:tab w:leader="none" w:pos="340" w:val="left"/>
        </w:tabs>
        <w:numPr>
          <w:ilvl w:val="0"/>
          <w:numId w:val="44"/>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fixed base compensation;</w:t>
      </w:r>
    </w:p>
    <w:p>
      <w:pPr>
        <w:spacing w:after="0" w:line="225" w:lineRule="exact"/>
        <w:rPr>
          <w:rFonts w:ascii="Times New Roman" w:cs="Times New Roman" w:eastAsia="Times New Roman" w:hAnsi="Times New Roman"/>
          <w:sz w:val="18"/>
          <w:szCs w:val="18"/>
          <w:color w:val="auto"/>
        </w:rPr>
      </w:pPr>
    </w:p>
    <w:p>
      <w:pPr>
        <w:ind w:left="340" w:right="373" w:hanging="339"/>
        <w:spacing w:after="0" w:line="253" w:lineRule="auto"/>
        <w:tabs>
          <w:tab w:leader="none" w:pos="340" w:val="left"/>
        </w:tabs>
        <w:numPr>
          <w:ilvl w:val="0"/>
          <w:numId w:val="44"/>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fixed committee fee for work in a committee of the Board of Directors;</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340" w:hanging="339"/>
        <w:spacing w:after="0"/>
        <w:tabs>
          <w:tab w:leader="none" w:pos="340" w:val="left"/>
        </w:tabs>
        <w:numPr>
          <w:ilvl w:val="0"/>
          <w:numId w:val="44"/>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lump sum compensation for expenses;</w:t>
      </w:r>
    </w:p>
    <w:p>
      <w:pPr>
        <w:spacing w:after="0" w:line="225" w:lineRule="exact"/>
        <w:rPr>
          <w:rFonts w:ascii="Times New Roman" w:cs="Times New Roman" w:eastAsia="Times New Roman" w:hAnsi="Times New Roman"/>
          <w:sz w:val="18"/>
          <w:szCs w:val="18"/>
          <w:color w:val="auto"/>
        </w:rPr>
      </w:pPr>
    </w:p>
    <w:p>
      <w:pPr>
        <w:jc w:val="both"/>
        <w:ind w:left="340" w:right="393" w:hanging="339"/>
        <w:spacing w:after="0" w:line="245" w:lineRule="auto"/>
        <w:tabs>
          <w:tab w:leader="none" w:pos="340" w:val="left"/>
        </w:tabs>
        <w:numPr>
          <w:ilvl w:val="0"/>
          <w:numId w:val="44"/>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number of shares, options or similar financial instruments and/or units in the Company.</w:t>
      </w:r>
    </w:p>
    <w:p>
      <w:pPr>
        <w:spacing w:after="0" w:line="193" w:lineRule="exact"/>
        <w:rPr>
          <w:sz w:val="20"/>
          <w:szCs w:val="20"/>
          <w:color w:val="auto"/>
        </w:rPr>
      </w:pPr>
    </w:p>
    <w:p>
      <w:pPr>
        <w:jc w:val="both"/>
        <w:ind w:right="373"/>
        <w:spacing w:after="0" w:line="241" w:lineRule="auto"/>
        <w:rPr>
          <w:sz w:val="20"/>
          <w:szCs w:val="20"/>
          <w:color w:val="auto"/>
        </w:rPr>
      </w:pPr>
      <w:r>
        <w:rPr>
          <w:rFonts w:ascii="Verdana" w:cs="Verdana" w:eastAsia="Verdana" w:hAnsi="Verdana"/>
          <w:sz w:val="18"/>
          <w:szCs w:val="18"/>
          <w:color w:val="auto"/>
        </w:rPr>
        <w:t>The compensation payable to the members of the Executive Committee may comprise, subject to and within the aggregate amounts approved by the General Meeting, the following elements:</w:t>
      </w:r>
    </w:p>
    <w:p>
      <w:pPr>
        <w:spacing w:after="0" w:line="200" w:lineRule="exact"/>
        <w:rPr>
          <w:sz w:val="20"/>
          <w:szCs w:val="20"/>
          <w:color w:val="auto"/>
        </w:rPr>
      </w:pPr>
    </w:p>
    <w:p>
      <w:pPr>
        <w:spacing w:after="0" w:line="214" w:lineRule="exact"/>
        <w:rPr>
          <w:sz w:val="20"/>
          <w:szCs w:val="20"/>
          <w:color w:val="auto"/>
        </w:rPr>
      </w:pPr>
    </w:p>
    <w:p>
      <w:pPr>
        <w:ind w:left="340" w:hanging="339"/>
        <w:spacing w:after="0"/>
        <w:tabs>
          <w:tab w:leader="none" w:pos="340" w:val="left"/>
        </w:tabs>
        <w:numPr>
          <w:ilvl w:val="0"/>
          <w:numId w:val="45"/>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fixed compensation payable in cash;</w:t>
      </w:r>
    </w:p>
    <w:p>
      <w:pPr>
        <w:spacing w:after="0" w:line="225" w:lineRule="exact"/>
        <w:rPr>
          <w:rFonts w:ascii="Times New Roman" w:cs="Times New Roman" w:eastAsia="Times New Roman" w:hAnsi="Times New Roman"/>
          <w:sz w:val="18"/>
          <w:szCs w:val="18"/>
          <w:color w:val="auto"/>
        </w:rPr>
      </w:pPr>
    </w:p>
    <w:p>
      <w:pPr>
        <w:ind w:left="340" w:right="373" w:hanging="339"/>
        <w:spacing w:after="0" w:line="253" w:lineRule="auto"/>
        <w:tabs>
          <w:tab w:leader="none" w:pos="340" w:val="left"/>
        </w:tabs>
        <w:numPr>
          <w:ilvl w:val="0"/>
          <w:numId w:val="45"/>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performance-related compensation payable in cash (variable);</w:t>
      </w:r>
    </w:p>
    <w:p>
      <w:pPr>
        <w:spacing w:after="0" w:line="185" w:lineRule="exact"/>
        <w:rPr>
          <w:rFonts w:ascii="Times New Roman" w:cs="Times New Roman" w:eastAsia="Times New Roman" w:hAnsi="Times New Roman"/>
          <w:sz w:val="18"/>
          <w:szCs w:val="18"/>
          <w:color w:val="auto"/>
        </w:rPr>
      </w:pPr>
    </w:p>
    <w:p>
      <w:pPr>
        <w:jc w:val="both"/>
        <w:ind w:left="340" w:right="393" w:hanging="339"/>
        <w:spacing w:after="0" w:line="245" w:lineRule="auto"/>
        <w:tabs>
          <w:tab w:leader="none" w:pos="340" w:val="left"/>
        </w:tabs>
        <w:numPr>
          <w:ilvl w:val="0"/>
          <w:numId w:val="45"/>
        </w:numPr>
        <w:rPr>
          <w:rFonts w:ascii="Times New Roman" w:cs="Times New Roman" w:eastAsia="Times New Roman" w:hAnsi="Times New Roman"/>
          <w:sz w:val="18"/>
          <w:szCs w:val="18"/>
          <w:color w:val="auto"/>
        </w:rPr>
      </w:pPr>
      <w:r>
        <w:rPr>
          <w:rFonts w:ascii="Verdana" w:cs="Verdana" w:eastAsia="Verdana" w:hAnsi="Verdana"/>
          <w:sz w:val="18"/>
          <w:szCs w:val="18"/>
          <w:color w:val="auto"/>
        </w:rPr>
        <w:t>a number of shares, options or similar financial instruments and/or units in the Company (variable).</w:t>
      </w:r>
    </w:p>
    <w:p>
      <w:pPr>
        <w:spacing w:after="0" w:line="193" w:lineRule="exact"/>
        <w:rPr>
          <w:sz w:val="20"/>
          <w:szCs w:val="20"/>
          <w:color w:val="auto"/>
        </w:rPr>
      </w:pPr>
    </w:p>
    <w:p>
      <w:pPr>
        <w:jc w:val="both"/>
        <w:ind w:right="373"/>
        <w:spacing w:after="0" w:line="238" w:lineRule="auto"/>
        <w:rPr>
          <w:sz w:val="20"/>
          <w:szCs w:val="20"/>
          <w:color w:val="auto"/>
        </w:rPr>
      </w:pPr>
      <w:r>
        <w:rPr>
          <w:rFonts w:ascii="Verdana" w:cs="Verdana" w:eastAsia="Verdana" w:hAnsi="Verdana"/>
          <w:sz w:val="18"/>
          <w:szCs w:val="18"/>
          <w:color w:val="auto"/>
        </w:rPr>
        <w:t>The performance-related compensation depends on the achievement of certain performance criteria. The performance criteria may include individual targets, targets of the Company or parts thereof and targets in relation to the market, other companies or comparable benchmarks, taking into account function and level of responsibility. The Board of Directors and/or the Compensation Committee determines the relative weight of the</w:t>
      </w:r>
    </w:p>
    <w:p>
      <w:pPr>
        <w:spacing w:after="0" w:line="20" w:lineRule="exact"/>
        <w:rPr>
          <w:sz w:val="20"/>
          <w:szCs w:val="20"/>
          <w:color w:val="auto"/>
        </w:rPr>
      </w:pPr>
      <w:r>
        <w:rPr>
          <w:sz w:val="20"/>
          <w:szCs w:val="20"/>
          <w:color w:val="auto"/>
        </w:rPr>
        <w:br w:type="column"/>
      </w:r>
    </w:p>
    <w:p>
      <w:pPr>
        <w:ind w:left="707" w:right="380" w:hanging="708"/>
        <w:spacing w:after="0" w:line="254" w:lineRule="auto"/>
        <w:rPr>
          <w:sz w:val="20"/>
          <w:szCs w:val="20"/>
          <w:color w:val="auto"/>
        </w:rPr>
      </w:pPr>
      <w:r>
        <w:rPr>
          <w:rFonts w:ascii="Verdana" w:cs="Verdana" w:eastAsia="Verdana" w:hAnsi="Verdana"/>
          <w:sz w:val="18"/>
          <w:szCs w:val="18"/>
          <w:b w:val="1"/>
          <w:bCs w:val="1"/>
          <w:color w:val="auto"/>
        </w:rPr>
        <w:t>VII. VERGÜTUNGEN UND VERWANDTE BESTIMMUNGEN</w:t>
      </w:r>
    </w:p>
    <w:p>
      <w:pPr>
        <w:spacing w:after="0" w:line="398" w:lineRule="exact"/>
        <w:rPr>
          <w:sz w:val="20"/>
          <w:szCs w:val="20"/>
          <w:color w:val="auto"/>
        </w:rPr>
      </w:pPr>
    </w:p>
    <w:p>
      <w:pPr>
        <w:ind w:left="7"/>
        <w:spacing w:after="0"/>
        <w:tabs>
          <w:tab w:leader="none" w:pos="967" w:val="left"/>
        </w:tabs>
        <w:rPr>
          <w:sz w:val="20"/>
          <w:szCs w:val="20"/>
          <w:color w:val="auto"/>
        </w:rPr>
      </w:pPr>
      <w:r>
        <w:rPr>
          <w:rFonts w:ascii="Verdana" w:cs="Verdana" w:eastAsia="Verdana" w:hAnsi="Verdana"/>
          <w:sz w:val="18"/>
          <w:szCs w:val="18"/>
          <w:b w:val="1"/>
          <w:bCs w:val="1"/>
          <w:color w:val="auto"/>
        </w:rPr>
        <w:t>Art. 32</w:t>
      </w:r>
      <w:r>
        <w:rPr>
          <w:sz w:val="20"/>
          <w:szCs w:val="20"/>
          <w:color w:val="auto"/>
        </w:rPr>
        <w:tab/>
      </w:r>
      <w:r>
        <w:rPr>
          <w:rFonts w:ascii="Verdana" w:cs="Verdana" w:eastAsia="Verdana" w:hAnsi="Verdana"/>
          <w:sz w:val="17"/>
          <w:szCs w:val="17"/>
          <w:b w:val="1"/>
          <w:bCs w:val="1"/>
          <w:color w:val="auto"/>
        </w:rPr>
        <w:t>Grundsätze der Vergütung für</w:t>
      </w:r>
    </w:p>
    <w:p>
      <w:pPr>
        <w:ind w:left="1227"/>
        <w:spacing w:after="0" w:line="236" w:lineRule="auto"/>
        <w:rPr>
          <w:sz w:val="20"/>
          <w:szCs w:val="20"/>
          <w:color w:val="auto"/>
        </w:rPr>
      </w:pPr>
      <w:r>
        <w:rPr>
          <w:rFonts w:ascii="Verdana" w:cs="Verdana" w:eastAsia="Verdana" w:hAnsi="Verdana"/>
          <w:sz w:val="18"/>
          <w:szCs w:val="18"/>
          <w:b w:val="1"/>
          <w:bCs w:val="1"/>
          <w:color w:val="auto"/>
        </w:rPr>
        <w:t>die Mitglieder des</w:t>
      </w:r>
    </w:p>
    <w:p>
      <w:pPr>
        <w:ind w:left="1227"/>
        <w:spacing w:after="0" w:line="237" w:lineRule="auto"/>
        <w:rPr>
          <w:sz w:val="20"/>
          <w:szCs w:val="20"/>
          <w:color w:val="auto"/>
        </w:rPr>
      </w:pPr>
      <w:r>
        <w:rPr>
          <w:rFonts w:ascii="Verdana" w:cs="Verdana" w:eastAsia="Verdana" w:hAnsi="Verdana"/>
          <w:sz w:val="18"/>
          <w:szCs w:val="18"/>
          <w:b w:val="1"/>
          <w:bCs w:val="1"/>
          <w:color w:val="auto"/>
        </w:rPr>
        <w:t>Verwaltungsrats und der</w:t>
      </w:r>
    </w:p>
    <w:p>
      <w:pPr>
        <w:spacing w:after="0" w:line="1" w:lineRule="exact"/>
        <w:rPr>
          <w:sz w:val="20"/>
          <w:szCs w:val="20"/>
          <w:color w:val="auto"/>
        </w:rPr>
      </w:pPr>
    </w:p>
    <w:p>
      <w:pPr>
        <w:ind w:left="1227"/>
        <w:spacing w:after="0"/>
        <w:rPr>
          <w:sz w:val="20"/>
          <w:szCs w:val="20"/>
          <w:color w:val="auto"/>
        </w:rPr>
      </w:pPr>
      <w:r>
        <w:rPr>
          <w:rFonts w:ascii="Verdana" w:cs="Verdana" w:eastAsia="Verdana" w:hAnsi="Verdana"/>
          <w:sz w:val="18"/>
          <w:szCs w:val="18"/>
          <w:b w:val="1"/>
          <w:bCs w:val="1"/>
          <w:color w:val="auto"/>
        </w:rPr>
        <w:t>Geschäftsleitung</w:t>
      </w:r>
    </w:p>
    <w:p>
      <w:pPr>
        <w:spacing w:after="0" w:line="213" w:lineRule="exact"/>
        <w:rPr>
          <w:sz w:val="20"/>
          <w:szCs w:val="20"/>
          <w:color w:val="auto"/>
        </w:rPr>
      </w:pPr>
    </w:p>
    <w:p>
      <w:pPr>
        <w:jc w:val="both"/>
        <w:ind w:left="7"/>
        <w:spacing w:after="0" w:line="236" w:lineRule="auto"/>
        <w:rPr>
          <w:sz w:val="20"/>
          <w:szCs w:val="20"/>
          <w:color w:val="auto"/>
        </w:rPr>
      </w:pPr>
      <w:r>
        <w:rPr>
          <w:rFonts w:ascii="Verdana" w:cs="Verdana" w:eastAsia="Verdana" w:hAnsi="Verdana"/>
          <w:sz w:val="18"/>
          <w:szCs w:val="18"/>
          <w:color w:val="auto"/>
        </w:rPr>
        <w:t>Die Vergütung für die Mitglieder des Verwaltungsrats kann, unter Vorbehalt der Genehmigung durch die Generalversammlung und im Rahmen der genehmigten</w:t>
      </w:r>
    </w:p>
    <w:p>
      <w:pPr>
        <w:spacing w:after="0" w:line="4" w:lineRule="exact"/>
        <w:rPr>
          <w:sz w:val="20"/>
          <w:szCs w:val="20"/>
          <w:color w:val="auto"/>
        </w:rPr>
      </w:pPr>
    </w:p>
    <w:p>
      <w:pPr>
        <w:jc w:val="both"/>
        <w:ind w:left="7"/>
        <w:spacing w:after="0" w:line="254" w:lineRule="auto"/>
        <w:rPr>
          <w:sz w:val="20"/>
          <w:szCs w:val="20"/>
          <w:color w:val="auto"/>
        </w:rPr>
      </w:pPr>
      <w:r>
        <w:rPr>
          <w:rFonts w:ascii="Verdana" w:cs="Verdana" w:eastAsia="Verdana" w:hAnsi="Verdana"/>
          <w:sz w:val="18"/>
          <w:szCs w:val="18"/>
          <w:color w:val="auto"/>
        </w:rPr>
        <w:t>Gesamtvergütung, folgende Elemente umfassen:</w:t>
      </w:r>
    </w:p>
    <w:p>
      <w:pPr>
        <w:spacing w:after="0" w:line="185" w:lineRule="exact"/>
        <w:rPr>
          <w:sz w:val="20"/>
          <w:szCs w:val="20"/>
          <w:color w:val="auto"/>
        </w:rPr>
      </w:pPr>
    </w:p>
    <w:p>
      <w:pPr>
        <w:ind w:left="407" w:hanging="407"/>
        <w:spacing w:after="0"/>
        <w:tabs>
          <w:tab w:leader="none" w:pos="407" w:val="left"/>
        </w:tabs>
        <w:numPr>
          <w:ilvl w:val="0"/>
          <w:numId w:val="46"/>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fixe Grundvergütung;</w:t>
      </w:r>
    </w:p>
    <w:p>
      <w:pPr>
        <w:spacing w:after="0" w:line="225" w:lineRule="exact"/>
        <w:rPr>
          <w:rFonts w:ascii="Times New Roman" w:cs="Times New Roman" w:eastAsia="Times New Roman" w:hAnsi="Times New Roman"/>
          <w:sz w:val="18"/>
          <w:szCs w:val="18"/>
          <w:color w:val="auto"/>
        </w:rPr>
      </w:pPr>
    </w:p>
    <w:p>
      <w:pPr>
        <w:jc w:val="both"/>
        <w:ind w:left="407" w:hanging="407"/>
        <w:spacing w:after="0" w:line="245" w:lineRule="auto"/>
        <w:tabs>
          <w:tab w:leader="none" w:pos="407" w:val="left"/>
        </w:tabs>
        <w:numPr>
          <w:ilvl w:val="0"/>
          <w:numId w:val="46"/>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fixe Entschädigung für Tätigkeiten als Mitglied eines Ausschusses des Verwaltungsrats;</w:t>
      </w:r>
    </w:p>
    <w:p>
      <w:pPr>
        <w:spacing w:after="0" w:line="192"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0"/>
          <w:numId w:val="46"/>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pauschale Spesenentschädigung;</w:t>
      </w:r>
    </w:p>
    <w:p>
      <w:pPr>
        <w:spacing w:after="0" w:line="225" w:lineRule="exact"/>
        <w:rPr>
          <w:rFonts w:ascii="Times New Roman" w:cs="Times New Roman" w:eastAsia="Times New Roman" w:hAnsi="Times New Roman"/>
          <w:sz w:val="18"/>
          <w:szCs w:val="18"/>
          <w:color w:val="auto"/>
        </w:rPr>
      </w:pPr>
    </w:p>
    <w:p>
      <w:pPr>
        <w:jc w:val="both"/>
        <w:ind w:left="407" w:hanging="407"/>
        <w:spacing w:after="0" w:line="245" w:lineRule="auto"/>
        <w:tabs>
          <w:tab w:leader="none" w:pos="407" w:val="left"/>
        </w:tabs>
        <w:numPr>
          <w:ilvl w:val="0"/>
          <w:numId w:val="46"/>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Anzahl von Aktien, Optionen oder ähnlichen Finanzinstrumenten und/oder Anteilen der Gesellschaft.</w:t>
      </w:r>
    </w:p>
    <w:p>
      <w:pPr>
        <w:spacing w:after="0" w:line="193" w:lineRule="exact"/>
        <w:rPr>
          <w:sz w:val="20"/>
          <w:szCs w:val="20"/>
          <w:color w:val="auto"/>
        </w:rPr>
      </w:pPr>
    </w:p>
    <w:p>
      <w:pPr>
        <w:jc w:val="both"/>
        <w:ind w:left="7"/>
        <w:spacing w:after="0" w:line="236" w:lineRule="auto"/>
        <w:rPr>
          <w:sz w:val="20"/>
          <w:szCs w:val="20"/>
          <w:color w:val="auto"/>
        </w:rPr>
      </w:pPr>
      <w:r>
        <w:rPr>
          <w:rFonts w:ascii="Verdana" w:cs="Verdana" w:eastAsia="Verdana" w:hAnsi="Verdana"/>
          <w:sz w:val="18"/>
          <w:szCs w:val="18"/>
          <w:color w:val="auto"/>
        </w:rPr>
        <w:t>Die Vergütung für die Mitglieder der Geschäftsleitung kann, unter Vorbehalt der Genehmigung durch die Generalversammlung und im Rahmen der genehmigten</w:t>
      </w:r>
    </w:p>
    <w:p>
      <w:pPr>
        <w:spacing w:after="0" w:line="4" w:lineRule="exact"/>
        <w:rPr>
          <w:sz w:val="20"/>
          <w:szCs w:val="20"/>
          <w:color w:val="auto"/>
        </w:rPr>
      </w:pPr>
    </w:p>
    <w:p>
      <w:pPr>
        <w:jc w:val="both"/>
        <w:ind w:left="7"/>
        <w:spacing w:after="0" w:line="254" w:lineRule="auto"/>
        <w:rPr>
          <w:sz w:val="20"/>
          <w:szCs w:val="20"/>
          <w:color w:val="auto"/>
        </w:rPr>
      </w:pPr>
      <w:r>
        <w:rPr>
          <w:rFonts w:ascii="Verdana" w:cs="Verdana" w:eastAsia="Verdana" w:hAnsi="Verdana"/>
          <w:sz w:val="18"/>
          <w:szCs w:val="18"/>
          <w:color w:val="auto"/>
        </w:rPr>
        <w:t>Gesamtvergütung, folgende Elemente umfassen:</w:t>
      </w:r>
    </w:p>
    <w:p>
      <w:pPr>
        <w:spacing w:after="0" w:line="185" w:lineRule="exact"/>
        <w:rPr>
          <w:sz w:val="20"/>
          <w:szCs w:val="20"/>
          <w:color w:val="auto"/>
        </w:rPr>
      </w:pPr>
    </w:p>
    <w:p>
      <w:pPr>
        <w:ind w:left="407" w:hanging="407"/>
        <w:spacing w:after="0"/>
        <w:tabs>
          <w:tab w:leader="none" w:pos="407" w:val="left"/>
        </w:tabs>
        <w:numPr>
          <w:ilvl w:val="0"/>
          <w:numId w:val="47"/>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fixe Vergütung in bar;</w:t>
      </w:r>
    </w:p>
    <w:p>
      <w:pPr>
        <w:spacing w:after="0" w:line="225" w:lineRule="exact"/>
        <w:rPr>
          <w:rFonts w:ascii="Times New Roman" w:cs="Times New Roman" w:eastAsia="Times New Roman" w:hAnsi="Times New Roman"/>
          <w:sz w:val="18"/>
          <w:szCs w:val="18"/>
          <w:color w:val="auto"/>
        </w:rPr>
      </w:pPr>
    </w:p>
    <w:p>
      <w:pPr>
        <w:ind w:left="407" w:hanging="407"/>
        <w:spacing w:after="0" w:line="253" w:lineRule="auto"/>
        <w:tabs>
          <w:tab w:leader="none" w:pos="407" w:val="left"/>
        </w:tabs>
        <w:numPr>
          <w:ilvl w:val="0"/>
          <w:numId w:val="47"/>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erfolgsabhängige Vergütung in bar (variabel);</w:t>
      </w:r>
    </w:p>
    <w:p>
      <w:pPr>
        <w:spacing w:after="0" w:line="185" w:lineRule="exact"/>
        <w:rPr>
          <w:rFonts w:ascii="Times New Roman" w:cs="Times New Roman" w:eastAsia="Times New Roman" w:hAnsi="Times New Roman"/>
          <w:sz w:val="18"/>
          <w:szCs w:val="18"/>
          <w:color w:val="auto"/>
        </w:rPr>
      </w:pPr>
    </w:p>
    <w:p>
      <w:pPr>
        <w:jc w:val="both"/>
        <w:ind w:left="407" w:hanging="407"/>
        <w:spacing w:after="0" w:line="245" w:lineRule="auto"/>
        <w:tabs>
          <w:tab w:leader="none" w:pos="407" w:val="left"/>
        </w:tabs>
        <w:numPr>
          <w:ilvl w:val="0"/>
          <w:numId w:val="47"/>
        </w:numPr>
        <w:rPr>
          <w:rFonts w:ascii="Times New Roman" w:cs="Times New Roman" w:eastAsia="Times New Roman" w:hAnsi="Times New Roman"/>
          <w:sz w:val="18"/>
          <w:szCs w:val="18"/>
          <w:color w:val="auto"/>
        </w:rPr>
      </w:pPr>
      <w:r>
        <w:rPr>
          <w:rFonts w:ascii="Verdana" w:cs="Verdana" w:eastAsia="Verdana" w:hAnsi="Verdana"/>
          <w:sz w:val="18"/>
          <w:szCs w:val="18"/>
          <w:color w:val="auto"/>
        </w:rPr>
        <w:t>eine Anzahl Aktien, Optionen oder ähnlichen Finanzinstrumenten und/oder Anteilen der Gesellschaft (variabel).</w:t>
      </w:r>
    </w:p>
    <w:p>
      <w:pPr>
        <w:spacing w:after="0" w:line="190" w:lineRule="exact"/>
        <w:rPr>
          <w:sz w:val="20"/>
          <w:szCs w:val="20"/>
          <w:color w:val="auto"/>
        </w:rPr>
      </w:pPr>
    </w:p>
    <w:p>
      <w:pPr>
        <w:ind w:left="7"/>
        <w:spacing w:after="0"/>
        <w:rPr>
          <w:sz w:val="20"/>
          <w:szCs w:val="20"/>
          <w:color w:val="auto"/>
        </w:rPr>
      </w:pPr>
      <w:r>
        <w:rPr>
          <w:rFonts w:ascii="Verdana" w:cs="Verdana" w:eastAsia="Verdana" w:hAnsi="Verdana"/>
          <w:sz w:val="18"/>
          <w:szCs w:val="18"/>
          <w:color w:val="auto"/>
        </w:rPr>
        <w:t>Die  erfolgsabhängige  Vergütung  richtet  sich</w:t>
      </w:r>
    </w:p>
    <w:p>
      <w:pPr>
        <w:jc w:val="both"/>
        <w:ind w:left="7"/>
        <w:spacing w:after="0" w:line="250" w:lineRule="auto"/>
        <w:rPr>
          <w:sz w:val="20"/>
          <w:szCs w:val="20"/>
          <w:color w:val="auto"/>
        </w:rPr>
      </w:pPr>
      <w:r>
        <w:rPr>
          <w:rFonts w:ascii="Verdana" w:cs="Verdana" w:eastAsia="Verdana" w:hAnsi="Verdana"/>
          <w:sz w:val="17"/>
          <w:szCs w:val="17"/>
          <w:color w:val="auto"/>
        </w:rPr>
        <w:t>nach der Erreichung bestimmter Leistungsziele. Die Leistungsziele können persönliche Ziele, Unternehmens- und bereichsspezifische Ziele und im Vergleich zum</w:t>
      </w:r>
    </w:p>
    <w:p>
      <w:pPr>
        <w:spacing w:after="0" w:line="3" w:lineRule="exact"/>
        <w:rPr>
          <w:sz w:val="20"/>
          <w:szCs w:val="20"/>
          <w:color w:val="auto"/>
        </w:rPr>
      </w:pPr>
    </w:p>
    <w:p>
      <w:pPr>
        <w:jc w:val="both"/>
        <w:ind w:left="7"/>
        <w:spacing w:after="0"/>
        <w:rPr>
          <w:sz w:val="20"/>
          <w:szCs w:val="20"/>
          <w:color w:val="auto"/>
        </w:rPr>
      </w:pPr>
      <w:r>
        <w:rPr>
          <w:rFonts w:ascii="Verdana" w:cs="Verdana" w:eastAsia="Verdana" w:hAnsi="Verdana"/>
          <w:sz w:val="18"/>
          <w:szCs w:val="18"/>
          <w:color w:val="auto"/>
        </w:rPr>
        <w:t>Markt, anderen Unternehmen oder vergleichbaren Richtgrössen berechnete Ziele umfassen. Der Verwaltungsrat und/oder der Vergütungsausschuss legt die Gewichtung der Leistungsziele und die jeweiligen Zielwerte fest.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451485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33" w:space="720"/>
            <w:col w:w="4267"/>
          </w:cols>
          <w:pgMar w:left="1180" w:top="971" w:right="1199" w:bottom="1440" w:gutter="0" w:footer="0" w:header="0"/>
        </w:sectPr>
      </w:pPr>
    </w:p>
    <w:bookmarkStart w:id="35" w:name="page36"/>
    <w:bookmarkEnd w:id="35"/>
    <w:p>
      <w:pPr>
        <w:jc w:val="both"/>
        <w:ind w:right="20"/>
        <w:spacing w:after="0" w:line="254" w:lineRule="auto"/>
        <w:rPr>
          <w:sz w:val="20"/>
          <w:szCs w:val="20"/>
          <w:color w:val="auto"/>
        </w:rPr>
      </w:pPr>
      <w:r>
        <w:rPr>
          <w:rFonts w:ascii="Verdana" w:cs="Verdana" w:eastAsia="Verdana" w:hAnsi="Verdana"/>
          <w:sz w:val="18"/>
          <w:szCs w:val="18"/>
          <w:color w:val="auto"/>
        </w:rPr>
        <w:t>performance criteria and the respective target values.</w:t>
      </w:r>
    </w:p>
    <w:p>
      <w:pPr>
        <w:spacing w:after="0" w:line="185"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The compensation to the members of the Board of Directors and/or the Executive Committee may be paid or granted in cash, in form of shares, options or similar financial instruments and/or units in the Company, in kind or in form of other benefits. The Board of Directors or, to the extent delegated to it, the Compensation Committee shall determine matters relating to equity awards (such as shares, options or similar financial instruments and/or units) issued or issuable to the Board of Directors and/or the Executive Committee including grant, exercise, vesting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any required shares through purchases in the market, from treasury shares or by using contingent capital or the capital band.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9" w:lineRule="auto"/>
        <w:rPr>
          <w:sz w:val="20"/>
          <w:szCs w:val="20"/>
          <w:color w:val="auto"/>
        </w:rPr>
      </w:pPr>
      <w:r>
        <w:rPr>
          <w:rFonts w:ascii="Verdana" w:cs="Verdana" w:eastAsia="Verdana" w:hAnsi="Verdana"/>
          <w:sz w:val="18"/>
          <w:szCs w:val="18"/>
          <w:color w:val="auto"/>
        </w:rPr>
        <w:t>Subject to the approval by the General Meeting, the members of the Board of Directors may receive compensation in cash at customary conditions for advisory services rendered outside their capacity as a Board member for the benefit of the Company or companies under its control. The General Meeting may approve an additional bonus for the members of the Board of Directors in exceptional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compensation may also be paid for activities in companies that are directly or indirectly controlled by the Company and may be paid by the Company or by a company controlled by 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Die Vergütung an die Mitglieder des Verwaltungsrats und/oder der Geschäftsleitung kann in bar oder in Form von Aktien, Optionen oder ähnlichen Finanzinstrumenten und/oder Anteilen der Gesellschaft, Sachwerten oder anderen Leistungen bezahlt bzw. ausgerichtet werden. Der Verwaltungsrat oder, soweit an ihn delegiert, der Vergütungsausschuss entscheiden über Angelegenheiten im Zusammenhang mit der Eigenkapitalbeteiligung (Aktien, Optionen oder ähnlichen Finanzinstrumenten und/oder Anteilen) der Mitglieder des Verwaltungsrats und/oder der Geschäftsleitung, einschliesslich Zuteilungs-, Ausübungs- und Verfallsbedingungen. Sie können insbesondere vorsehen, dass aufgrund des Eintritts im Voraus bestimmter Ereignisse, wie eines Kontrollwechsels oder der Beendigung des Arbeits- oder Mandatsverhältnisses, Vesting-,</w:t>
      </w:r>
    </w:p>
    <w:p>
      <w:pPr>
        <w:spacing w:after="0" w:line="1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Ausübungs- und Verfallsbedingungen weitergelten, verkürzt oder aufgehoben werden, Vergütungen unter der Annahme der Erreichung von Zielwerten ausgerichtet werden oder Vergütungen verfallen. Die Gesellschaft kann die allenfalls erforderlichen Aktien auf dem Markt erwerben, aus Beständen eigener Aktien entnehmen oder unter Verwendung von bedingtem Kapital oder des Kapitalbandes bereitstellen.</w:t>
      </w:r>
    </w:p>
    <w:p>
      <w:pPr>
        <w:spacing w:after="0" w:line="195" w:lineRule="exact"/>
        <w:rPr>
          <w:sz w:val="20"/>
          <w:szCs w:val="20"/>
          <w:color w:val="auto"/>
        </w:rPr>
      </w:pPr>
    </w:p>
    <w:p>
      <w:pPr>
        <w:spacing w:after="0"/>
        <w:tabs>
          <w:tab w:leader="none" w:pos="1440" w:val="left"/>
          <w:tab w:leader="none" w:pos="2000" w:val="left"/>
          <w:tab w:leader="none" w:pos="3520" w:val="left"/>
          <w:tab w:leader="none" w:pos="4300" w:val="left"/>
        </w:tabs>
        <w:rPr>
          <w:sz w:val="20"/>
          <w:szCs w:val="20"/>
          <w:color w:val="auto"/>
        </w:rPr>
      </w:pPr>
      <w:r>
        <w:rPr>
          <w:rFonts w:ascii="Verdana" w:cs="Verdana" w:eastAsia="Verdana" w:hAnsi="Verdana"/>
          <w:sz w:val="18"/>
          <w:szCs w:val="18"/>
          <w:color w:val="auto"/>
        </w:rPr>
        <w:t>Vorbehältlich</w:t>
        <w:tab/>
        <w:t>der</w:t>
        <w:tab/>
        <w:t>Genehmigung</w:t>
        <w:tab/>
        <w:t>durch</w:t>
        <w:tab/>
        <w:t>die</w:t>
      </w:r>
    </w:p>
    <w:p>
      <w:pPr>
        <w:spacing w:after="0" w:line="236" w:lineRule="auto"/>
        <w:rPr>
          <w:sz w:val="20"/>
          <w:szCs w:val="20"/>
          <w:color w:val="auto"/>
        </w:rPr>
      </w:pPr>
      <w:r>
        <w:rPr>
          <w:rFonts w:ascii="Verdana" w:cs="Verdana" w:eastAsia="Verdana" w:hAnsi="Verdana"/>
          <w:sz w:val="18"/>
          <w:szCs w:val="18"/>
          <w:color w:val="auto"/>
        </w:rPr>
        <w:t>Generalversammlung, kann den Mitgliedern des</w:t>
      </w:r>
    </w:p>
    <w:p>
      <w:pPr>
        <w:spacing w:after="0" w:line="237" w:lineRule="auto"/>
        <w:rPr>
          <w:sz w:val="20"/>
          <w:szCs w:val="20"/>
          <w:color w:val="auto"/>
        </w:rPr>
      </w:pPr>
      <w:r>
        <w:rPr>
          <w:rFonts w:ascii="Verdana" w:cs="Verdana" w:eastAsia="Verdana" w:hAnsi="Verdana"/>
          <w:sz w:val="18"/>
          <w:szCs w:val="18"/>
          <w:color w:val="auto"/>
        </w:rPr>
        <w:t>Verwaltungsrats  eine  Entschädigung  in  bar  zu</w:t>
      </w:r>
    </w:p>
    <w:p>
      <w:pPr>
        <w:spacing w:after="0" w:line="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w:t>
      </w:r>
    </w:p>
    <w:p>
      <w:pPr>
        <w:spacing w:after="0" w:line="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Gunsten der Verwaltungsratsmitglieder genehmigen.</w:t>
      </w:r>
    </w:p>
    <w:p>
      <w:pPr>
        <w:spacing w:after="0" w:line="185"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451485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b w:val="1"/>
          <w:bCs w:val="1"/>
          <w:color w:val="auto"/>
        </w:rPr>
        <w:t>Art. 33</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[Left blank]</w:t>
      </w:r>
    </w:p>
    <w:p>
      <w:pPr>
        <w:spacing w:after="0" w:line="213" w:lineRule="exact"/>
        <w:rPr>
          <w:sz w:val="20"/>
          <w:szCs w:val="20"/>
          <w:color w:val="auto"/>
        </w:rPr>
      </w:pPr>
    </w:p>
    <w:p>
      <w:pPr>
        <w:ind w:left="980" w:right="260" w:hanging="1220"/>
        <w:spacing w:after="0" w:line="283" w:lineRule="auto"/>
        <w:tabs>
          <w:tab w:leader="none" w:pos="960" w:val="left"/>
        </w:tabs>
        <w:rPr>
          <w:sz w:val="20"/>
          <w:szCs w:val="20"/>
          <w:color w:val="auto"/>
        </w:rPr>
      </w:pPr>
      <w:r>
        <w:rPr>
          <w:rFonts w:ascii="Verdana" w:cs="Verdana" w:eastAsia="Verdana" w:hAnsi="Verdana"/>
          <w:sz w:val="18"/>
          <w:szCs w:val="18"/>
          <w:b w:val="1"/>
          <w:bCs w:val="1"/>
          <w:color w:val="auto"/>
        </w:rPr>
        <w:t>Art. 34</w:t>
      </w:r>
      <w:r>
        <w:rPr>
          <w:sz w:val="20"/>
          <w:szCs w:val="20"/>
          <w:color w:val="auto"/>
        </w:rPr>
        <w:tab/>
      </w:r>
      <w:r>
        <w:rPr>
          <w:rFonts w:ascii="Verdana" w:cs="Verdana" w:eastAsia="Verdana" w:hAnsi="Verdana"/>
          <w:sz w:val="17"/>
          <w:szCs w:val="17"/>
          <w:b w:val="1"/>
          <w:bCs w:val="1"/>
          <w:color w:val="auto"/>
        </w:rPr>
        <w:t>Compensation for new Members of the Executive Committee</w:t>
      </w:r>
    </w:p>
    <w:p>
      <w:pPr>
        <w:spacing w:after="0" w:line="161"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General Meeting. The additional amount payable to all new members of the Executive Committee may not exceed 50 percent of the respective total compensation of the Executive Committee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35</w:t>
        <w:tab/>
        <w:t>Expenses</w:t>
      </w:r>
    </w:p>
    <w:p>
      <w:pPr>
        <w:spacing w:after="0" w:line="21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Expenses which are not covered by the lump sum compensation pursuant to the Company’s expense regulations shall be reimbursed following presentation of the supporting receipts. This additional compensation is not subject to a separate vote by the General Meeting.</w:t>
      </w:r>
    </w:p>
    <w:p>
      <w:pPr>
        <w:spacing w:after="0" w:line="19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36</w:t>
      </w:r>
      <w:r>
        <w:rPr>
          <w:sz w:val="20"/>
          <w:szCs w:val="20"/>
          <w:color w:val="auto"/>
        </w:rPr>
        <w:tab/>
      </w:r>
      <w:r>
        <w:rPr>
          <w:rFonts w:ascii="Verdana" w:cs="Verdana" w:eastAsia="Verdana" w:hAnsi="Verdana"/>
          <w:sz w:val="17"/>
          <w:szCs w:val="17"/>
          <w:b w:val="1"/>
          <w:bCs w:val="1"/>
          <w:color w:val="auto"/>
        </w:rPr>
        <w:t>Compensation Agreements</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Agreements on compensation with members of the Board of Directors may not exceed the term of office.</w:t>
      </w:r>
    </w:p>
    <w:p>
      <w:pPr>
        <w:spacing w:after="0" w:line="19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8"/>
          <w:szCs w:val="18"/>
          <w:b w:val="1"/>
          <w:bCs w:val="1"/>
          <w:color w:val="auto"/>
        </w:rPr>
        <w:t>Art. 33</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[Entfallen]</w:t>
      </w:r>
    </w:p>
    <w:p>
      <w:pPr>
        <w:spacing w:after="0" w:line="213" w:lineRule="exact"/>
        <w:rPr>
          <w:sz w:val="20"/>
          <w:szCs w:val="20"/>
          <w:color w:val="auto"/>
        </w:rPr>
      </w:pPr>
    </w:p>
    <w:p>
      <w:pPr>
        <w:ind w:left="1000" w:right="300" w:hanging="1220"/>
        <w:spacing w:after="0" w:line="254" w:lineRule="auto"/>
        <w:tabs>
          <w:tab w:leader="none" w:pos="980" w:val="left"/>
        </w:tabs>
        <w:rPr>
          <w:sz w:val="20"/>
          <w:szCs w:val="20"/>
          <w:color w:val="auto"/>
        </w:rPr>
      </w:pPr>
      <w:r>
        <w:rPr>
          <w:rFonts w:ascii="Verdana" w:cs="Verdana" w:eastAsia="Verdana" w:hAnsi="Verdana"/>
          <w:sz w:val="18"/>
          <w:szCs w:val="18"/>
          <w:b w:val="1"/>
          <w:bCs w:val="1"/>
          <w:color w:val="auto"/>
        </w:rPr>
        <w:t>Art. 34</w:t>
        <w:tab/>
        <w:t>Vergütungen für neue Mitglieder der Geschäftsleitung</w:t>
      </w:r>
    </w:p>
    <w:p>
      <w:pPr>
        <w:spacing w:after="0" w:line="185"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Sofern neue Mitglieder der Geschäftsleitung ernannt werden und ihre Stelle antreten,</w:t>
      </w:r>
    </w:p>
    <w:p>
      <w:pPr>
        <w:spacing w:after="0"/>
        <w:tabs>
          <w:tab w:leader="none" w:pos="1240" w:val="left"/>
          <w:tab w:leader="none" w:pos="1940" w:val="left"/>
          <w:tab w:leader="none" w:pos="4320" w:val="left"/>
        </w:tabs>
        <w:rPr>
          <w:sz w:val="20"/>
          <w:szCs w:val="20"/>
          <w:color w:val="auto"/>
        </w:rPr>
      </w:pPr>
      <w:r>
        <w:rPr>
          <w:rFonts w:ascii="Verdana" w:cs="Verdana" w:eastAsia="Verdana" w:hAnsi="Verdana"/>
          <w:sz w:val="18"/>
          <w:szCs w:val="18"/>
          <w:color w:val="auto"/>
        </w:rPr>
        <w:t>nachdem</w:t>
      </w:r>
      <w:r>
        <w:rPr>
          <w:sz w:val="20"/>
          <w:szCs w:val="20"/>
          <w:color w:val="auto"/>
        </w:rPr>
        <w:tab/>
      </w:r>
      <w:r>
        <w:rPr>
          <w:rFonts w:ascii="Verdana" w:cs="Verdana" w:eastAsia="Verdana" w:hAnsi="Verdana"/>
          <w:sz w:val="18"/>
          <w:szCs w:val="18"/>
          <w:color w:val="auto"/>
        </w:rPr>
        <w:t>die</w:t>
      </w:r>
      <w:r>
        <w:rPr>
          <w:sz w:val="20"/>
          <w:szCs w:val="20"/>
          <w:color w:val="auto"/>
        </w:rPr>
        <w:tab/>
      </w:r>
      <w:r>
        <w:rPr>
          <w:rFonts w:ascii="Verdana" w:cs="Verdana" w:eastAsia="Verdana" w:hAnsi="Verdana"/>
          <w:sz w:val="18"/>
          <w:szCs w:val="18"/>
          <w:color w:val="auto"/>
        </w:rPr>
        <w:t>Generalversammlung</w:t>
      </w:r>
      <w:r>
        <w:rPr>
          <w:sz w:val="20"/>
          <w:szCs w:val="20"/>
          <w:color w:val="auto"/>
        </w:rPr>
        <w:tab/>
      </w:r>
      <w:r>
        <w:rPr>
          <w:rFonts w:ascii="Verdana" w:cs="Verdana" w:eastAsia="Verdana" w:hAnsi="Verdana"/>
          <w:sz w:val="17"/>
          <w:szCs w:val="17"/>
          <w:color w:val="auto"/>
        </w:rPr>
        <w:t>die</w:t>
      </w:r>
    </w:p>
    <w:p>
      <w:pPr>
        <w:jc w:val="both"/>
        <w:spacing w:after="0" w:line="236" w:lineRule="auto"/>
        <w:rPr>
          <w:sz w:val="20"/>
          <w:szCs w:val="20"/>
          <w:color w:val="auto"/>
        </w:rPr>
      </w:pPr>
      <w:r>
        <w:rPr>
          <w:rFonts w:ascii="Verdana" w:cs="Verdana" w:eastAsia="Verdana" w:hAnsi="Verdana"/>
          <w:sz w:val="18"/>
          <w:szCs w:val="18"/>
          <w:color w:val="auto"/>
        </w:rPr>
        <w:t>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w:t>
      </w:r>
    </w:p>
    <w:p>
      <w:pPr>
        <w:spacing w:after="0" w:line="7"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betreffende Jahr bereits genehmigten Gesamtvergütung für die Geschäftsleitung nicht übersteigen. Der Zusatzbetrag darf nur ausgerichtet werden, sofern und soweit die von</w:t>
      </w:r>
    </w:p>
    <w:p>
      <w:pPr>
        <w:spacing w:after="0" w:line="1" w:lineRule="exact"/>
        <w:rPr>
          <w:sz w:val="20"/>
          <w:szCs w:val="20"/>
          <w:color w:val="auto"/>
        </w:rPr>
      </w:pPr>
    </w:p>
    <w:p>
      <w:pPr>
        <w:spacing w:after="0"/>
        <w:tabs>
          <w:tab w:leader="none" w:pos="820" w:val="left"/>
          <w:tab w:leader="none" w:pos="3280" w:val="left"/>
        </w:tabs>
        <w:rPr>
          <w:sz w:val="20"/>
          <w:szCs w:val="20"/>
          <w:color w:val="auto"/>
        </w:rPr>
      </w:pPr>
      <w:r>
        <w:rPr>
          <w:rFonts w:ascii="Verdana" w:cs="Verdana" w:eastAsia="Verdana" w:hAnsi="Verdana"/>
          <w:sz w:val="18"/>
          <w:szCs w:val="18"/>
          <w:color w:val="auto"/>
        </w:rPr>
        <w:t>der</w:t>
      </w:r>
      <w:r>
        <w:rPr>
          <w:sz w:val="20"/>
          <w:szCs w:val="20"/>
          <w:color w:val="auto"/>
        </w:rPr>
        <w:tab/>
      </w:r>
      <w:r>
        <w:rPr>
          <w:rFonts w:ascii="Verdana" w:cs="Verdana" w:eastAsia="Verdana" w:hAnsi="Verdana"/>
          <w:sz w:val="18"/>
          <w:szCs w:val="18"/>
          <w:color w:val="auto"/>
        </w:rPr>
        <w:t>Generalversammlung</w:t>
      </w:r>
      <w:r>
        <w:rPr>
          <w:sz w:val="20"/>
          <w:szCs w:val="20"/>
          <w:color w:val="auto"/>
        </w:rPr>
        <w:tab/>
      </w:r>
      <w:r>
        <w:rPr>
          <w:rFonts w:ascii="Verdana" w:cs="Verdana" w:eastAsia="Verdana" w:hAnsi="Verdana"/>
          <w:sz w:val="17"/>
          <w:szCs w:val="17"/>
          <w:color w:val="auto"/>
        </w:rPr>
        <w:t>beschlossenen</w:t>
      </w:r>
    </w:p>
    <w:p>
      <w:pPr>
        <w:jc w:val="both"/>
        <w:spacing w:after="0"/>
        <w:rPr>
          <w:sz w:val="20"/>
          <w:szCs w:val="20"/>
          <w:color w:val="auto"/>
        </w:rPr>
      </w:pPr>
      <w:r>
        <w:rPr>
          <w:rFonts w:ascii="Verdana" w:cs="Verdana" w:eastAsia="Verdana" w:hAnsi="Verdana"/>
          <w:sz w:val="18"/>
          <w:szCs w:val="18"/>
          <w:color w:val="auto"/>
        </w:rPr>
        <w:t>Vergütungsbeträge an die Geschäftsleitungsmitglieder bis zur nächsten ordentlichen Generalversammlung für die Vergütung der neuen Mitglieder nicht ausreicht. Über den verwendeten Zusatzbetrag stimmt die Generalversammlung nicht ab.</w:t>
      </w:r>
    </w:p>
    <w:p>
      <w:pPr>
        <w:spacing w:after="0" w:line="19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35</w:t>
      </w:r>
      <w:r>
        <w:rPr>
          <w:sz w:val="20"/>
          <w:szCs w:val="20"/>
          <w:color w:val="auto"/>
        </w:rPr>
        <w:tab/>
      </w:r>
      <w:r>
        <w:rPr>
          <w:rFonts w:ascii="Verdana" w:cs="Verdana" w:eastAsia="Verdana" w:hAnsi="Verdana"/>
          <w:sz w:val="17"/>
          <w:szCs w:val="17"/>
          <w:b w:val="1"/>
          <w:bCs w:val="1"/>
          <w:color w:val="auto"/>
        </w:rPr>
        <w:t>Spesen</w:t>
      </w:r>
    </w:p>
    <w:p>
      <w:pPr>
        <w:spacing w:after="0" w:line="21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Spesen, welche nicht durch die pauschale Spesenentschädigung gemäss Spesenreglement abgedeckt sind, werden nach Vorlage der entsprechenden Belege rückvergütet. Diese Rückvergütung ist von der Generalversammlung nicht zu genehmigen.</w:t>
      </w:r>
    </w:p>
    <w:p>
      <w:pPr>
        <w:spacing w:after="0" w:line="19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36</w:t>
      </w:r>
      <w:r>
        <w:rPr>
          <w:sz w:val="20"/>
          <w:szCs w:val="20"/>
          <w:color w:val="auto"/>
        </w:rPr>
        <w:tab/>
      </w:r>
      <w:r>
        <w:rPr>
          <w:rFonts w:ascii="Verdana" w:cs="Verdana" w:eastAsia="Verdana" w:hAnsi="Verdana"/>
          <w:sz w:val="17"/>
          <w:szCs w:val="17"/>
          <w:b w:val="1"/>
          <w:bCs w:val="1"/>
          <w:color w:val="auto"/>
        </w:rPr>
        <w:t>Verträge über die Vergütung</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Verträge, die den Vergütungen für die Mitglieder des Verwaltungsrats zugrunde liegen, sind auf die Amtsdauer zu befristen.</w:t>
      </w:r>
    </w:p>
    <w:p>
      <w:pPr>
        <w:spacing w:after="0" w:line="191" w:lineRule="exact"/>
        <w:rPr>
          <w:sz w:val="20"/>
          <w:szCs w:val="20"/>
          <w:color w:val="auto"/>
        </w:rPr>
      </w:pPr>
    </w:p>
    <w:p>
      <w:pPr>
        <w:spacing w:after="0"/>
        <w:tabs>
          <w:tab w:leader="none" w:pos="1580" w:val="left"/>
          <w:tab w:leader="none" w:pos="4280" w:val="left"/>
        </w:tabs>
        <w:rPr>
          <w:sz w:val="20"/>
          <w:szCs w:val="20"/>
          <w:color w:val="auto"/>
        </w:rPr>
      </w:pPr>
      <w:r>
        <w:rPr>
          <w:rFonts w:ascii="Verdana" w:cs="Verdana" w:eastAsia="Verdana" w:hAnsi="Verdana"/>
          <w:sz w:val="18"/>
          <w:szCs w:val="18"/>
          <w:color w:val="auto"/>
        </w:rPr>
        <w:t>Die</w:t>
      </w:r>
      <w:r>
        <w:rPr>
          <w:sz w:val="20"/>
          <w:szCs w:val="20"/>
          <w:color w:val="auto"/>
        </w:rPr>
        <w:tab/>
      </w:r>
      <w:r>
        <w:rPr>
          <w:rFonts w:ascii="Verdana" w:cs="Verdana" w:eastAsia="Verdana" w:hAnsi="Verdana"/>
          <w:sz w:val="18"/>
          <w:szCs w:val="18"/>
          <w:color w:val="auto"/>
        </w:rPr>
        <w:t>Arbeitsverträge</w:t>
      </w:r>
      <w:r>
        <w:rPr>
          <w:sz w:val="20"/>
          <w:szCs w:val="20"/>
          <w:color w:val="auto"/>
        </w:rPr>
        <w:tab/>
      </w:r>
      <w:r>
        <w:rPr>
          <w:rFonts w:ascii="Verdana" w:cs="Verdana" w:eastAsia="Verdana" w:hAnsi="Verdana"/>
          <w:sz w:val="18"/>
          <w:szCs w:val="18"/>
          <w:color w:val="auto"/>
        </w:rPr>
        <w:t>der</w:t>
      </w:r>
    </w:p>
    <w:p>
      <w:pPr>
        <w:jc w:val="both"/>
        <w:spacing w:after="0" w:line="241" w:lineRule="auto"/>
        <w:rPr>
          <w:sz w:val="20"/>
          <w:szCs w:val="20"/>
          <w:color w:val="auto"/>
        </w:rPr>
      </w:pPr>
      <w:r>
        <w:rPr>
          <w:rFonts w:ascii="Verdana" w:cs="Verdana" w:eastAsia="Verdana" w:hAnsi="Verdana"/>
          <w:sz w:val="18"/>
          <w:szCs w:val="18"/>
          <w:color w:val="auto"/>
        </w:rPr>
        <w:t>Geschäfts leitungsmitglieder sind grundsätzlich unbefristet, wobei die Kündigungsfrist maximal zwölf Monate betragen darf. Wird ein befristeter Vertrag abgeschlossen, so darf dieser die Dauer von ein Jahr nicht überschreiten.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450215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37" w:name="page38"/>
    <w:bookmarkEnd w:id="37"/>
    <w:p>
      <w:pPr>
        <w:spacing w:after="0"/>
        <w:tabs>
          <w:tab w:leader="none" w:pos="960" w:val="left"/>
        </w:tabs>
        <w:rPr>
          <w:sz w:val="20"/>
          <w:szCs w:val="20"/>
          <w:color w:val="auto"/>
        </w:rPr>
      </w:pPr>
      <w:r>
        <w:rPr>
          <w:rFonts w:ascii="Verdana" w:cs="Verdana" w:eastAsia="Verdana" w:hAnsi="Verdana"/>
          <w:sz w:val="18"/>
          <w:szCs w:val="18"/>
          <w:b w:val="1"/>
          <w:bCs w:val="1"/>
          <w:color w:val="auto"/>
        </w:rPr>
        <w:t>Art. 37</w:t>
      </w:r>
      <w:r>
        <w:rPr>
          <w:sz w:val="20"/>
          <w:szCs w:val="20"/>
          <w:color w:val="auto"/>
        </w:rPr>
        <w:tab/>
      </w:r>
      <w:r>
        <w:rPr>
          <w:rFonts w:ascii="Verdana" w:cs="Verdana" w:eastAsia="Verdana" w:hAnsi="Verdana"/>
          <w:sz w:val="17"/>
          <w:szCs w:val="17"/>
          <w:b w:val="1"/>
          <w:bCs w:val="1"/>
          <w:color w:val="auto"/>
        </w:rPr>
        <w:t>Mandates of a Member of the</w:t>
      </w:r>
    </w:p>
    <w:p>
      <w:pPr>
        <w:ind w:left="1220"/>
        <w:spacing w:after="0" w:line="236" w:lineRule="auto"/>
        <w:rPr>
          <w:sz w:val="20"/>
          <w:szCs w:val="20"/>
          <w:color w:val="auto"/>
        </w:rPr>
      </w:pPr>
      <w:r>
        <w:rPr>
          <w:rFonts w:ascii="Verdana" w:cs="Verdana" w:eastAsia="Verdana" w:hAnsi="Verdana"/>
          <w:sz w:val="18"/>
          <w:szCs w:val="18"/>
          <w:b w:val="1"/>
          <w:bCs w:val="1"/>
          <w:color w:val="auto"/>
        </w:rPr>
        <w:t>Board of Directors outside the</w:t>
      </w:r>
    </w:p>
    <w:p>
      <w:pPr>
        <w:spacing w:after="0" w:line="1" w:lineRule="exact"/>
        <w:rPr>
          <w:sz w:val="20"/>
          <w:szCs w:val="20"/>
          <w:color w:val="auto"/>
        </w:rPr>
      </w:pPr>
    </w:p>
    <w:p>
      <w:pPr>
        <w:ind w:left="1220"/>
        <w:spacing w:after="0"/>
        <w:rPr>
          <w:sz w:val="20"/>
          <w:szCs w:val="20"/>
          <w:color w:val="auto"/>
        </w:rPr>
      </w:pPr>
      <w:r>
        <w:rPr>
          <w:rFonts w:ascii="Verdana" w:cs="Verdana" w:eastAsia="Verdana" w:hAnsi="Verdana"/>
          <w:sz w:val="18"/>
          <w:szCs w:val="18"/>
          <w:b w:val="1"/>
          <w:bCs w:val="1"/>
          <w:color w:val="auto"/>
        </w:rPr>
        <w:t>Company</w:t>
      </w:r>
    </w:p>
    <w:p>
      <w:pPr>
        <w:spacing w:after="0" w:line="213" w:lineRule="exact"/>
        <w:rPr>
          <w:sz w:val="20"/>
          <w:szCs w:val="20"/>
          <w:color w:val="auto"/>
        </w:rPr>
      </w:pPr>
    </w:p>
    <w:p>
      <w:pPr>
        <w:jc w:val="both"/>
        <w:ind w:right="20"/>
        <w:spacing w:after="0" w:line="259" w:lineRule="auto"/>
        <w:rPr>
          <w:sz w:val="20"/>
          <w:szCs w:val="20"/>
          <w:color w:val="auto"/>
        </w:rPr>
      </w:pPr>
      <w:r>
        <w:rPr>
          <w:rFonts w:ascii="Verdana" w:cs="Verdana" w:eastAsia="Verdana" w:hAnsi="Verdana"/>
          <w:sz w:val="17"/>
          <w:szCs w:val="17"/>
          <w:color w:val="auto"/>
        </w:rPr>
        <w:t>A member of the Board of Directors may cumulatively assume not more than the following number of mandates in the board of directors, the executive committee or the advisory board, or any comparable function under foreign law:</w:t>
      </w:r>
    </w:p>
    <w:p>
      <w:pPr>
        <w:spacing w:after="0" w:line="181" w:lineRule="exact"/>
        <w:rPr>
          <w:sz w:val="20"/>
          <w:szCs w:val="20"/>
          <w:color w:val="auto"/>
        </w:rPr>
      </w:pPr>
    </w:p>
    <w:p>
      <w:pPr>
        <w:jc w:val="both"/>
        <w:ind w:left="380" w:right="20" w:hanging="379"/>
        <w:spacing w:after="0" w:line="245" w:lineRule="auto"/>
        <w:tabs>
          <w:tab w:leader="none" w:pos="380" w:val="left"/>
        </w:tabs>
        <w:numPr>
          <w:ilvl w:val="0"/>
          <w:numId w:val="48"/>
        </w:numPr>
        <w:rPr>
          <w:rFonts w:ascii="Times New Roman" w:cs="Times New Roman" w:eastAsia="Times New Roman" w:hAnsi="Times New Roman"/>
          <w:sz w:val="18"/>
          <w:szCs w:val="18"/>
          <w:color w:val="auto"/>
        </w:rPr>
      </w:pPr>
      <w:r>
        <w:rPr>
          <w:rFonts w:ascii="Verdana" w:cs="Verdana" w:eastAsia="Verdana" w:hAnsi="Verdana"/>
          <w:sz w:val="18"/>
          <w:szCs w:val="18"/>
          <w:color w:val="auto"/>
        </w:rPr>
        <w:t>7 mandates for publicly traded companies pursuant to Art. 727 para. 1 number 1 CO; and</w:t>
      </w:r>
    </w:p>
    <w:p>
      <w:pPr>
        <w:spacing w:after="0" w:line="188" w:lineRule="exact"/>
        <w:rPr>
          <w:rFonts w:ascii="Times New Roman" w:cs="Times New Roman" w:eastAsia="Times New Roman" w:hAnsi="Times New Roman"/>
          <w:sz w:val="18"/>
          <w:szCs w:val="18"/>
          <w:color w:val="auto"/>
        </w:rPr>
      </w:pPr>
    </w:p>
    <w:p>
      <w:pPr>
        <w:ind w:left="300" w:hanging="299"/>
        <w:spacing w:after="0"/>
        <w:tabs>
          <w:tab w:leader="none" w:pos="300" w:val="left"/>
        </w:tabs>
        <w:numPr>
          <w:ilvl w:val="0"/>
          <w:numId w:val="48"/>
        </w:numPr>
        <w:rPr>
          <w:rFonts w:ascii="Times New Roman" w:cs="Times New Roman" w:eastAsia="Times New Roman" w:hAnsi="Times New Roman"/>
          <w:sz w:val="18"/>
          <w:szCs w:val="18"/>
          <w:color w:val="auto"/>
        </w:rPr>
      </w:pPr>
      <w:r>
        <w:rPr>
          <w:rFonts w:ascii="Verdana" w:cs="Verdana" w:eastAsia="Verdana" w:hAnsi="Verdana"/>
          <w:sz w:val="18"/>
          <w:szCs w:val="18"/>
          <w:color w:val="auto"/>
        </w:rPr>
        <w:t>8 mandates for companies pursuant to Art.</w:t>
      </w:r>
    </w:p>
    <w:p>
      <w:pPr>
        <w:ind w:left="300"/>
        <w:spacing w:after="0"/>
        <w:rPr>
          <w:rFonts w:ascii="Times New Roman" w:cs="Times New Roman" w:eastAsia="Times New Roman" w:hAnsi="Times New Roman"/>
          <w:sz w:val="18"/>
          <w:szCs w:val="18"/>
          <w:color w:val="auto"/>
        </w:rPr>
      </w:pPr>
      <w:r>
        <w:rPr>
          <w:rFonts w:ascii="Verdana" w:cs="Verdana" w:eastAsia="Verdana" w:hAnsi="Verdana"/>
          <w:sz w:val="18"/>
          <w:szCs w:val="18"/>
          <w:color w:val="auto"/>
        </w:rPr>
        <w:t>727 para. 1 number 2 CO; and</w:t>
      </w:r>
    </w:p>
    <w:p>
      <w:pPr>
        <w:spacing w:after="0" w:line="213" w:lineRule="exact"/>
        <w:rPr>
          <w:rFonts w:ascii="Times New Roman" w:cs="Times New Roman" w:eastAsia="Times New Roman" w:hAnsi="Times New Roman"/>
          <w:sz w:val="18"/>
          <w:szCs w:val="18"/>
          <w:color w:val="auto"/>
        </w:rPr>
      </w:pPr>
    </w:p>
    <w:p>
      <w:pPr>
        <w:ind w:left="300" w:right="20" w:hanging="299"/>
        <w:spacing w:after="0" w:line="253" w:lineRule="auto"/>
        <w:tabs>
          <w:tab w:leader="none" w:pos="300" w:val="left"/>
        </w:tabs>
        <w:numPr>
          <w:ilvl w:val="0"/>
          <w:numId w:val="48"/>
        </w:numPr>
        <w:rPr>
          <w:rFonts w:ascii="Times New Roman" w:cs="Times New Roman" w:eastAsia="Times New Roman" w:hAnsi="Times New Roman"/>
          <w:sz w:val="18"/>
          <w:szCs w:val="18"/>
          <w:color w:val="auto"/>
        </w:rPr>
      </w:pPr>
      <w:r>
        <w:rPr>
          <w:rFonts w:ascii="Verdana" w:cs="Verdana" w:eastAsia="Verdana" w:hAnsi="Verdana"/>
          <w:sz w:val="18"/>
          <w:szCs w:val="18"/>
          <w:color w:val="auto"/>
        </w:rPr>
        <w:t>5 mandates for companies which do not fulfil the criteria under a) and b) hereunder.</w:t>
      </w:r>
    </w:p>
    <w:p>
      <w:pPr>
        <w:spacing w:after="0" w:line="200" w:lineRule="exact"/>
        <w:rPr>
          <w:sz w:val="20"/>
          <w:szCs w:val="20"/>
          <w:color w:val="auto"/>
        </w:rPr>
      </w:pPr>
    </w:p>
    <w:p>
      <w:pPr>
        <w:spacing w:after="0" w:line="202"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Mandates held in several companies each operating under the same management or same beneficial owner (group) are deemed to be a single mandate but may not exceed a total of forty.</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If a legal entity fulfills several of the above mentioned criteria, it can be freely counted towards any category. The following mandates are excepted from these restrictions:</w:t>
      </w:r>
    </w:p>
    <w:p>
      <w:pPr>
        <w:spacing w:after="0" w:line="200" w:lineRule="exact"/>
        <w:rPr>
          <w:sz w:val="20"/>
          <w:szCs w:val="20"/>
          <w:color w:val="auto"/>
        </w:rPr>
      </w:pPr>
    </w:p>
    <w:p>
      <w:pPr>
        <w:spacing w:after="0" w:line="214" w:lineRule="exact"/>
        <w:rPr>
          <w:sz w:val="20"/>
          <w:szCs w:val="20"/>
          <w:color w:val="auto"/>
        </w:rPr>
      </w:pPr>
    </w:p>
    <w:p>
      <w:pPr>
        <w:jc w:val="both"/>
        <w:ind w:left="380" w:right="20" w:hanging="379"/>
        <w:spacing w:after="0" w:line="245" w:lineRule="auto"/>
        <w:tabs>
          <w:tab w:leader="none" w:pos="380" w:val="left"/>
        </w:tabs>
        <w:numPr>
          <w:ilvl w:val="0"/>
          <w:numId w:val="49"/>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mandates in legal entities which are controlled by the Company or which control the Company;</w:t>
      </w:r>
    </w:p>
    <w:p>
      <w:pPr>
        <w:spacing w:after="0" w:line="192" w:lineRule="exact"/>
        <w:rPr>
          <w:rFonts w:ascii="Times New Roman" w:cs="Times New Roman" w:eastAsia="Times New Roman" w:hAnsi="Times New Roman"/>
          <w:sz w:val="18"/>
          <w:szCs w:val="18"/>
          <w:color w:val="auto"/>
        </w:rPr>
      </w:pPr>
    </w:p>
    <w:p>
      <w:pPr>
        <w:jc w:val="both"/>
        <w:ind w:left="380" w:right="20" w:hanging="379"/>
        <w:spacing w:after="0" w:line="245" w:lineRule="auto"/>
        <w:tabs>
          <w:tab w:leader="none" w:pos="380" w:val="left"/>
        </w:tabs>
        <w:numPr>
          <w:ilvl w:val="0"/>
          <w:numId w:val="49"/>
        </w:numPr>
        <w:rPr>
          <w:rFonts w:ascii="Times New Roman" w:cs="Times New Roman" w:eastAsia="Times New Roman" w:hAnsi="Times New Roman"/>
          <w:sz w:val="18"/>
          <w:szCs w:val="18"/>
          <w:color w:val="auto"/>
        </w:rPr>
      </w:pPr>
      <w:r>
        <w:rPr>
          <w:rFonts w:ascii="Verdana" w:cs="Verdana" w:eastAsia="Verdana" w:hAnsi="Verdana"/>
          <w:sz w:val="18"/>
          <w:szCs w:val="18"/>
          <w:color w:val="auto"/>
        </w:rPr>
        <w:t>honorary mandates in charitable institutions and mandates in other companies without an economic purpose.</w:t>
      </w:r>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38</w:t>
      </w:r>
      <w:r>
        <w:rPr>
          <w:sz w:val="20"/>
          <w:szCs w:val="20"/>
          <w:color w:val="auto"/>
        </w:rPr>
        <w:tab/>
      </w:r>
      <w:r>
        <w:rPr>
          <w:rFonts w:ascii="Verdana" w:cs="Verdana" w:eastAsia="Verdana" w:hAnsi="Verdana"/>
          <w:sz w:val="17"/>
          <w:szCs w:val="17"/>
          <w:b w:val="1"/>
          <w:bCs w:val="1"/>
          <w:color w:val="auto"/>
        </w:rPr>
        <w:t>Mandates of a Member of the</w:t>
      </w:r>
    </w:p>
    <w:p>
      <w:pPr>
        <w:ind w:left="1220"/>
        <w:spacing w:after="0" w:line="236" w:lineRule="auto"/>
        <w:rPr>
          <w:sz w:val="20"/>
          <w:szCs w:val="20"/>
          <w:color w:val="auto"/>
        </w:rPr>
      </w:pPr>
      <w:r>
        <w:rPr>
          <w:rFonts w:ascii="Verdana" w:cs="Verdana" w:eastAsia="Verdana" w:hAnsi="Verdana"/>
          <w:sz w:val="18"/>
          <w:szCs w:val="18"/>
          <w:b w:val="1"/>
          <w:bCs w:val="1"/>
          <w:color w:val="auto"/>
        </w:rPr>
        <w:t>Executive Committee outside</w:t>
      </w:r>
    </w:p>
    <w:p>
      <w:pPr>
        <w:spacing w:after="0" w:line="1" w:lineRule="exact"/>
        <w:rPr>
          <w:sz w:val="20"/>
          <w:szCs w:val="20"/>
          <w:color w:val="auto"/>
        </w:rPr>
      </w:pPr>
    </w:p>
    <w:p>
      <w:pPr>
        <w:ind w:left="1220"/>
        <w:spacing w:after="0"/>
        <w:rPr>
          <w:sz w:val="20"/>
          <w:szCs w:val="20"/>
          <w:color w:val="auto"/>
        </w:rPr>
      </w:pPr>
      <w:r>
        <w:rPr>
          <w:rFonts w:ascii="Verdana" w:cs="Verdana" w:eastAsia="Verdana" w:hAnsi="Verdana"/>
          <w:sz w:val="18"/>
          <w:szCs w:val="18"/>
          <w:b w:val="1"/>
          <w:bCs w:val="1"/>
          <w:color w:val="auto"/>
        </w:rPr>
        <w:t>the Company</w:t>
      </w:r>
    </w:p>
    <w:p>
      <w:pPr>
        <w:spacing w:after="0" w:line="21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Each member of the Executive Committee may, with approval of the Board of Directors, cumulatively assume not more than the following number of mandates in the board of directors, the</w:t>
      </w:r>
    </w:p>
    <w:p>
      <w:pPr>
        <w:spacing w:after="0" w:line="20" w:lineRule="exact"/>
        <w:rPr>
          <w:sz w:val="20"/>
          <w:szCs w:val="20"/>
          <w:color w:val="auto"/>
        </w:rPr>
      </w:pPr>
      <w:r>
        <w:rPr>
          <w:sz w:val="20"/>
          <w:szCs w:val="20"/>
          <w:color w:val="auto"/>
        </w:rPr>
        <w:br w:type="column"/>
      </w:r>
    </w:p>
    <w:p>
      <w:pPr>
        <w:ind w:left="1000" w:right="580" w:hanging="1220"/>
        <w:spacing w:after="0" w:line="245" w:lineRule="auto"/>
        <w:tabs>
          <w:tab w:leader="none" w:pos="980" w:val="left"/>
        </w:tabs>
        <w:rPr>
          <w:sz w:val="20"/>
          <w:szCs w:val="20"/>
          <w:color w:val="auto"/>
        </w:rPr>
      </w:pPr>
      <w:r>
        <w:rPr>
          <w:rFonts w:ascii="Verdana" w:cs="Verdana" w:eastAsia="Verdana" w:hAnsi="Verdana"/>
          <w:sz w:val="18"/>
          <w:szCs w:val="18"/>
          <w:b w:val="1"/>
          <w:bCs w:val="1"/>
          <w:color w:val="auto"/>
        </w:rPr>
        <w:t>Art. 37</w:t>
        <w:tab/>
        <w:t>Mandate eines Verwaltungsratsmitglieds ausserhalb der Gesellschaft</w:t>
      </w:r>
    </w:p>
    <w:p>
      <w:pPr>
        <w:spacing w:after="0" w:line="19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Ein Mitglied des Verwaltungsrats darf kumulativ maximal folgende Mandate im Verwaltungsrat, in der Geschäftsleitung oder im Beirat oder einem vergleichbaren ausländischen Organ übernehmen:</w:t>
      </w:r>
    </w:p>
    <w:p>
      <w:pPr>
        <w:spacing w:after="0" w:line="200" w:lineRule="exact"/>
        <w:rPr>
          <w:sz w:val="20"/>
          <w:szCs w:val="20"/>
          <w:color w:val="auto"/>
        </w:rPr>
      </w:pPr>
    </w:p>
    <w:p>
      <w:pPr>
        <w:spacing w:after="0" w:line="214" w:lineRule="exact"/>
        <w:rPr>
          <w:sz w:val="20"/>
          <w:szCs w:val="20"/>
          <w:color w:val="auto"/>
        </w:rPr>
      </w:pPr>
    </w:p>
    <w:p>
      <w:pPr>
        <w:ind w:left="320" w:hanging="311"/>
        <w:spacing w:after="0" w:line="253" w:lineRule="auto"/>
        <w:tabs>
          <w:tab w:leader="none" w:pos="320" w:val="left"/>
        </w:tabs>
        <w:numPr>
          <w:ilvl w:val="0"/>
          <w:numId w:val="50"/>
        </w:numPr>
        <w:rPr>
          <w:rFonts w:ascii="Times New Roman" w:cs="Times New Roman" w:eastAsia="Times New Roman" w:hAnsi="Times New Roman"/>
          <w:sz w:val="18"/>
          <w:szCs w:val="18"/>
          <w:color w:val="auto"/>
        </w:rPr>
      </w:pPr>
      <w:r>
        <w:rPr>
          <w:rFonts w:ascii="Verdana" w:cs="Verdana" w:eastAsia="Verdana" w:hAnsi="Verdana"/>
          <w:sz w:val="18"/>
          <w:szCs w:val="18"/>
          <w:color w:val="auto"/>
        </w:rPr>
        <w:t>7 Mandate für Publikumsgesellschaften gemäss Art. 727 Abs. 1 Ziff. 1 OR; und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320" w:hanging="311"/>
        <w:spacing w:after="0" w:line="253" w:lineRule="auto"/>
        <w:tabs>
          <w:tab w:leader="none" w:pos="320" w:val="left"/>
        </w:tabs>
        <w:numPr>
          <w:ilvl w:val="0"/>
          <w:numId w:val="50"/>
        </w:numPr>
        <w:rPr>
          <w:rFonts w:ascii="Times New Roman" w:cs="Times New Roman" w:eastAsia="Times New Roman" w:hAnsi="Times New Roman"/>
          <w:sz w:val="18"/>
          <w:szCs w:val="18"/>
          <w:color w:val="auto"/>
        </w:rPr>
      </w:pPr>
      <w:r>
        <w:rPr>
          <w:rFonts w:ascii="Verdana" w:cs="Verdana" w:eastAsia="Verdana" w:hAnsi="Verdana"/>
          <w:sz w:val="18"/>
          <w:szCs w:val="18"/>
          <w:color w:val="auto"/>
        </w:rPr>
        <w:t>8 Mandate für Gesellschaften gemäss Art. 727 Abs. 1 Ziff. 2 OR; und</w:t>
      </w:r>
    </w:p>
    <w:p>
      <w:pPr>
        <w:spacing w:after="0" w:line="185" w:lineRule="exact"/>
        <w:rPr>
          <w:rFonts w:ascii="Times New Roman" w:cs="Times New Roman" w:eastAsia="Times New Roman" w:hAnsi="Times New Roman"/>
          <w:sz w:val="18"/>
          <w:szCs w:val="18"/>
          <w:color w:val="auto"/>
        </w:rPr>
      </w:pPr>
    </w:p>
    <w:p>
      <w:pPr>
        <w:jc w:val="both"/>
        <w:ind w:left="320" w:hanging="311"/>
        <w:spacing w:after="0" w:line="245" w:lineRule="auto"/>
        <w:tabs>
          <w:tab w:leader="none" w:pos="320" w:val="left"/>
        </w:tabs>
        <w:numPr>
          <w:ilvl w:val="0"/>
          <w:numId w:val="50"/>
        </w:numPr>
        <w:rPr>
          <w:rFonts w:ascii="Times New Roman" w:cs="Times New Roman" w:eastAsia="Times New Roman" w:hAnsi="Times New Roman"/>
          <w:sz w:val="18"/>
          <w:szCs w:val="18"/>
          <w:color w:val="auto"/>
        </w:rPr>
      </w:pPr>
      <w:r>
        <w:rPr>
          <w:rFonts w:ascii="Verdana" w:cs="Verdana" w:eastAsia="Verdana" w:hAnsi="Verdana"/>
          <w:sz w:val="18"/>
          <w:szCs w:val="18"/>
          <w:color w:val="auto"/>
        </w:rPr>
        <w:t>5 Mandate für Rechtseinheiten, welche die Kriterien gemäss lit. a) und b) hiervor nicht erfüllen.</w:t>
      </w:r>
    </w:p>
    <w:p>
      <w:pPr>
        <w:spacing w:after="0" w:line="19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Mandate bei verschiedenen Unternehmen, die aber derselben Führung oder derselben</w:t>
      </w:r>
    </w:p>
    <w:p>
      <w:pPr>
        <w:spacing w:after="0" w:line="2"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wirtschaftlichen Eigentümerin unterstehen (Konzern), gelten als ein Mandat, dürfen aber insgesamt vierzig nicht übersteigen.</w:t>
      </w:r>
    </w:p>
    <w:p>
      <w:pPr>
        <w:spacing w:after="0" w:line="19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198" w:lineRule="exact"/>
        <w:rPr>
          <w:sz w:val="20"/>
          <w:szCs w:val="20"/>
          <w:color w:val="auto"/>
        </w:rPr>
      </w:pPr>
    </w:p>
    <w:p>
      <w:pPr>
        <w:jc w:val="both"/>
        <w:ind w:left="440" w:hanging="431"/>
        <w:spacing w:after="0" w:line="245" w:lineRule="auto"/>
        <w:tabs>
          <w:tab w:leader="none" w:pos="440" w:val="left"/>
        </w:tabs>
        <w:numPr>
          <w:ilvl w:val="0"/>
          <w:numId w:val="51"/>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Mandate in Rechtseinheiten, die von der Gesellschaft kontrolliert werden oder welche die Gesellschaft kontrollieren;</w:t>
      </w:r>
    </w:p>
    <w:p>
      <w:pPr>
        <w:spacing w:after="0" w:line="192" w:lineRule="exact"/>
        <w:rPr>
          <w:rFonts w:ascii="Times New Roman" w:cs="Times New Roman" w:eastAsia="Times New Roman" w:hAnsi="Times New Roman"/>
          <w:sz w:val="18"/>
          <w:szCs w:val="18"/>
          <w:color w:val="auto"/>
        </w:rPr>
      </w:pPr>
    </w:p>
    <w:p>
      <w:pPr>
        <w:jc w:val="both"/>
        <w:ind w:left="440" w:hanging="431"/>
        <w:spacing w:after="0" w:line="242" w:lineRule="auto"/>
        <w:tabs>
          <w:tab w:leader="none" w:pos="440" w:val="left"/>
        </w:tabs>
        <w:numPr>
          <w:ilvl w:val="0"/>
          <w:numId w:val="51"/>
        </w:numPr>
        <w:rPr>
          <w:rFonts w:ascii="Times New Roman" w:cs="Times New Roman" w:eastAsia="Times New Roman" w:hAnsi="Times New Roman"/>
          <w:sz w:val="18"/>
          <w:szCs w:val="18"/>
          <w:color w:val="auto"/>
        </w:rPr>
      </w:pPr>
      <w:r>
        <w:rPr>
          <w:rFonts w:ascii="Verdana" w:cs="Verdana" w:eastAsia="Verdana" w:hAnsi="Verdana"/>
          <w:sz w:val="18"/>
          <w:szCs w:val="18"/>
          <w:color w:val="auto"/>
        </w:rPr>
        <w:t>Ehrenamtliche Mandate in gemeinnützigen Institutionen und Mandate in anderen Unternehmen, die keinen wirtschaftlichen Zweck verfolgen.</w:t>
      </w:r>
    </w:p>
    <w:p>
      <w:pPr>
        <w:spacing w:after="0" w:line="197" w:lineRule="exact"/>
        <w:rPr>
          <w:sz w:val="20"/>
          <w:szCs w:val="20"/>
          <w:color w:val="auto"/>
        </w:rPr>
      </w:pPr>
    </w:p>
    <w:p>
      <w:pPr>
        <w:ind w:left="1000" w:right="580" w:hanging="1218"/>
        <w:spacing w:after="0" w:line="245" w:lineRule="auto"/>
        <w:tabs>
          <w:tab w:leader="none" w:pos="980" w:val="left"/>
        </w:tabs>
        <w:rPr>
          <w:sz w:val="20"/>
          <w:szCs w:val="20"/>
          <w:color w:val="auto"/>
        </w:rPr>
      </w:pPr>
      <w:r>
        <w:rPr>
          <w:rFonts w:ascii="Verdana" w:cs="Verdana" w:eastAsia="Verdana" w:hAnsi="Verdana"/>
          <w:sz w:val="18"/>
          <w:szCs w:val="18"/>
          <w:b w:val="1"/>
          <w:bCs w:val="1"/>
          <w:color w:val="auto"/>
        </w:rPr>
        <w:t>Art. 38</w:t>
        <w:tab/>
        <w:t>Mandate eines Geschäftsleitungsmitglieds ausserhalb der Gesellschaft</w:t>
      </w:r>
    </w:p>
    <w:p>
      <w:pPr>
        <w:spacing w:after="0" w:line="19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Jedes Mitglied der Geschäftsleitung darf mit Zustimmung des Verwaltungsrats kumulativ maximal folgende Mandate im Verwaltungsrat, in der Geschäftsleitung oder im Beirat oder einem vergleichbaren ausländischen Organ übernehmen: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450215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2" w:right="1199" w:bottom="1440" w:gutter="0" w:footer="0" w:header="0"/>
        </w:sectPr>
      </w:pPr>
    </w:p>
    <w:bookmarkStart w:id="38" w:name="page39"/>
    <w:bookmarkEnd w:id="38"/>
    <w:p>
      <w:pPr>
        <w:ind w:right="20"/>
        <w:spacing w:after="0" w:line="254" w:lineRule="auto"/>
        <w:rPr>
          <w:sz w:val="20"/>
          <w:szCs w:val="20"/>
          <w:color w:val="auto"/>
        </w:rPr>
      </w:pPr>
      <w:r>
        <w:rPr>
          <w:rFonts w:ascii="Verdana" w:cs="Verdana" w:eastAsia="Verdana" w:hAnsi="Verdana"/>
          <w:sz w:val="18"/>
          <w:szCs w:val="18"/>
          <w:color w:val="auto"/>
        </w:rPr>
        <w:t>executive committee or the advisory board, or any comparable function under foreign law:</w:t>
      </w:r>
    </w:p>
    <w:p>
      <w:pPr>
        <w:spacing w:after="0" w:line="185" w:lineRule="exact"/>
        <w:rPr>
          <w:sz w:val="20"/>
          <w:szCs w:val="20"/>
          <w:color w:val="auto"/>
        </w:rPr>
      </w:pPr>
    </w:p>
    <w:p>
      <w:pPr>
        <w:jc w:val="both"/>
        <w:ind w:left="380" w:right="20" w:hanging="379"/>
        <w:spacing w:after="0" w:line="245" w:lineRule="auto"/>
        <w:tabs>
          <w:tab w:leader="none" w:pos="380" w:val="left"/>
        </w:tabs>
        <w:numPr>
          <w:ilvl w:val="0"/>
          <w:numId w:val="52"/>
        </w:numPr>
        <w:rPr>
          <w:rFonts w:ascii="Times New Roman" w:cs="Times New Roman" w:eastAsia="Times New Roman" w:hAnsi="Times New Roman"/>
          <w:sz w:val="18"/>
          <w:szCs w:val="18"/>
          <w:color w:val="auto"/>
        </w:rPr>
      </w:pPr>
      <w:r>
        <w:rPr>
          <w:rFonts w:ascii="Verdana" w:cs="Verdana" w:eastAsia="Verdana" w:hAnsi="Verdana"/>
          <w:sz w:val="18"/>
          <w:szCs w:val="18"/>
          <w:color w:val="auto"/>
        </w:rPr>
        <w:t>2 mandates for publicly traded companies pursuant to Art. 727 para. 1 number 1 CO; and</w:t>
      </w:r>
    </w:p>
    <w:p>
      <w:pPr>
        <w:spacing w:after="0" w:line="188"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52"/>
        </w:numPr>
        <w:rPr>
          <w:rFonts w:ascii="Times New Roman" w:cs="Times New Roman" w:eastAsia="Times New Roman" w:hAnsi="Times New Roman"/>
          <w:sz w:val="18"/>
          <w:szCs w:val="18"/>
          <w:color w:val="auto"/>
        </w:rPr>
      </w:pPr>
      <w:r>
        <w:rPr>
          <w:rFonts w:ascii="Verdana" w:cs="Verdana" w:eastAsia="Verdana" w:hAnsi="Verdana"/>
          <w:sz w:val="18"/>
          <w:szCs w:val="18"/>
          <w:color w:val="auto"/>
        </w:rPr>
        <w:t>3 mandates for companies pursuant to Art.</w:t>
      </w:r>
    </w:p>
    <w:p>
      <w:pPr>
        <w:ind w:left="380"/>
        <w:spacing w:after="0"/>
        <w:rPr>
          <w:rFonts w:ascii="Times New Roman" w:cs="Times New Roman" w:eastAsia="Times New Roman" w:hAnsi="Times New Roman"/>
          <w:sz w:val="18"/>
          <w:szCs w:val="18"/>
          <w:color w:val="auto"/>
        </w:rPr>
      </w:pPr>
      <w:r>
        <w:rPr>
          <w:rFonts w:ascii="Verdana" w:cs="Verdana" w:eastAsia="Verdana" w:hAnsi="Verdana"/>
          <w:sz w:val="18"/>
          <w:szCs w:val="18"/>
          <w:color w:val="auto"/>
        </w:rPr>
        <w:t>727 para. 1 number 2 CO; and</w:t>
      </w:r>
    </w:p>
    <w:p>
      <w:pPr>
        <w:spacing w:after="0" w:line="213" w:lineRule="exact"/>
        <w:rPr>
          <w:rFonts w:ascii="Times New Roman" w:cs="Times New Roman" w:eastAsia="Times New Roman" w:hAnsi="Times New Roman"/>
          <w:sz w:val="18"/>
          <w:szCs w:val="18"/>
          <w:color w:val="auto"/>
        </w:rPr>
      </w:pPr>
    </w:p>
    <w:p>
      <w:pPr>
        <w:jc w:val="both"/>
        <w:ind w:left="380" w:hanging="379"/>
        <w:spacing w:after="0" w:line="253" w:lineRule="auto"/>
        <w:tabs>
          <w:tab w:leader="none" w:pos="380" w:val="left"/>
        </w:tabs>
        <w:numPr>
          <w:ilvl w:val="0"/>
          <w:numId w:val="52"/>
        </w:numPr>
        <w:rPr>
          <w:rFonts w:ascii="Times New Roman" w:cs="Times New Roman" w:eastAsia="Times New Roman" w:hAnsi="Times New Roman"/>
          <w:sz w:val="18"/>
          <w:szCs w:val="18"/>
          <w:color w:val="auto"/>
        </w:rPr>
      </w:pPr>
      <w:r>
        <w:rPr>
          <w:rFonts w:ascii="Verdana" w:cs="Verdana" w:eastAsia="Verdana" w:hAnsi="Verdana"/>
          <w:sz w:val="18"/>
          <w:szCs w:val="18"/>
          <w:color w:val="auto"/>
        </w:rPr>
        <w:t>5 mandates for companies which do not fulfil the criteria under litera a) and b) hereunder.</w:t>
      </w:r>
    </w:p>
    <w:p>
      <w:pPr>
        <w:spacing w:after="0" w:line="200" w:lineRule="exact"/>
        <w:rPr>
          <w:sz w:val="20"/>
          <w:szCs w:val="20"/>
          <w:color w:val="auto"/>
        </w:rPr>
      </w:pPr>
    </w:p>
    <w:p>
      <w:pPr>
        <w:spacing w:after="0" w:line="202"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Mandates held in several companies each operating under the same management or same beneficial owner (group) are deemed to be a single mandate.</w:t>
      </w:r>
    </w:p>
    <w:p>
      <w:pPr>
        <w:spacing w:after="0" w:line="19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If a legal entity fulfills several of the above mentioned criteria, it can be freely counted towards any category. The following mandates are excepted from this restrictions:</w:t>
      </w:r>
    </w:p>
    <w:p>
      <w:pPr>
        <w:spacing w:after="0" w:line="200" w:lineRule="exact"/>
        <w:rPr>
          <w:sz w:val="20"/>
          <w:szCs w:val="20"/>
          <w:color w:val="auto"/>
        </w:rPr>
      </w:pPr>
    </w:p>
    <w:p>
      <w:pPr>
        <w:spacing w:after="0" w:line="214" w:lineRule="exact"/>
        <w:rPr>
          <w:sz w:val="20"/>
          <w:szCs w:val="20"/>
          <w:color w:val="auto"/>
        </w:rPr>
      </w:pPr>
    </w:p>
    <w:p>
      <w:pPr>
        <w:jc w:val="both"/>
        <w:ind w:left="380" w:right="20" w:hanging="379"/>
        <w:spacing w:after="0" w:line="245" w:lineRule="auto"/>
        <w:tabs>
          <w:tab w:leader="none" w:pos="380" w:val="left"/>
        </w:tabs>
        <w:numPr>
          <w:ilvl w:val="0"/>
          <w:numId w:val="53"/>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mandates in legal entities which are controlled by the Company or which control the Company;</w:t>
      </w:r>
    </w:p>
    <w:p>
      <w:pPr>
        <w:spacing w:after="0" w:line="192" w:lineRule="exact"/>
        <w:rPr>
          <w:rFonts w:ascii="Times New Roman" w:cs="Times New Roman" w:eastAsia="Times New Roman" w:hAnsi="Times New Roman"/>
          <w:sz w:val="18"/>
          <w:szCs w:val="18"/>
          <w:color w:val="auto"/>
        </w:rPr>
      </w:pPr>
    </w:p>
    <w:p>
      <w:pPr>
        <w:jc w:val="both"/>
        <w:ind w:left="380" w:right="20" w:hanging="379"/>
        <w:spacing w:after="0" w:line="245" w:lineRule="auto"/>
        <w:tabs>
          <w:tab w:leader="none" w:pos="380" w:val="left"/>
        </w:tabs>
        <w:numPr>
          <w:ilvl w:val="0"/>
          <w:numId w:val="53"/>
        </w:numPr>
        <w:rPr>
          <w:rFonts w:ascii="Times New Roman" w:cs="Times New Roman" w:eastAsia="Times New Roman" w:hAnsi="Times New Roman"/>
          <w:sz w:val="18"/>
          <w:szCs w:val="18"/>
          <w:color w:val="auto"/>
        </w:rPr>
      </w:pPr>
      <w:r>
        <w:rPr>
          <w:rFonts w:ascii="Verdana" w:cs="Verdana" w:eastAsia="Verdana" w:hAnsi="Verdana"/>
          <w:sz w:val="18"/>
          <w:szCs w:val="18"/>
          <w:color w:val="auto"/>
        </w:rPr>
        <w:t>honorary mandates in charitable institutions and mandates in other companies without an economic purpose.</w:t>
      </w: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39</w:t>
        <w:tab/>
        <w:t>Loans and Credits</w:t>
      </w:r>
    </w:p>
    <w:p>
      <w:pPr>
        <w:spacing w:after="0" w:line="21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The members of the Board of Directors and the Executive Committee may not be granted any loans, credits or securities.</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40</w:t>
        <w:tab/>
        <w:t>Pension Benefits</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Pension benefits to members of the Board of Directors and the Executive Committee are granted only in accordance with the domestic and foreign pension funds and comparable pension plans of the Company and its group companies. The benefits to the insured and the employee contributions are specified in the plans or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hanging="311"/>
        <w:spacing w:after="0" w:line="253" w:lineRule="auto"/>
        <w:tabs>
          <w:tab w:leader="none" w:pos="320" w:val="left"/>
        </w:tabs>
        <w:numPr>
          <w:ilvl w:val="0"/>
          <w:numId w:val="54"/>
        </w:numPr>
        <w:rPr>
          <w:rFonts w:ascii="Times New Roman" w:cs="Times New Roman" w:eastAsia="Times New Roman" w:hAnsi="Times New Roman"/>
          <w:sz w:val="18"/>
          <w:szCs w:val="18"/>
          <w:color w:val="auto"/>
        </w:rPr>
      </w:pPr>
      <w:r>
        <w:rPr>
          <w:rFonts w:ascii="Verdana" w:cs="Verdana" w:eastAsia="Verdana" w:hAnsi="Verdana"/>
          <w:sz w:val="18"/>
          <w:szCs w:val="18"/>
          <w:color w:val="auto"/>
        </w:rPr>
        <w:t>2 Mandate für Publikumsgesellschaften gemäss Art. 727 Abs. 1 Ziff. 1 OR; und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320" w:hanging="311"/>
        <w:spacing w:after="0" w:line="253" w:lineRule="auto"/>
        <w:tabs>
          <w:tab w:leader="none" w:pos="320" w:val="left"/>
        </w:tabs>
        <w:numPr>
          <w:ilvl w:val="0"/>
          <w:numId w:val="54"/>
        </w:numPr>
        <w:rPr>
          <w:rFonts w:ascii="Times New Roman" w:cs="Times New Roman" w:eastAsia="Times New Roman" w:hAnsi="Times New Roman"/>
          <w:sz w:val="18"/>
          <w:szCs w:val="18"/>
          <w:color w:val="auto"/>
        </w:rPr>
      </w:pPr>
      <w:r>
        <w:rPr>
          <w:rFonts w:ascii="Verdana" w:cs="Verdana" w:eastAsia="Verdana" w:hAnsi="Verdana"/>
          <w:sz w:val="18"/>
          <w:szCs w:val="18"/>
          <w:color w:val="auto"/>
        </w:rPr>
        <w:t>3 Mandate für Gesellschaften gemäss Art. 727 Abs. 1 Ziff. 2 OR; und</w:t>
      </w:r>
    </w:p>
    <w:p>
      <w:pPr>
        <w:spacing w:after="0" w:line="185" w:lineRule="exact"/>
        <w:rPr>
          <w:rFonts w:ascii="Times New Roman" w:cs="Times New Roman" w:eastAsia="Times New Roman" w:hAnsi="Times New Roman"/>
          <w:sz w:val="18"/>
          <w:szCs w:val="18"/>
          <w:color w:val="auto"/>
        </w:rPr>
      </w:pPr>
    </w:p>
    <w:p>
      <w:pPr>
        <w:jc w:val="both"/>
        <w:ind w:left="440" w:hanging="431"/>
        <w:spacing w:after="0" w:line="245" w:lineRule="auto"/>
        <w:tabs>
          <w:tab w:leader="none" w:pos="440" w:val="left"/>
        </w:tabs>
        <w:numPr>
          <w:ilvl w:val="0"/>
          <w:numId w:val="54"/>
        </w:numPr>
        <w:rPr>
          <w:rFonts w:ascii="Times New Roman" w:cs="Times New Roman" w:eastAsia="Times New Roman" w:hAnsi="Times New Roman"/>
          <w:sz w:val="18"/>
          <w:szCs w:val="18"/>
          <w:color w:val="auto"/>
        </w:rPr>
      </w:pPr>
      <w:r>
        <w:rPr>
          <w:rFonts w:ascii="Verdana" w:cs="Verdana" w:eastAsia="Verdana" w:hAnsi="Verdana"/>
          <w:sz w:val="18"/>
          <w:szCs w:val="18"/>
          <w:color w:val="auto"/>
        </w:rPr>
        <w:t>5 Mandate für Rechtseinheiten, welche die Kriterien gemäss lit. a) und b) hiervor nicht erfüllen.</w:t>
      </w:r>
    </w:p>
    <w:p>
      <w:pPr>
        <w:spacing w:after="0" w:line="19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Mandate bei verschiedenen Unternehmen, die aber derselben Führung oder derselben</w:t>
      </w:r>
    </w:p>
    <w:p>
      <w:pPr>
        <w:spacing w:after="0" w:line="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wirtschaftlichen Eigentümerin unterstehen (Konzern), gelten als ein Mandat.</w:t>
      </w:r>
    </w:p>
    <w:p>
      <w:pPr>
        <w:spacing w:after="0" w:line="18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198" w:lineRule="exact"/>
        <w:rPr>
          <w:sz w:val="20"/>
          <w:szCs w:val="20"/>
          <w:color w:val="auto"/>
        </w:rPr>
      </w:pPr>
    </w:p>
    <w:p>
      <w:pPr>
        <w:jc w:val="both"/>
        <w:ind w:left="440" w:hanging="431"/>
        <w:spacing w:after="0" w:line="245" w:lineRule="auto"/>
        <w:tabs>
          <w:tab w:leader="none" w:pos="440" w:val="left"/>
        </w:tabs>
        <w:numPr>
          <w:ilvl w:val="0"/>
          <w:numId w:val="55"/>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Mandate in Rechtseinheiten, die von der Gesellschaft kontrolliert werden oder welche die Gesellschaft kontrollieren;</w:t>
      </w:r>
    </w:p>
    <w:p>
      <w:pPr>
        <w:spacing w:after="0" w:line="192" w:lineRule="exact"/>
        <w:rPr>
          <w:rFonts w:ascii="Times New Roman" w:cs="Times New Roman" w:eastAsia="Times New Roman" w:hAnsi="Times New Roman"/>
          <w:sz w:val="18"/>
          <w:szCs w:val="18"/>
          <w:color w:val="auto"/>
        </w:rPr>
      </w:pPr>
    </w:p>
    <w:p>
      <w:pPr>
        <w:jc w:val="both"/>
        <w:ind w:left="440" w:hanging="431"/>
        <w:spacing w:after="0" w:line="242" w:lineRule="auto"/>
        <w:tabs>
          <w:tab w:leader="none" w:pos="440" w:val="left"/>
        </w:tabs>
        <w:numPr>
          <w:ilvl w:val="0"/>
          <w:numId w:val="55"/>
        </w:numPr>
        <w:rPr>
          <w:rFonts w:ascii="Times New Roman" w:cs="Times New Roman" w:eastAsia="Times New Roman" w:hAnsi="Times New Roman"/>
          <w:sz w:val="18"/>
          <w:szCs w:val="18"/>
          <w:color w:val="auto"/>
        </w:rPr>
      </w:pPr>
      <w:r>
        <w:rPr>
          <w:rFonts w:ascii="Verdana" w:cs="Verdana" w:eastAsia="Verdana" w:hAnsi="Verdana"/>
          <w:sz w:val="18"/>
          <w:szCs w:val="18"/>
          <w:color w:val="auto"/>
        </w:rPr>
        <w:t>Ehrenamtliche Mandate in gemeinnützigen Institutionen und Mandate in anderen Unternehmen, die keinen wirtschaftlichen Zweck verfolgen.</w:t>
      </w:r>
    </w:p>
    <w:p>
      <w:pPr>
        <w:spacing w:after="0" w:line="197"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39</w:t>
        <w:tab/>
        <w:t>Darlehen und Kredite</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Den Mitgliedern des Verwaltungsrats und der Geschäftsleitung dürfen keine Darlehen, Kredite oder Sicherheiten gewährt werden.</w:t>
      </w:r>
    </w:p>
    <w:p>
      <w:pPr>
        <w:spacing w:after="0" w:line="194"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40</w:t>
      </w:r>
      <w:r>
        <w:rPr>
          <w:sz w:val="20"/>
          <w:szCs w:val="20"/>
          <w:color w:val="auto"/>
        </w:rPr>
        <w:tab/>
      </w:r>
      <w:r>
        <w:rPr>
          <w:rFonts w:ascii="Verdana" w:cs="Verdana" w:eastAsia="Verdana" w:hAnsi="Verdana"/>
          <w:sz w:val="17"/>
          <w:szCs w:val="17"/>
          <w:b w:val="1"/>
          <w:bCs w:val="1"/>
          <w:color w:val="auto"/>
        </w:rPr>
        <w:t>Vorsorge</w:t>
      </w:r>
    </w:p>
    <w:p>
      <w:pPr>
        <w:spacing w:after="0" w:line="213" w:lineRule="exact"/>
        <w:rPr>
          <w:sz w:val="20"/>
          <w:szCs w:val="20"/>
          <w:color w:val="auto"/>
        </w:rPr>
      </w:pPr>
    </w:p>
    <w:p>
      <w:pPr>
        <w:ind w:right="20"/>
        <w:spacing w:after="0"/>
        <w:rPr>
          <w:sz w:val="20"/>
          <w:szCs w:val="20"/>
          <w:color w:val="auto"/>
        </w:rPr>
      </w:pPr>
      <w:r>
        <w:rPr>
          <w:rFonts w:ascii="Verdana" w:cs="Verdana" w:eastAsia="Verdana" w:hAnsi="Verdana"/>
          <w:sz w:val="18"/>
          <w:szCs w:val="18"/>
          <w:color w:val="auto"/>
        </w:rPr>
        <w:t>Vorsorgeleistungen an Mitglieder des Verwaltungs rats und der Geschäftsleitung werden nur im Rahmen der anwendbaren in- und ausländischen Pensionskassen- oder vergleichbaren Plänen der Gesellschaft bzw. ihrer Gruppengesellschaften ausbezahlt. Die Leistungen an die Versicherten und die Arbeitgeberbeiträge ergeben sich aus den jeweiligen Plänen bzw. Reglementen.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585470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647" w:right="1199" w:bottom="1440" w:gutter="0" w:footer="0" w:header="0"/>
        </w:sectPr>
      </w:pPr>
    </w:p>
    <w:bookmarkStart w:id="39" w:name="page40"/>
    <w:bookmarkEnd w:id="39"/>
    <w:p>
      <w:pPr>
        <w:jc w:val="both"/>
        <w:ind w:right="20"/>
        <w:spacing w:after="0" w:line="238" w:lineRule="auto"/>
        <w:rPr>
          <w:sz w:val="20"/>
          <w:szCs w:val="20"/>
          <w:color w:val="auto"/>
        </w:rPr>
      </w:pPr>
      <w:r>
        <w:rPr>
          <w:rFonts w:ascii="Verdana" w:cs="Verdana" w:eastAsia="Verdana" w:hAnsi="Verdana"/>
          <w:sz w:val="18"/>
          <w:szCs w:val="18"/>
          <w:color w:val="auto"/>
        </w:rPr>
        <w:t>Within the overall compensation approved by the General Meeting and any additional amount payable to new members,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0" w:lineRule="exact"/>
        <w:rPr>
          <w:sz w:val="20"/>
          <w:szCs w:val="20"/>
          <w:color w:val="auto"/>
        </w:rPr>
      </w:pPr>
    </w:p>
    <w:p>
      <w:pPr>
        <w:spacing w:after="0" w:line="22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Upon retirement, the Company may also grant members of the Executive Committee a bridging pension to cover the period between early retirement at 62 and the ordinary age of retirement, if such bridging pension does not exceed 100 percent of the total annual compensation of the respective member last paid.</w:t>
      </w: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41</w:t>
        <w:tab/>
        <w:t>Equity Compensation Matters</w:t>
      </w: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Board of Directors, upon proposal of the Compensation Committee, may allocate the participating members of the Executive Committee and/or the Board of Directors a fixed number of shares, options or similar financial instruments and/or units under the Company's equity compensation plans with the vesting period and other conditions of any such grant to be determined by the Board of Directors.</w:t>
      </w:r>
    </w:p>
    <w:p>
      <w:pPr>
        <w:spacing w:after="0" w:line="199"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Company may periodically offer shares, options or similar financial instruments and/or units in the Company to employees for a price to be determined by the Board of Directors, the Compensation Committee or any designee of any of the foregoing. Members of the Board of Directors and the Executive Committee may be included in this program. The shares, options or similar financial instruments and/or units acquired thereby may be subject to a vesting period to be determined by the Board of Directors, the Compensation Committee or any designee of any of the foregoing.</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Verdana" w:cs="Verdana" w:eastAsia="Verdana" w:hAnsi="Verdana"/>
          <w:sz w:val="18"/>
          <w:szCs w:val="18"/>
          <w:color w:val="auto"/>
        </w:rPr>
        <w:t>Die Gesellschaft kann zugunsten der Geschäftsleitungsmitglieder und im Rahmen der von der Generalversammlung genehmigten Gesamtvergütungen und einem etwaigen Zusatzbetrag zusätzliche Einkäufe in die Pensionskasse tätigen, um Nachteile aufgrund von Stellenwechsel auszugleichen oder zugunsten zusätzlicher Rentenansprüche. In diesem</w:t>
      </w:r>
    </w:p>
    <w:p>
      <w:pPr>
        <w:spacing w:after="0" w:line="7"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Zusammenhang kann die Gesellschaft Lebensversicherungen zugunsten der Mitglieder der Geschäftsleitung abschliessen und die</w:t>
      </w:r>
    </w:p>
    <w:p>
      <w:pPr>
        <w:spacing w:after="0" w:line="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Versicherungsprämien vollumfänglich oder teilweise zahlen.</w:t>
      </w:r>
    </w:p>
    <w:p>
      <w:pPr>
        <w:spacing w:after="0" w:line="182" w:lineRule="exact"/>
        <w:rPr>
          <w:sz w:val="20"/>
          <w:szCs w:val="20"/>
          <w:color w:val="auto"/>
        </w:rPr>
      </w:pPr>
    </w:p>
    <w:p>
      <w:pPr>
        <w:spacing w:after="0"/>
        <w:tabs>
          <w:tab w:leader="none" w:pos="1060" w:val="left"/>
          <w:tab w:leader="none" w:pos="2920" w:val="left"/>
          <w:tab w:leader="none" w:pos="4120" w:val="left"/>
        </w:tabs>
        <w:rPr>
          <w:sz w:val="20"/>
          <w:szCs w:val="20"/>
          <w:color w:val="auto"/>
        </w:rPr>
      </w:pPr>
      <w:r>
        <w:rPr>
          <w:rFonts w:ascii="Verdana" w:cs="Verdana" w:eastAsia="Verdana" w:hAnsi="Verdana"/>
          <w:sz w:val="18"/>
          <w:szCs w:val="18"/>
          <w:color w:val="auto"/>
        </w:rPr>
        <w:t>Die</w:t>
      </w:r>
      <w:r>
        <w:rPr>
          <w:sz w:val="20"/>
          <w:szCs w:val="20"/>
          <w:color w:val="auto"/>
        </w:rPr>
        <w:tab/>
      </w:r>
      <w:r>
        <w:rPr>
          <w:rFonts w:ascii="Verdana" w:cs="Verdana" w:eastAsia="Verdana" w:hAnsi="Verdana"/>
          <w:sz w:val="18"/>
          <w:szCs w:val="18"/>
          <w:color w:val="auto"/>
        </w:rPr>
        <w:t>Gesellschaft</w:t>
      </w:r>
      <w:r>
        <w:rPr>
          <w:sz w:val="20"/>
          <w:szCs w:val="20"/>
          <w:color w:val="auto"/>
        </w:rPr>
        <w:tab/>
      </w:r>
      <w:r>
        <w:rPr>
          <w:rFonts w:ascii="Verdana" w:cs="Verdana" w:eastAsia="Verdana" w:hAnsi="Verdana"/>
          <w:sz w:val="18"/>
          <w:szCs w:val="18"/>
          <w:color w:val="auto"/>
        </w:rPr>
        <w:t>kann</w:t>
      </w:r>
      <w:r>
        <w:rPr>
          <w:sz w:val="20"/>
          <w:szCs w:val="20"/>
          <w:color w:val="auto"/>
        </w:rPr>
        <w:tab/>
      </w:r>
      <w:r>
        <w:rPr>
          <w:rFonts w:ascii="Verdana" w:cs="Verdana" w:eastAsia="Verdana" w:hAnsi="Verdana"/>
          <w:sz w:val="17"/>
          <w:szCs w:val="17"/>
          <w:color w:val="auto"/>
        </w:rPr>
        <w:t>ihren</w:t>
      </w:r>
    </w:p>
    <w:p>
      <w:pPr>
        <w:spacing w:after="0" w:line="236" w:lineRule="auto"/>
        <w:tabs>
          <w:tab w:leader="none" w:pos="1060" w:val="left"/>
          <w:tab w:leader="none" w:pos="1940" w:val="left"/>
          <w:tab w:leader="none" w:pos="4200" w:val="left"/>
        </w:tabs>
        <w:rPr>
          <w:sz w:val="20"/>
          <w:szCs w:val="20"/>
          <w:color w:val="auto"/>
        </w:rPr>
      </w:pPr>
      <w:r>
        <w:rPr>
          <w:rFonts w:ascii="Verdana" w:cs="Verdana" w:eastAsia="Verdana" w:hAnsi="Verdana"/>
          <w:sz w:val="18"/>
          <w:szCs w:val="18"/>
          <w:color w:val="auto"/>
        </w:rPr>
        <w:t>Geschäfts</w:t>
        <w:tab/>
        <w:t>leitungs</w:t>
        <w:tab/>
        <w:t>mitgliedern</w:t>
      </w:r>
      <w:r>
        <w:rPr>
          <w:sz w:val="20"/>
          <w:szCs w:val="20"/>
          <w:color w:val="auto"/>
        </w:rPr>
        <w:tab/>
      </w:r>
      <w:r>
        <w:rPr>
          <w:rFonts w:ascii="Verdana" w:cs="Verdana" w:eastAsia="Verdana" w:hAnsi="Verdana"/>
          <w:sz w:val="18"/>
          <w:szCs w:val="18"/>
          <w:color w:val="auto"/>
        </w:rPr>
        <w:t>eine</w:t>
      </w:r>
    </w:p>
    <w:p>
      <w:pPr>
        <w:spacing w:after="0" w:line="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Überbrückungsrente zusichern, um die Zeitdauer zwischen einer Frühpensionierung ab dem 62. Altersjahr und dem ordentlichen Pensionsalter</w:t>
      </w:r>
    </w:p>
    <w:p>
      <w:pPr>
        <w:spacing w:after="0" w:line="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abzudecken, soweit eine solche Überbrückungsrente 100% der letztmalig an dieses Mitglied bezahlte Jahresvergütung nicht übersteigt.</w:t>
      </w:r>
    </w:p>
    <w:p>
      <w:pPr>
        <w:spacing w:after="0" w:line="198" w:lineRule="exact"/>
        <w:rPr>
          <w:sz w:val="20"/>
          <w:szCs w:val="20"/>
          <w:color w:val="auto"/>
        </w:rPr>
      </w:pPr>
    </w:p>
    <w:p>
      <w:pPr>
        <w:ind w:right="1280"/>
        <w:spacing w:after="0" w:line="254" w:lineRule="auto"/>
        <w:rPr>
          <w:sz w:val="20"/>
          <w:szCs w:val="20"/>
          <w:color w:val="auto"/>
        </w:rPr>
      </w:pPr>
      <w:r>
        <w:rPr>
          <w:rFonts w:ascii="Verdana" w:cs="Verdana" w:eastAsia="Verdana" w:hAnsi="Verdana"/>
          <w:sz w:val="18"/>
          <w:szCs w:val="18"/>
          <w:b w:val="1"/>
          <w:bCs w:val="1"/>
          <w:color w:val="auto"/>
        </w:rPr>
        <w:t>Art. 41 Vergütung in Form von Eigenkapitalbeteiligung</w:t>
      </w:r>
    </w:p>
    <w:p>
      <w:pPr>
        <w:spacing w:after="0" w:line="18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Der Verwaltungsrat kann auf Antrag des Vergütungsausschusses den Mitgliedern der Geschäftsleitung und des Verwaltungsrats eine bestimmte Anzahl Aktien, Optionen oder ähnlichen Finanzinstrumenten und/oder Anteilen gemäss einem oder mehreren Beteiligungsplänen der Gesellschaft zuteilen. Der Verwaltungsrat legt die Sperrfrist und die weiteren Bedingungen einer solchen Zuteilung fest.</w:t>
      </w:r>
    </w:p>
    <w:p>
      <w:pPr>
        <w:spacing w:after="0" w:line="199"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Die Gesellschaft kann periodisch Aktien, Optionen oder ähnlichen Finanzinstrumenten und/oder Anteilen der Gesellschaft an Mitarbeiter abgeben zu einem Preis, der vom Verwaltungsrat, dem Vergütungsausschuss oder einer von diesen bezeichneten Stelle festzulegen ist. Die Mitglieder des Verwaltungsrats und der Geschäftsleitung können in dieses Programm eingeschlossen werden. Die so erworbenen Aktien, Optionen oder ähnlichen Finanzinstrumenten und/oder Anteilen können einer Sperrfirst unterliegen, die vom Verwaltungsrat, dem Vergütungsausschuss oder einer von diesen bezeichneten Stelle festzulegen 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454025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00" w:space="420"/>
            <w:col w:w="4600"/>
          </w:cols>
          <w:pgMar w:left="1180" w:top="755" w:right="1199" w:bottom="1440" w:gutter="0" w:footer="0" w:header="0"/>
        </w:sectPr>
      </w:pPr>
    </w:p>
    <w:bookmarkStart w:id="40" w:name="page41"/>
    <w:bookmarkEnd w:id="40"/>
    <w:p>
      <w:pPr>
        <w:spacing w:after="0"/>
        <w:tabs>
          <w:tab w:leader="none" w:pos="960" w:val="left"/>
        </w:tabs>
        <w:rPr>
          <w:sz w:val="20"/>
          <w:szCs w:val="20"/>
          <w:color w:val="auto"/>
        </w:rPr>
      </w:pPr>
      <w:r>
        <w:rPr>
          <w:rFonts w:ascii="Verdana" w:cs="Verdana" w:eastAsia="Verdana" w:hAnsi="Verdana"/>
          <w:sz w:val="18"/>
          <w:szCs w:val="18"/>
          <w:b w:val="1"/>
          <w:bCs w:val="1"/>
          <w:color w:val="auto"/>
        </w:rPr>
        <w:t>VIII.</w:t>
      </w:r>
      <w:r>
        <w:rPr>
          <w:sz w:val="20"/>
          <w:szCs w:val="20"/>
          <w:color w:val="auto"/>
        </w:rPr>
        <w:tab/>
      </w:r>
      <w:r>
        <w:rPr>
          <w:rFonts w:ascii="Verdana" w:cs="Verdana" w:eastAsia="Verdana" w:hAnsi="Verdana"/>
          <w:sz w:val="18"/>
          <w:szCs w:val="18"/>
          <w:b w:val="1"/>
          <w:bCs w:val="1"/>
          <w:color w:val="auto"/>
        </w:rPr>
        <w:t>FISCAL YEAR, ACCOUNTING</w:t>
      </w:r>
    </w:p>
    <w:p>
      <w:pPr>
        <w:ind w:left="720" w:right="800"/>
        <w:spacing w:after="0" w:line="254" w:lineRule="auto"/>
        <w:rPr>
          <w:sz w:val="20"/>
          <w:szCs w:val="20"/>
          <w:color w:val="auto"/>
        </w:rPr>
      </w:pPr>
      <w:r>
        <w:rPr>
          <w:rFonts w:ascii="Verdana" w:cs="Verdana" w:eastAsia="Verdana" w:hAnsi="Verdana"/>
          <w:sz w:val="18"/>
          <w:szCs w:val="18"/>
          <w:b w:val="1"/>
          <w:bCs w:val="1"/>
          <w:color w:val="auto"/>
        </w:rPr>
        <w:t>PRINCIPLES, ALLOCATION OF PROFITS</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42</w:t>
        <w:tab/>
        <w:t>Fiscal Year</w:t>
      </w:r>
    </w:p>
    <w:p>
      <w:pPr>
        <w:spacing w:after="0" w:line="213" w:lineRule="exact"/>
        <w:rPr>
          <w:sz w:val="20"/>
          <w:szCs w:val="20"/>
          <w:color w:val="auto"/>
        </w:rPr>
      </w:pPr>
    </w:p>
    <w:p>
      <w:pPr>
        <w:jc w:val="both"/>
        <w:ind w:right="380"/>
        <w:spacing w:after="0" w:line="245" w:lineRule="auto"/>
        <w:rPr>
          <w:sz w:val="20"/>
          <w:szCs w:val="20"/>
          <w:color w:val="auto"/>
        </w:rPr>
      </w:pPr>
      <w:r>
        <w:rPr>
          <w:rFonts w:ascii="Verdana" w:cs="Verdana" w:eastAsia="Verdana" w:hAnsi="Verdana"/>
          <w:sz w:val="18"/>
          <w:szCs w:val="18"/>
          <w:color w:val="auto"/>
        </w:rPr>
        <w:t>The Board of Directors shall determine the start and the end of the Company's business year.</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43</w:t>
        <w:tab/>
        <w:t>Accounting</w:t>
      </w:r>
    </w:p>
    <w:p>
      <w:pPr>
        <w:spacing w:after="0" w:line="213"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The annual accounts consist of the profit and loss statement, the balance sheet, the cash flow statement, the annex and the management report, and shall be drawn up pursuant to the provisions of the Swiss Code of Obligations, particularly of Art. 958 et seq. CO, and the generally accepted commercial principles and customary rules in that business area.</w:t>
      </w:r>
    </w:p>
    <w:p>
      <w:pPr>
        <w:spacing w:after="0" w:line="199" w:lineRule="exact"/>
        <w:rPr>
          <w:sz w:val="20"/>
          <w:szCs w:val="20"/>
          <w:color w:val="auto"/>
        </w:rPr>
      </w:pPr>
    </w:p>
    <w:p>
      <w:pPr>
        <w:jc w:val="both"/>
        <w:ind w:right="400"/>
        <w:spacing w:after="0" w:line="245" w:lineRule="auto"/>
        <w:rPr>
          <w:sz w:val="20"/>
          <w:szCs w:val="20"/>
          <w:color w:val="auto"/>
        </w:rPr>
      </w:pPr>
      <w:r>
        <w:rPr>
          <w:rFonts w:ascii="Verdana" w:cs="Verdana" w:eastAsia="Verdana" w:hAnsi="Verdana"/>
          <w:sz w:val="18"/>
          <w:szCs w:val="18"/>
          <w:color w:val="auto"/>
        </w:rPr>
        <w:t>If required by law, the consolidated financial statements shall be drawn in accordance with the provisions of Art. 962 CO.</w:t>
      </w:r>
    </w:p>
    <w:p>
      <w:pPr>
        <w:spacing w:after="0" w:line="194"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44</w:t>
      </w:r>
      <w:r>
        <w:rPr>
          <w:sz w:val="20"/>
          <w:szCs w:val="20"/>
          <w:color w:val="auto"/>
        </w:rPr>
        <w:tab/>
      </w:r>
      <w:r>
        <w:rPr>
          <w:rFonts w:ascii="Verdana" w:cs="Verdana" w:eastAsia="Verdana" w:hAnsi="Verdana"/>
          <w:sz w:val="17"/>
          <w:szCs w:val="17"/>
          <w:b w:val="1"/>
          <w:bCs w:val="1"/>
          <w:color w:val="auto"/>
        </w:rPr>
        <w:t>Allocation of Profits</w:t>
      </w:r>
    </w:p>
    <w:p>
      <w:pPr>
        <w:spacing w:after="0" w:line="213" w:lineRule="exact"/>
        <w:rPr>
          <w:sz w:val="20"/>
          <w:szCs w:val="20"/>
          <w:color w:val="auto"/>
        </w:rPr>
      </w:pPr>
    </w:p>
    <w:p>
      <w:pPr>
        <w:jc w:val="both"/>
        <w:ind w:right="380"/>
        <w:spacing w:after="0"/>
        <w:rPr>
          <w:sz w:val="20"/>
          <w:szCs w:val="20"/>
          <w:color w:val="auto"/>
        </w:rPr>
      </w:pPr>
      <w:r>
        <w:rPr>
          <w:rFonts w:ascii="Verdana" w:cs="Verdana" w:eastAsia="Verdana" w:hAnsi="Verdana"/>
          <w:sz w:val="18"/>
          <w:szCs w:val="18"/>
          <w:color w:val="auto"/>
        </w:rPr>
        <w:t>Subject to the legal provisions regarding distribution of profits, the profit as shown on the balance sheet shall be allocated by the General Meeting at its discretion after receipt of the proposals of the Board of Directors and the Auditors.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380"/>
        <w:spacing w:after="0" w:line="254" w:lineRule="auto"/>
        <w:rPr>
          <w:sz w:val="20"/>
          <w:szCs w:val="20"/>
          <w:color w:val="auto"/>
        </w:rPr>
      </w:pPr>
      <w:r>
        <w:rPr>
          <w:rFonts w:ascii="Verdana" w:cs="Verdana" w:eastAsia="Verdana" w:hAnsi="Verdana"/>
          <w:sz w:val="18"/>
          <w:szCs w:val="18"/>
          <w:color w:val="auto"/>
        </w:rPr>
        <w:t>In addition to the legal reserves, the General Meeting may create supplemental reserves.</w:t>
      </w:r>
    </w:p>
    <w:p>
      <w:pPr>
        <w:spacing w:after="0" w:line="200" w:lineRule="exact"/>
        <w:rPr>
          <w:sz w:val="20"/>
          <w:szCs w:val="20"/>
          <w:color w:val="auto"/>
        </w:rPr>
      </w:pPr>
    </w:p>
    <w:p>
      <w:pPr>
        <w:spacing w:after="0" w:line="201" w:lineRule="exact"/>
        <w:rPr>
          <w:sz w:val="20"/>
          <w:szCs w:val="20"/>
          <w:color w:val="auto"/>
        </w:rPr>
      </w:pPr>
    </w:p>
    <w:p>
      <w:pPr>
        <w:jc w:val="both"/>
        <w:ind w:right="400"/>
        <w:spacing w:after="0" w:line="245" w:lineRule="auto"/>
        <w:rPr>
          <w:sz w:val="20"/>
          <w:szCs w:val="20"/>
          <w:color w:val="auto"/>
        </w:rPr>
      </w:pPr>
      <w:r>
        <w:rPr>
          <w:rFonts w:ascii="Verdana" w:cs="Verdana" w:eastAsia="Verdana" w:hAnsi="Verdana"/>
          <w:sz w:val="18"/>
          <w:szCs w:val="18"/>
          <w:color w:val="auto"/>
        </w:rPr>
        <w:t>Dividends not claimed within five years after the due date shall remain with the Company and be allocated to the general reserves.</w:t>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Verdana" w:cs="Verdana" w:eastAsia="Verdana" w:hAnsi="Verdana"/>
          <w:sz w:val="18"/>
          <w:szCs w:val="18"/>
          <w:b w:val="1"/>
          <w:bCs w:val="1"/>
          <w:color w:val="auto"/>
        </w:rPr>
        <w:t>VIII.</w:t>
      </w:r>
      <w:r>
        <w:rPr>
          <w:sz w:val="20"/>
          <w:szCs w:val="20"/>
          <w:color w:val="auto"/>
        </w:rPr>
        <w:tab/>
      </w:r>
      <w:r>
        <w:rPr>
          <w:rFonts w:ascii="Verdana" w:cs="Verdana" w:eastAsia="Verdana" w:hAnsi="Verdana"/>
          <w:sz w:val="18"/>
          <w:szCs w:val="18"/>
          <w:b w:val="1"/>
          <w:bCs w:val="1"/>
          <w:color w:val="auto"/>
        </w:rPr>
        <w:t>GESCHÄFTSJAHR,</w:t>
      </w:r>
    </w:p>
    <w:p>
      <w:pPr>
        <w:ind w:left="720"/>
        <w:spacing w:after="0" w:line="236" w:lineRule="auto"/>
        <w:rPr>
          <w:sz w:val="20"/>
          <w:szCs w:val="20"/>
          <w:color w:val="auto"/>
        </w:rPr>
      </w:pPr>
      <w:r>
        <w:rPr>
          <w:rFonts w:ascii="Verdana" w:cs="Verdana" w:eastAsia="Verdana" w:hAnsi="Verdana"/>
          <w:sz w:val="18"/>
          <w:szCs w:val="18"/>
          <w:b w:val="1"/>
          <w:bCs w:val="1"/>
          <w:color w:val="auto"/>
        </w:rPr>
        <w:t>RECHNUNGSLEGUNG,</w:t>
      </w:r>
    </w:p>
    <w:p>
      <w:pPr>
        <w:spacing w:after="0" w:line="1" w:lineRule="exact"/>
        <w:rPr>
          <w:sz w:val="20"/>
          <w:szCs w:val="20"/>
          <w:color w:val="auto"/>
        </w:rPr>
      </w:pPr>
    </w:p>
    <w:p>
      <w:pPr>
        <w:ind w:left="720"/>
        <w:spacing w:after="0"/>
        <w:rPr>
          <w:sz w:val="20"/>
          <w:szCs w:val="20"/>
          <w:color w:val="auto"/>
        </w:rPr>
      </w:pPr>
      <w:r>
        <w:rPr>
          <w:rFonts w:ascii="Verdana" w:cs="Verdana" w:eastAsia="Verdana" w:hAnsi="Verdana"/>
          <w:sz w:val="18"/>
          <w:szCs w:val="18"/>
          <w:b w:val="1"/>
          <w:bCs w:val="1"/>
          <w:color w:val="auto"/>
        </w:rPr>
        <w:t>GEWINNVERTEILUNG</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42</w:t>
      </w:r>
      <w:r>
        <w:rPr>
          <w:sz w:val="20"/>
          <w:szCs w:val="20"/>
          <w:color w:val="auto"/>
        </w:rPr>
        <w:tab/>
      </w:r>
      <w:r>
        <w:rPr>
          <w:rFonts w:ascii="Verdana" w:cs="Verdana" w:eastAsia="Verdana" w:hAnsi="Verdana"/>
          <w:sz w:val="17"/>
          <w:szCs w:val="17"/>
          <w:b w:val="1"/>
          <w:bCs w:val="1"/>
          <w:color w:val="auto"/>
        </w:rPr>
        <w:t>Geschäftsjahr</w:t>
      </w:r>
    </w:p>
    <w:p>
      <w:pPr>
        <w:spacing w:after="0" w:line="21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Der Verwaltungsrat bestimmt, wann das Geschäftsjahr beginnt und wann es endet.</w:t>
      </w:r>
    </w:p>
    <w:p>
      <w:pPr>
        <w:spacing w:after="0" w:line="200" w:lineRule="exact"/>
        <w:rPr>
          <w:sz w:val="20"/>
          <w:szCs w:val="20"/>
          <w:color w:val="auto"/>
        </w:rPr>
      </w:pPr>
    </w:p>
    <w:p>
      <w:pPr>
        <w:spacing w:after="0" w:line="201"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43</w:t>
      </w:r>
      <w:r>
        <w:rPr>
          <w:sz w:val="20"/>
          <w:szCs w:val="20"/>
          <w:color w:val="auto"/>
        </w:rPr>
        <w:tab/>
      </w:r>
      <w:r>
        <w:rPr>
          <w:rFonts w:ascii="Verdana" w:cs="Verdana" w:eastAsia="Verdana" w:hAnsi="Verdana"/>
          <w:sz w:val="17"/>
          <w:szCs w:val="17"/>
          <w:b w:val="1"/>
          <w:bCs w:val="1"/>
          <w:color w:val="auto"/>
        </w:rPr>
        <w:t>Rechnungslegung</w:t>
      </w:r>
    </w:p>
    <w:p>
      <w:pPr>
        <w:spacing w:after="0" w:line="210" w:lineRule="exact"/>
        <w:rPr>
          <w:sz w:val="20"/>
          <w:szCs w:val="20"/>
          <w:color w:val="auto"/>
        </w:rPr>
      </w:pPr>
    </w:p>
    <w:p>
      <w:pPr>
        <w:spacing w:after="0"/>
        <w:tabs>
          <w:tab w:leader="none" w:pos="600" w:val="left"/>
          <w:tab w:leader="none" w:pos="2320" w:val="left"/>
          <w:tab w:leader="none" w:pos="3320" w:val="left"/>
          <w:tab w:leader="none" w:pos="3940" w:val="left"/>
        </w:tabs>
        <w:rPr>
          <w:sz w:val="20"/>
          <w:szCs w:val="20"/>
          <w:color w:val="auto"/>
        </w:rPr>
      </w:pPr>
      <w:r>
        <w:rPr>
          <w:rFonts w:ascii="Verdana" w:cs="Verdana" w:eastAsia="Verdana" w:hAnsi="Verdana"/>
          <w:sz w:val="18"/>
          <w:szCs w:val="18"/>
          <w:color w:val="auto"/>
        </w:rPr>
        <w:t>Die</w:t>
        <w:tab/>
        <w:t>Jahresrechnung</w:t>
        <w:tab/>
        <w:t>besteht</w:t>
        <w:tab/>
        <w:t>aus</w:t>
        <w:tab/>
        <w:t>der</w:t>
      </w:r>
    </w:p>
    <w:p>
      <w:pPr>
        <w:jc w:val="both"/>
        <w:spacing w:after="0" w:line="239" w:lineRule="auto"/>
        <w:rPr>
          <w:sz w:val="20"/>
          <w:szCs w:val="20"/>
          <w:color w:val="auto"/>
        </w:rPr>
      </w:pPr>
      <w:r>
        <w:rPr>
          <w:rFonts w:ascii="Verdana" w:cs="Verdana" w:eastAsia="Verdana" w:hAnsi="Verdana"/>
          <w:sz w:val="18"/>
          <w:szCs w:val="18"/>
          <w:color w:val="auto"/>
        </w:rPr>
        <w:t>Erfolgsrechnung, der Bilanz, der Geldflussrechnung, dem Anhang und dem Lagebericht und ist gemäss den Vorschriften des Schweizerischen Obligationenrechts, insbesondere Art. 958 ff. OR, sowie nach den allgemein anerkannten kaufmännischen und branchenüblichen Grundsätzen zu erstellen.</w:t>
      </w:r>
    </w:p>
    <w:p>
      <w:pPr>
        <w:spacing w:after="0" w:line="200" w:lineRule="exact"/>
        <w:rPr>
          <w:sz w:val="20"/>
          <w:szCs w:val="20"/>
          <w:color w:val="auto"/>
        </w:rPr>
      </w:pPr>
    </w:p>
    <w:p>
      <w:pPr>
        <w:spacing w:after="0" w:line="21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Die Konzernrechnung wird, sofern gesetzlich vorgeschrieben, gemäss den Bestimmungen von Art. 962 OR erstellt.</w:t>
      </w:r>
    </w:p>
    <w:p>
      <w:pPr>
        <w:spacing w:after="0" w:line="194"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44</w:t>
      </w:r>
      <w:r>
        <w:rPr>
          <w:sz w:val="20"/>
          <w:szCs w:val="20"/>
          <w:color w:val="auto"/>
        </w:rPr>
        <w:tab/>
      </w:r>
      <w:r>
        <w:rPr>
          <w:rFonts w:ascii="Verdana" w:cs="Verdana" w:eastAsia="Verdana" w:hAnsi="Verdana"/>
          <w:sz w:val="17"/>
          <w:szCs w:val="17"/>
          <w:b w:val="1"/>
          <w:bCs w:val="1"/>
          <w:color w:val="auto"/>
        </w:rPr>
        <w:t>Gewinnverteilung</w:t>
      </w:r>
    </w:p>
    <w:p>
      <w:pPr>
        <w:spacing w:after="0" w:line="210" w:lineRule="exact"/>
        <w:rPr>
          <w:sz w:val="20"/>
          <w:szCs w:val="20"/>
          <w:color w:val="auto"/>
        </w:rPr>
      </w:pPr>
    </w:p>
    <w:p>
      <w:pPr>
        <w:spacing w:after="0"/>
        <w:tabs>
          <w:tab w:leader="none" w:pos="480" w:val="left"/>
          <w:tab w:leader="none" w:pos="2620" w:val="left"/>
          <w:tab w:leader="none" w:pos="3800" w:val="left"/>
        </w:tabs>
        <w:rPr>
          <w:sz w:val="20"/>
          <w:szCs w:val="20"/>
          <w:color w:val="auto"/>
        </w:rPr>
      </w:pPr>
      <w:r>
        <w:rPr>
          <w:rFonts w:ascii="Verdana" w:cs="Verdana" w:eastAsia="Verdana" w:hAnsi="Verdana"/>
          <w:sz w:val="18"/>
          <w:szCs w:val="18"/>
          <w:color w:val="auto"/>
        </w:rPr>
        <w:t>Die</w:t>
        <w:tab/>
        <w:t>Generalversammlung</w:t>
        <w:tab/>
        <w:t>beschliesst</w:t>
        <w:tab/>
        <w:t>nach</w:t>
      </w:r>
    </w:p>
    <w:p>
      <w:pPr>
        <w:jc w:val="both"/>
        <w:spacing w:after="0" w:line="236" w:lineRule="auto"/>
        <w:rPr>
          <w:sz w:val="20"/>
          <w:szCs w:val="20"/>
          <w:color w:val="auto"/>
        </w:rPr>
      </w:pPr>
      <w:r>
        <w:rPr>
          <w:rFonts w:ascii="Verdana" w:cs="Verdana" w:eastAsia="Verdana" w:hAnsi="Verdana"/>
          <w:sz w:val="18"/>
          <w:szCs w:val="18"/>
          <w:color w:val="auto"/>
        </w:rPr>
        <w:t>Entgegennahme der Anträge des Verwaltungsrates und des Berichtes der</w:t>
      </w:r>
    </w:p>
    <w:p>
      <w:pPr>
        <w:spacing w:after="0" w:line="2"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Revisionsstelle unter Vorbehalt der gesetzlichen Bestimmungen über die Verwendung des Bilanzgewinnes und setzt die Dividende und den Zeitpunkt ihrer Auszahlung fest.</w:t>
      </w:r>
    </w:p>
    <w:p>
      <w:pPr>
        <w:spacing w:after="0" w:line="19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Zusätzlich zu den gesetzlichen Reserven kann die Generalversammlung zusätzliche Reserven bereitstellen.</w:t>
      </w:r>
    </w:p>
    <w:p>
      <w:pPr>
        <w:spacing w:after="0" w:line="19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Dividenden, die nicht innerhalb von fünf Jahren nach dem Fälligkeitstag beansprucht werden, verbleiben bei der Gesellschaft und werden den allgemeinen Rücklagen zugeführt.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450850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968" w:right="1199" w:bottom="1440" w:gutter="0" w:footer="0" w:header="0"/>
        </w:sectPr>
      </w:pPr>
    </w:p>
    <w:bookmarkStart w:id="41" w:name="page42"/>
    <w:bookmarkEnd w:id="41"/>
    <w:p>
      <w:pPr>
        <w:spacing w:after="0"/>
        <w:tabs>
          <w:tab w:leader="none" w:pos="480" w:val="left"/>
        </w:tabs>
        <w:rPr>
          <w:sz w:val="20"/>
          <w:szCs w:val="20"/>
          <w:color w:val="auto"/>
        </w:rPr>
      </w:pPr>
      <w:r>
        <w:rPr>
          <w:rFonts w:ascii="Verdana" w:cs="Verdana" w:eastAsia="Verdana" w:hAnsi="Verdana"/>
          <w:sz w:val="18"/>
          <w:szCs w:val="18"/>
          <w:b w:val="1"/>
          <w:bCs w:val="1"/>
          <w:color w:val="auto"/>
        </w:rPr>
        <w:t>IX.</w:t>
      </w:r>
      <w:r>
        <w:rPr>
          <w:sz w:val="20"/>
          <w:szCs w:val="20"/>
          <w:color w:val="auto"/>
        </w:rPr>
        <w:tab/>
      </w:r>
      <w:r>
        <w:rPr>
          <w:rFonts w:ascii="Verdana" w:cs="Verdana" w:eastAsia="Verdana" w:hAnsi="Verdana"/>
          <w:sz w:val="17"/>
          <w:szCs w:val="17"/>
          <w:b w:val="1"/>
          <w:bCs w:val="1"/>
          <w:color w:val="auto"/>
        </w:rPr>
        <w:t>DISSOLUTION AND LIQUIDATION</w:t>
      </w: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45</w:t>
      </w:r>
      <w:r>
        <w:rPr>
          <w:sz w:val="20"/>
          <w:szCs w:val="20"/>
          <w:color w:val="auto"/>
        </w:rPr>
        <w:tab/>
      </w:r>
      <w:r>
        <w:rPr>
          <w:rFonts w:ascii="Verdana" w:cs="Verdana" w:eastAsia="Verdana" w:hAnsi="Verdana"/>
          <w:sz w:val="17"/>
          <w:szCs w:val="17"/>
          <w:b w:val="1"/>
          <w:bCs w:val="1"/>
          <w:color w:val="auto"/>
        </w:rPr>
        <w:t>Dissolution and Liquidation</w:t>
      </w:r>
    </w:p>
    <w:p>
      <w:pPr>
        <w:spacing w:after="0" w:line="213" w:lineRule="exact"/>
        <w:rPr>
          <w:sz w:val="20"/>
          <w:szCs w:val="20"/>
          <w:color w:val="auto"/>
        </w:rPr>
      </w:pPr>
    </w:p>
    <w:p>
      <w:pPr>
        <w:jc w:val="both"/>
        <w:ind w:right="380"/>
        <w:spacing w:after="0" w:line="242" w:lineRule="auto"/>
        <w:rPr>
          <w:sz w:val="20"/>
          <w:szCs w:val="20"/>
          <w:color w:val="auto"/>
        </w:rPr>
      </w:pPr>
      <w:r>
        <w:rPr>
          <w:rFonts w:ascii="Verdana" w:cs="Verdana" w:eastAsia="Verdana" w:hAnsi="Verdana"/>
          <w:sz w:val="18"/>
          <w:szCs w:val="18"/>
          <w:color w:val="auto"/>
        </w:rPr>
        <w:t>The dissolution and liquidation of the Company shall take place in accordance with the provisions of the Swiss Code of Obligations.</w:t>
      </w:r>
    </w:p>
    <w:p>
      <w:pPr>
        <w:spacing w:after="0" w:line="200" w:lineRule="exact"/>
        <w:rPr>
          <w:sz w:val="20"/>
          <w:szCs w:val="20"/>
          <w:color w:val="auto"/>
        </w:rPr>
      </w:pPr>
    </w:p>
    <w:p>
      <w:pPr>
        <w:spacing w:after="0" w:line="214" w:lineRule="exact"/>
        <w:rPr>
          <w:sz w:val="20"/>
          <w:szCs w:val="20"/>
          <w:color w:val="auto"/>
        </w:rPr>
      </w:pPr>
    </w:p>
    <w:p>
      <w:pPr>
        <w:ind w:left="720" w:right="1600" w:hanging="719"/>
        <w:spacing w:after="0" w:line="254" w:lineRule="auto"/>
        <w:tabs>
          <w:tab w:leader="none" w:pos="501" w:val="left"/>
        </w:tabs>
        <w:numPr>
          <w:ilvl w:val="0"/>
          <w:numId w:val="5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COMMUNICATIONS AND PUBLICATIONS</w:t>
      </w:r>
    </w:p>
    <w:p>
      <w:pPr>
        <w:spacing w:after="0" w:line="200" w:lineRule="exact"/>
        <w:rPr>
          <w:sz w:val="20"/>
          <w:szCs w:val="20"/>
          <w:color w:val="auto"/>
        </w:rPr>
      </w:pPr>
    </w:p>
    <w:p>
      <w:pPr>
        <w:spacing w:after="0" w:line="201" w:lineRule="exact"/>
        <w:rPr>
          <w:sz w:val="20"/>
          <w:szCs w:val="20"/>
          <w:color w:val="auto"/>
        </w:rPr>
      </w:pPr>
    </w:p>
    <w:p>
      <w:pPr>
        <w:ind w:right="600"/>
        <w:spacing w:after="0" w:line="254" w:lineRule="auto"/>
        <w:rPr>
          <w:sz w:val="20"/>
          <w:szCs w:val="20"/>
          <w:color w:val="auto"/>
        </w:rPr>
      </w:pPr>
      <w:r>
        <w:rPr>
          <w:rFonts w:ascii="Verdana" w:cs="Verdana" w:eastAsia="Verdana" w:hAnsi="Verdana"/>
          <w:sz w:val="18"/>
          <w:szCs w:val="18"/>
          <w:b w:val="1"/>
          <w:bCs w:val="1"/>
          <w:color w:val="auto"/>
        </w:rPr>
        <w:t>Art. 46 Communications and Publications</w:t>
      </w:r>
    </w:p>
    <w:p>
      <w:pPr>
        <w:spacing w:after="0" w:line="185" w:lineRule="exact"/>
        <w:rPr>
          <w:sz w:val="20"/>
          <w:szCs w:val="20"/>
          <w:color w:val="auto"/>
        </w:rPr>
      </w:pPr>
    </w:p>
    <w:p>
      <w:pPr>
        <w:jc w:val="both"/>
        <w:ind w:right="400"/>
        <w:spacing w:after="0" w:line="254" w:lineRule="auto"/>
        <w:rPr>
          <w:sz w:val="20"/>
          <w:szCs w:val="20"/>
          <w:color w:val="auto"/>
        </w:rPr>
      </w:pPr>
      <w:r>
        <w:rPr>
          <w:rFonts w:ascii="Verdana" w:cs="Verdana" w:eastAsia="Verdana" w:hAnsi="Verdana"/>
          <w:sz w:val="18"/>
          <w:szCs w:val="18"/>
          <w:color w:val="auto"/>
        </w:rPr>
        <w:t>The Swiss Official Gazette of Commerce is the official publication medium.</w:t>
      </w:r>
    </w:p>
    <w:p>
      <w:pPr>
        <w:spacing w:after="0" w:line="185" w:lineRule="exact"/>
        <w:rPr>
          <w:sz w:val="20"/>
          <w:szCs w:val="20"/>
          <w:color w:val="auto"/>
        </w:rPr>
      </w:pPr>
    </w:p>
    <w:p>
      <w:pPr>
        <w:jc w:val="both"/>
        <w:ind w:right="400"/>
        <w:spacing w:after="0" w:line="241" w:lineRule="auto"/>
        <w:rPr>
          <w:sz w:val="20"/>
          <w:szCs w:val="20"/>
          <w:color w:val="auto"/>
        </w:rPr>
      </w:pPr>
      <w:r>
        <w:rPr>
          <w:rFonts w:ascii="Verdana" w:cs="Verdana" w:eastAsia="Verdana" w:hAnsi="Verdana"/>
          <w:sz w:val="18"/>
          <w:szCs w:val="18"/>
          <w:color w:val="auto"/>
        </w:rPr>
        <w:t>Shareholder communications may be made by publication in the Swiss Official Gazette of Commerce or, instead or in addition, by mail or e-mail to the addresses registered in the share register.</w:t>
      </w:r>
    </w:p>
    <w:p>
      <w:pPr>
        <w:spacing w:after="0" w:line="198" w:lineRule="exact"/>
        <w:rPr>
          <w:sz w:val="20"/>
          <w:szCs w:val="20"/>
          <w:color w:val="auto"/>
        </w:rPr>
      </w:pPr>
    </w:p>
    <w:p>
      <w:pPr>
        <w:spacing w:after="0"/>
        <w:tabs>
          <w:tab w:leader="none" w:pos="960" w:val="left"/>
        </w:tabs>
        <w:rPr>
          <w:sz w:val="20"/>
          <w:szCs w:val="20"/>
          <w:color w:val="auto"/>
        </w:rPr>
      </w:pPr>
      <w:r>
        <w:rPr>
          <w:rFonts w:ascii="Verdana" w:cs="Verdana" w:eastAsia="Verdana" w:hAnsi="Verdana"/>
          <w:sz w:val="18"/>
          <w:szCs w:val="18"/>
          <w:b w:val="1"/>
          <w:bCs w:val="1"/>
          <w:color w:val="auto"/>
        </w:rPr>
        <w:t>Art. 47</w:t>
        <w:tab/>
        <w:t>Jurisdiction</w:t>
      </w:r>
    </w:p>
    <w:p>
      <w:pPr>
        <w:spacing w:after="0" w:line="213" w:lineRule="exact"/>
        <w:rPr>
          <w:sz w:val="20"/>
          <w:szCs w:val="20"/>
          <w:color w:val="auto"/>
        </w:rPr>
      </w:pPr>
    </w:p>
    <w:p>
      <w:pPr>
        <w:jc w:val="both"/>
        <w:ind w:right="380"/>
        <w:spacing w:after="0" w:line="239" w:lineRule="auto"/>
        <w:rPr>
          <w:sz w:val="20"/>
          <w:szCs w:val="20"/>
          <w:color w:val="auto"/>
        </w:rPr>
      </w:pPr>
      <w:r>
        <w:rPr>
          <w:rFonts w:ascii="Verdana" w:cs="Verdana" w:eastAsia="Verdana" w:hAnsi="Verdana"/>
          <w:sz w:val="18"/>
          <w:szCs w:val="18"/>
          <w:color w:val="auto"/>
        </w:rPr>
        <w:t>All disputes on Company matters between individual shareholders and the Company or its corporate bodies, as well as between the Company and its corporate bodies, or between the corporate bodies themselves, shall be judged exclusively by the courts at the legal domicile of the Company.</w:t>
      </w:r>
    </w:p>
    <w:p>
      <w:pPr>
        <w:spacing w:after="0" w:line="200" w:lineRule="exact"/>
        <w:rPr>
          <w:sz w:val="20"/>
          <w:szCs w:val="20"/>
          <w:color w:val="auto"/>
        </w:rPr>
      </w:pPr>
    </w:p>
    <w:p>
      <w:pPr>
        <w:spacing w:after="0" w:line="219" w:lineRule="exact"/>
        <w:rPr>
          <w:sz w:val="20"/>
          <w:szCs w:val="20"/>
          <w:color w:val="auto"/>
        </w:rPr>
      </w:pPr>
    </w:p>
    <w:p>
      <w:pPr>
        <w:jc w:val="both"/>
        <w:ind w:right="380"/>
        <w:spacing w:after="0" w:line="241" w:lineRule="auto"/>
        <w:rPr>
          <w:sz w:val="20"/>
          <w:szCs w:val="20"/>
          <w:color w:val="auto"/>
        </w:rPr>
      </w:pPr>
      <w:r>
        <w:rPr>
          <w:rFonts w:ascii="Verdana" w:cs="Verdana" w:eastAsia="Verdana" w:hAnsi="Verdana"/>
          <w:sz w:val="18"/>
          <w:szCs w:val="18"/>
          <w:color w:val="auto"/>
        </w:rPr>
        <w:t>Irrespective of the place of jurisdiction specified above, the Company may alternatively prosecute its corporate bodies and shareholders at their ordinary place of jurisdiction.</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Verdana" w:cs="Verdana" w:eastAsia="Verdana" w:hAnsi="Verdana"/>
          <w:sz w:val="18"/>
          <w:szCs w:val="18"/>
          <w:b w:val="1"/>
          <w:bCs w:val="1"/>
          <w:color w:val="auto"/>
        </w:rPr>
        <w:t>IX.</w:t>
      </w:r>
      <w:r>
        <w:rPr>
          <w:sz w:val="20"/>
          <w:szCs w:val="20"/>
          <w:color w:val="auto"/>
        </w:rPr>
        <w:tab/>
      </w:r>
      <w:r>
        <w:rPr>
          <w:rFonts w:ascii="Verdana" w:cs="Verdana" w:eastAsia="Verdana" w:hAnsi="Verdana"/>
          <w:sz w:val="17"/>
          <w:szCs w:val="17"/>
          <w:b w:val="1"/>
          <w:bCs w:val="1"/>
          <w:color w:val="auto"/>
        </w:rPr>
        <w:t>AUFLÖSUNG UND LIQUIDATION</w:t>
      </w:r>
    </w:p>
    <w:p>
      <w:pPr>
        <w:spacing w:after="0" w:line="200" w:lineRule="exact"/>
        <w:rPr>
          <w:sz w:val="20"/>
          <w:szCs w:val="20"/>
          <w:color w:val="auto"/>
        </w:rPr>
      </w:pPr>
    </w:p>
    <w:p>
      <w:pPr>
        <w:spacing w:after="0" w:line="229"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45</w:t>
      </w:r>
      <w:r>
        <w:rPr>
          <w:sz w:val="20"/>
          <w:szCs w:val="20"/>
          <w:color w:val="auto"/>
        </w:rPr>
        <w:tab/>
      </w:r>
      <w:r>
        <w:rPr>
          <w:rFonts w:ascii="Verdana" w:cs="Verdana" w:eastAsia="Verdana" w:hAnsi="Verdana"/>
          <w:sz w:val="17"/>
          <w:szCs w:val="17"/>
          <w:b w:val="1"/>
          <w:bCs w:val="1"/>
          <w:color w:val="auto"/>
        </w:rPr>
        <w:t>Auflösung und Liquidation</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Für die Auflösung und Liquidation der Gesellschaft gelten die Bestimmungen des Schweizerischen Obligationenrechts.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0" w:right="1260" w:hanging="714"/>
        <w:spacing w:after="0" w:line="254" w:lineRule="auto"/>
        <w:tabs>
          <w:tab w:leader="none" w:pos="501" w:val="left"/>
        </w:tabs>
        <w:numPr>
          <w:ilvl w:val="0"/>
          <w:numId w:val="5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MITTEILUNGEN UND BEKANNTMACHUNGEN</w:t>
      </w:r>
    </w:p>
    <w:p>
      <w:pPr>
        <w:spacing w:after="0" w:line="200" w:lineRule="exact"/>
        <w:rPr>
          <w:sz w:val="20"/>
          <w:szCs w:val="20"/>
          <w:color w:val="auto"/>
        </w:rPr>
      </w:pPr>
    </w:p>
    <w:p>
      <w:pPr>
        <w:spacing w:after="0" w:line="201" w:lineRule="exact"/>
        <w:rPr>
          <w:sz w:val="20"/>
          <w:szCs w:val="20"/>
          <w:color w:val="auto"/>
        </w:rPr>
      </w:pPr>
    </w:p>
    <w:p>
      <w:pPr>
        <w:ind w:left="1000" w:right="1020" w:hanging="1220"/>
        <w:spacing w:after="0" w:line="254" w:lineRule="auto"/>
        <w:tabs>
          <w:tab w:leader="none" w:pos="980" w:val="left"/>
        </w:tabs>
        <w:rPr>
          <w:sz w:val="20"/>
          <w:szCs w:val="20"/>
          <w:color w:val="auto"/>
        </w:rPr>
      </w:pPr>
      <w:r>
        <w:rPr>
          <w:rFonts w:ascii="Verdana" w:cs="Verdana" w:eastAsia="Verdana" w:hAnsi="Verdana"/>
          <w:sz w:val="18"/>
          <w:szCs w:val="18"/>
          <w:b w:val="1"/>
          <w:bCs w:val="1"/>
          <w:color w:val="auto"/>
        </w:rPr>
        <w:t>Art. 46</w:t>
        <w:tab/>
        <w:t>Mitteilungen und Bekanntmachungen</w:t>
      </w:r>
    </w:p>
    <w:p>
      <w:pPr>
        <w:spacing w:after="0" w:line="18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Das Schweizerische Handelsamtsblatt (SHAB) ist das offizielle Publikationsmedium.</w:t>
      </w:r>
    </w:p>
    <w:p>
      <w:pPr>
        <w:spacing w:after="0" w:line="182" w:lineRule="exact"/>
        <w:rPr>
          <w:sz w:val="20"/>
          <w:szCs w:val="20"/>
          <w:color w:val="auto"/>
        </w:rPr>
      </w:pPr>
    </w:p>
    <w:p>
      <w:pPr>
        <w:spacing w:after="0"/>
        <w:rPr>
          <w:sz w:val="20"/>
          <w:szCs w:val="20"/>
          <w:color w:val="auto"/>
        </w:rPr>
      </w:pPr>
      <w:r>
        <w:rPr>
          <w:rFonts w:ascii="Verdana" w:cs="Verdana" w:eastAsia="Verdana" w:hAnsi="Verdana"/>
          <w:sz w:val="18"/>
          <w:szCs w:val="18"/>
          <w:color w:val="auto"/>
        </w:rPr>
        <w:t>Mitteilungen an die Aktionäre können durch</w:t>
      </w:r>
    </w:p>
    <w:p>
      <w:pPr>
        <w:jc w:val="both"/>
        <w:spacing w:after="0" w:line="242" w:lineRule="auto"/>
        <w:rPr>
          <w:sz w:val="20"/>
          <w:szCs w:val="20"/>
          <w:color w:val="auto"/>
        </w:rPr>
      </w:pPr>
      <w:r>
        <w:rPr>
          <w:rFonts w:ascii="Verdana" w:cs="Verdana" w:eastAsia="Verdana" w:hAnsi="Verdana"/>
          <w:sz w:val="18"/>
          <w:szCs w:val="18"/>
          <w:color w:val="auto"/>
        </w:rPr>
        <w:t>Publikation im Schweizerischen Handelsamtsblatt oder (alternativ oder zusätzlich) durch Brief oder E-Mail an die im Aktienbuch verzeichneten Adressen erfolgen.</w:t>
      </w:r>
    </w:p>
    <w:p>
      <w:pPr>
        <w:spacing w:after="0" w:line="198" w:lineRule="exact"/>
        <w:rPr>
          <w:sz w:val="20"/>
          <w:szCs w:val="20"/>
          <w:color w:val="auto"/>
        </w:rPr>
      </w:pPr>
    </w:p>
    <w:p>
      <w:pPr>
        <w:spacing w:after="0"/>
        <w:tabs>
          <w:tab w:leader="none" w:pos="980" w:val="left"/>
        </w:tabs>
        <w:rPr>
          <w:sz w:val="20"/>
          <w:szCs w:val="20"/>
          <w:color w:val="auto"/>
        </w:rPr>
      </w:pPr>
      <w:r>
        <w:rPr>
          <w:rFonts w:ascii="Verdana" w:cs="Verdana" w:eastAsia="Verdana" w:hAnsi="Verdana"/>
          <w:sz w:val="18"/>
          <w:szCs w:val="18"/>
          <w:b w:val="1"/>
          <w:bCs w:val="1"/>
          <w:color w:val="auto"/>
        </w:rPr>
        <w:t>Art. 47</w:t>
      </w:r>
      <w:r>
        <w:rPr>
          <w:sz w:val="20"/>
          <w:szCs w:val="20"/>
          <w:color w:val="auto"/>
        </w:rPr>
        <w:tab/>
      </w:r>
      <w:r>
        <w:rPr>
          <w:rFonts w:ascii="Verdana" w:cs="Verdana" w:eastAsia="Verdana" w:hAnsi="Verdana"/>
          <w:sz w:val="17"/>
          <w:szCs w:val="17"/>
          <w:b w:val="1"/>
          <w:bCs w:val="1"/>
          <w:color w:val="auto"/>
        </w:rPr>
        <w:t>Gerichtsstand</w:t>
      </w:r>
    </w:p>
    <w:p>
      <w:pPr>
        <w:spacing w:after="0" w:line="210" w:lineRule="exact"/>
        <w:rPr>
          <w:sz w:val="20"/>
          <w:szCs w:val="20"/>
          <w:color w:val="auto"/>
        </w:rPr>
      </w:pPr>
    </w:p>
    <w:p>
      <w:pPr>
        <w:spacing w:after="0"/>
        <w:tabs>
          <w:tab w:leader="none" w:pos="1460" w:val="left"/>
          <w:tab w:leader="none" w:pos="3820" w:val="left"/>
        </w:tabs>
        <w:rPr>
          <w:sz w:val="20"/>
          <w:szCs w:val="20"/>
          <w:color w:val="auto"/>
        </w:rPr>
      </w:pPr>
      <w:r>
        <w:rPr>
          <w:rFonts w:ascii="Verdana" w:cs="Verdana" w:eastAsia="Verdana" w:hAnsi="Verdana"/>
          <w:sz w:val="18"/>
          <w:szCs w:val="18"/>
          <w:color w:val="auto"/>
        </w:rPr>
        <w:t>Alle</w:t>
      </w:r>
      <w:r>
        <w:rPr>
          <w:sz w:val="20"/>
          <w:szCs w:val="20"/>
          <w:color w:val="auto"/>
        </w:rPr>
        <w:tab/>
      </w:r>
      <w:r>
        <w:rPr>
          <w:rFonts w:ascii="Verdana" w:cs="Verdana" w:eastAsia="Verdana" w:hAnsi="Verdana"/>
          <w:sz w:val="18"/>
          <w:szCs w:val="18"/>
          <w:color w:val="auto"/>
        </w:rPr>
        <w:t>Streitigkeiten</w:t>
      </w:r>
      <w:r>
        <w:rPr>
          <w:sz w:val="20"/>
          <w:szCs w:val="20"/>
          <w:color w:val="auto"/>
        </w:rPr>
        <w:tab/>
      </w:r>
      <w:r>
        <w:rPr>
          <w:rFonts w:ascii="Verdana" w:cs="Verdana" w:eastAsia="Verdana" w:hAnsi="Verdana"/>
          <w:sz w:val="18"/>
          <w:szCs w:val="18"/>
          <w:color w:val="auto"/>
        </w:rPr>
        <w:t>über</w:t>
      </w:r>
    </w:p>
    <w:p>
      <w:pPr>
        <w:jc w:val="both"/>
        <w:spacing w:after="0" w:line="239" w:lineRule="auto"/>
        <w:rPr>
          <w:sz w:val="20"/>
          <w:szCs w:val="20"/>
          <w:color w:val="auto"/>
        </w:rPr>
      </w:pPr>
      <w:r>
        <w:rPr>
          <w:rFonts w:ascii="Verdana" w:cs="Verdana" w:eastAsia="Verdana" w:hAnsi="Verdana"/>
          <w:sz w:val="18"/>
          <w:szCs w:val="18"/>
          <w:color w:val="auto"/>
        </w:rPr>
        <w:t>Gesellschaftsangelegenheiten zwischen einzelnen Aktionären und der Gesellschaft oder ihren Organen sowie zwischen der Gesellschaft und ihren Organen oder zwischen den Organen unter sich werden ausschliesslich durch die Gerichte am Sitz der Gesellschaft beurteilt.</w:t>
      </w:r>
    </w:p>
    <w:p>
      <w:pPr>
        <w:spacing w:after="0" w:line="20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Unabhängig von dem hiervor bestimmten Gerichtsstand kann die Gesellschaft ihre Organe und Aktionäre auch an deren ordentlichen Gerichtsstand belangen.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1016635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540" w:space="720"/>
            <w:col w:w="4260"/>
          </w:cols>
          <w:pgMar w:left="1180" w:top="971" w:right="1199" w:bottom="1440" w:gutter="0" w:footer="0" w:header="0"/>
        </w:sectPr>
      </w:pPr>
    </w:p>
    <w:bookmarkStart w:id="42" w:name="page43"/>
    <w:bookmarkEnd w:id="42"/>
    <w:p>
      <w:pPr>
        <w:spacing w:after="0"/>
        <w:tabs>
          <w:tab w:leader="none" w:pos="4900" w:val="left"/>
        </w:tabs>
        <w:rPr>
          <w:sz w:val="20"/>
          <w:szCs w:val="20"/>
          <w:color w:val="auto"/>
        </w:rPr>
      </w:pPr>
      <w:r>
        <w:rPr>
          <w:rFonts w:ascii="Verdana" w:cs="Verdana" w:eastAsia="Verdana" w:hAnsi="Verdana"/>
          <w:sz w:val="18"/>
          <w:szCs w:val="18"/>
          <w:b w:val="1"/>
          <w:bCs w:val="1"/>
          <w:color w:val="auto"/>
        </w:rPr>
        <w:t>Zurich, June 4, 2026</w:t>
      </w:r>
      <w:r>
        <w:rPr>
          <w:sz w:val="20"/>
          <w:szCs w:val="20"/>
          <w:color w:val="auto"/>
        </w:rPr>
        <w:tab/>
      </w:r>
      <w:r>
        <w:rPr>
          <w:rFonts w:ascii="Verdana" w:cs="Verdana" w:eastAsia="Verdana" w:hAnsi="Verdana"/>
          <w:sz w:val="18"/>
          <w:szCs w:val="18"/>
          <w:b w:val="1"/>
          <w:bCs w:val="1"/>
          <w:color w:val="auto"/>
        </w:rPr>
        <w:t>Zürich, 4. Juni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481965</wp:posOffset>
            </wp:positionV>
            <wp:extent cx="6172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Der Vorsitzende:</w:t>
      </w:r>
    </w:p>
    <w:p>
      <w:pPr>
        <w:spacing w:after="0"/>
        <w:rPr>
          <w:sz w:val="20"/>
          <w:szCs w:val="20"/>
          <w:color w:val="auto"/>
        </w:rPr>
      </w:pPr>
      <w:r>
        <w:rPr>
          <w:rFonts w:ascii="Verdana" w:cs="Verdana" w:eastAsia="Verdana" w:hAnsi="Verdana"/>
          <w:sz w:val="18"/>
          <w:szCs w:val="18"/>
          <w:b w:val="1"/>
          <w:bCs w:val="1"/>
          <w:i w:val="1"/>
          <w:iCs w:val="1"/>
          <w:color w:val="auto"/>
        </w:rPr>
        <w:t>The Chairman:</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color w:val="auto"/>
        </w:rPr>
        <w:t>/s/ Christian Rommel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color w:val="auto"/>
        </w:rPr>
        <w:t>Christian Rommel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619125</wp:posOffset>
            </wp:positionV>
            <wp:extent cx="6172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Der Notar:</w:t>
      </w:r>
    </w:p>
    <w:p>
      <w:pPr>
        <w:spacing w:after="0"/>
        <w:rPr>
          <w:sz w:val="20"/>
          <w:szCs w:val="20"/>
          <w:color w:val="auto"/>
        </w:rPr>
      </w:pPr>
      <w:r>
        <w:rPr>
          <w:rFonts w:ascii="Verdana" w:cs="Verdana" w:eastAsia="Verdana" w:hAnsi="Verdana"/>
          <w:sz w:val="18"/>
          <w:szCs w:val="18"/>
          <w:b w:val="1"/>
          <w:bCs w:val="1"/>
          <w:i w:val="1"/>
          <w:iCs w:val="1"/>
          <w:color w:val="auto"/>
        </w:rPr>
        <w:t>The Notary Public:</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color w:val="auto"/>
        </w:rPr>
        <w:t>/s/ Beat Buxcel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color w:val="auto"/>
        </w:rPr>
        <w:t>Beat Buxcel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391795</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647" w:right="1440" w:bottom="1440" w:gutter="0" w:footer="0" w:header="0"/>
        </w:sectPr>
      </w:pPr>
    </w:p>
    <w:bookmarkStart w:id="43" w:name="page44"/>
    <w:bookmarkEnd w:id="43"/>
    <w:p>
      <w:pPr>
        <w:jc w:val="right"/>
        <w:ind w:right="299"/>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CRISPR THERAPEUTICS AG</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STOCK OPTION AND INCENTIVE PLAN</w:t>
      </w:r>
    </w:p>
    <w:p>
      <w:pPr>
        <w:spacing w:after="0" w:line="200" w:lineRule="exact"/>
        <w:rPr>
          <w:sz w:val="20"/>
          <w:szCs w:val="20"/>
          <w:color w:val="auto"/>
        </w:rPr>
      </w:pPr>
    </w:p>
    <w:p>
      <w:pPr>
        <w:spacing w:after="0" w:line="243"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GENERAL PURPOSE OF THE PLAN; DEFINITIONS</w:t>
      </w:r>
    </w:p>
    <w:p>
      <w:pPr>
        <w:spacing w:after="0" w:line="206" w:lineRule="exact"/>
        <w:rPr>
          <w:sz w:val="20"/>
          <w:szCs w:val="20"/>
          <w:color w:val="auto"/>
        </w:rPr>
      </w:pPr>
    </w:p>
    <w:p>
      <w:pPr>
        <w:ind w:left="300" w:right="379" w:firstLine="648"/>
        <w:spacing w:after="0" w:line="234" w:lineRule="auto"/>
        <w:rPr>
          <w:sz w:val="20"/>
          <w:szCs w:val="20"/>
          <w:color w:val="auto"/>
        </w:rPr>
      </w:pPr>
      <w:r>
        <w:rPr>
          <w:rFonts w:ascii="Times New Roman" w:cs="Times New Roman" w:eastAsia="Times New Roman" w:hAnsi="Times New Roman"/>
          <w:sz w:val="22"/>
          <w:szCs w:val="22"/>
          <w:color w:val="auto"/>
        </w:rPr>
        <w:t>The name of the plan is the CRISPR Therapeutics AG 2026 Stock Option and Incentive Plan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The purpose of the Plan is to encourage and enable the officers, employees, Non-Employee Directors and Consultants of CRISPR Therapeutics AG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spacing w:after="0" w:line="183" w:lineRule="exact"/>
        <w:rPr>
          <w:sz w:val="20"/>
          <w:szCs w:val="20"/>
          <w:color w:val="auto"/>
        </w:rPr>
      </w:pPr>
    </w:p>
    <w:p>
      <w:pPr>
        <w:ind w:left="300" w:right="479" w:firstLine="648"/>
        <w:spacing w:after="0" w:line="258" w:lineRule="auto"/>
        <w:rPr>
          <w:sz w:val="20"/>
          <w:szCs w:val="20"/>
          <w:color w:val="auto"/>
        </w:rPr>
      </w:pPr>
      <w:r>
        <w:rPr>
          <w:rFonts w:ascii="Times New Roman" w:cs="Times New Roman" w:eastAsia="Times New Roman" w:hAnsi="Times New Roman"/>
          <w:sz w:val="22"/>
          <w:szCs w:val="22"/>
          <w:color w:val="auto"/>
        </w:rPr>
        <w:t>The following capitalized terms used herein or used in any Award Certificate shall have the following meanings:</w:t>
      </w:r>
    </w:p>
    <w:p>
      <w:pPr>
        <w:spacing w:after="0" w:line="154" w:lineRule="exact"/>
        <w:rPr>
          <w:sz w:val="20"/>
          <w:szCs w:val="20"/>
          <w:color w:val="auto"/>
        </w:rPr>
      </w:pPr>
    </w:p>
    <w:p>
      <w:pPr>
        <w:ind w:left="300" w:right="439" w:firstLine="648"/>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means either the Board or the compensation committee of the Board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similar committee performing the functions of the compensation committee and which is comprised of not less than two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who are independent.</w:t>
      </w:r>
    </w:p>
    <w:p>
      <w:pPr>
        <w:spacing w:after="0" w:line="143" w:lineRule="exact"/>
        <w:rPr>
          <w:sz w:val="20"/>
          <w:szCs w:val="20"/>
          <w:color w:val="auto"/>
        </w:rPr>
      </w:pPr>
    </w:p>
    <w:p>
      <w:pPr>
        <w:ind w:left="300" w:right="33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at the time of determination, any “parent” or “subsidiary”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as such terms are defined in Rule 405 of the US Securities Act. The Administrator will have the authority to determine the time or times at which “parent” or “subsidiary” status is determined within the foregoing definition.</w:t>
      </w:r>
    </w:p>
    <w:p>
      <w:pPr>
        <w:spacing w:after="0" w:line="172" w:lineRule="exact"/>
        <w:rPr>
          <w:sz w:val="20"/>
          <w:szCs w:val="20"/>
          <w:color w:val="auto"/>
        </w:rPr>
      </w:pPr>
    </w:p>
    <w:p>
      <w:pPr>
        <w:ind w:left="300" w:right="35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“Awards”, </w:t>
      </w:r>
      <w:r>
        <w:rPr>
          <w:rFonts w:ascii="Times New Roman" w:cs="Times New Roman" w:eastAsia="Times New Roman" w:hAnsi="Times New Roman"/>
          <w:sz w:val="22"/>
          <w:szCs w:val="22"/>
          <w:color w:val="auto"/>
        </w:rPr>
        <w:t>except where referring to a particular category of grant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shall include Incentive Stock Options, Non-Qualified Stock Options, Stock Appreciation Rights, Restricted Stock Units, Restricted Stock Awards, Unrestricted Stock Awards, Cash-Based Awards and Dividend Equivalent Rights.</w:t>
      </w:r>
    </w:p>
    <w:p>
      <w:pPr>
        <w:spacing w:after="0" w:line="172" w:lineRule="exact"/>
        <w:rPr>
          <w:sz w:val="20"/>
          <w:szCs w:val="20"/>
          <w:color w:val="auto"/>
        </w:rPr>
      </w:pPr>
    </w:p>
    <w:p>
      <w:pPr>
        <w:jc w:val="both"/>
        <w:ind w:left="300" w:right="4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“Award Certificate” </w:t>
      </w:r>
      <w:r>
        <w:rPr>
          <w:rFonts w:ascii="Times New Roman" w:cs="Times New Roman" w:eastAsia="Times New Roman" w:hAnsi="Times New Roman"/>
          <w:sz w:val="22"/>
          <w:szCs w:val="22"/>
          <w:color w:val="auto"/>
        </w:rPr>
        <w:t>means a written or electronic document setting forth the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applicable to an Award granted under the Plan. Each Award Certificate is subject to the terms and conditions of the Plan.</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300" w:right="39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“Cause” </w:t>
      </w:r>
      <w:r>
        <w:rPr>
          <w:rFonts w:ascii="Times New Roman" w:cs="Times New Roman" w:eastAsia="Times New Roman" w:hAnsi="Times New Roman"/>
          <w:sz w:val="21"/>
          <w:szCs w:val="21"/>
          <w:color w:val="auto"/>
        </w:rPr>
        <w:t>shall have the same meaning as set forth in an applicable written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between recipient of an Award and the Company (or any Affiliate thereof), or, if not otherwise defined in an Award Certificate, shall mean a determination by the Administrator, in its sole discretion, that the recipient’s Service Relationship was terminated as a result of (i) any material breach by the recipient of any agreement between the recipient and the Company (or any Affiliate thereof) or any material breach by the recipient of any policy of the Company (or any Affiliate thereof), (ii) any act of dishonesty; the conviction of, indictment for or plea of nolo contendere by the recipient to any crime involving moral turpitude; or the conviction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1007745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44" w:name="page45"/>
    <w:bookmarkEnd w:id="44"/>
    <w:p>
      <w:pPr>
        <w:ind w:left="300" w:right="419"/>
        <w:spacing w:after="0" w:line="244" w:lineRule="auto"/>
        <w:rPr>
          <w:sz w:val="20"/>
          <w:szCs w:val="20"/>
          <w:color w:val="auto"/>
        </w:rPr>
      </w:pPr>
      <w:r>
        <w:rPr>
          <w:rFonts w:ascii="Times New Roman" w:cs="Times New Roman" w:eastAsia="Times New Roman" w:hAnsi="Times New Roman"/>
          <w:sz w:val="22"/>
          <w:szCs w:val="22"/>
          <w:color w:val="auto"/>
        </w:rPr>
        <w:t>indictment for or plea of nolo contendere by the recipient to any felony; or (iii) any material misconduct or willful and deliberate non-performance (other than by reason of disability) by the recipient of the recipient’s duties to the Company (or any Affiliate thereof).</w:t>
      </w:r>
    </w:p>
    <w:p>
      <w:pPr>
        <w:spacing w:after="0" w:line="169" w:lineRule="exact"/>
        <w:rPr>
          <w:sz w:val="20"/>
          <w:szCs w:val="20"/>
          <w:color w:val="auto"/>
        </w:rPr>
      </w:pPr>
    </w:p>
    <w:p>
      <w:pPr>
        <w:ind w:left="300" w:right="3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“Clawback Policy” </w:t>
      </w:r>
      <w:r>
        <w:rPr>
          <w:rFonts w:ascii="Times New Roman" w:cs="Times New Roman" w:eastAsia="Times New Roman" w:hAnsi="Times New Roman"/>
          <w:sz w:val="22"/>
          <w:szCs w:val="22"/>
          <w:color w:val="auto"/>
        </w:rPr>
        <w:t>means the CRISPR Therapeutics AG Compensation Recovery Policy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adopted pursuant to Rule 10D-1 promulgated under the US Exchange Act and Nasdaq Rule 5608, or any successor rule, or any such other Company clawback policy, each as amended and in effect from time to time.</w:t>
      </w:r>
    </w:p>
    <w:p>
      <w:pPr>
        <w:spacing w:after="0" w:line="172" w:lineRule="exact"/>
        <w:rPr>
          <w:sz w:val="20"/>
          <w:szCs w:val="20"/>
          <w:color w:val="auto"/>
        </w:rPr>
      </w:pPr>
    </w:p>
    <w:p>
      <w:pPr>
        <w:ind w:left="300" w:right="3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“Common Shares” </w:t>
      </w:r>
      <w:r>
        <w:rPr>
          <w:rFonts w:ascii="Times New Roman" w:cs="Times New Roman" w:eastAsia="Times New Roman" w:hAnsi="Times New Roman"/>
          <w:sz w:val="22"/>
          <w:szCs w:val="22"/>
          <w:color w:val="auto"/>
        </w:rPr>
        <w:t>means the common shares, nominal value CHF 0.03 per share,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subject to adjustments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300" w:right="37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“Consultant” </w:t>
      </w:r>
      <w:r>
        <w:rPr>
          <w:rFonts w:ascii="Times New Roman" w:cs="Times New Roman" w:eastAsia="Times New Roman" w:hAnsi="Times New Roman"/>
          <w:sz w:val="22"/>
          <w:szCs w:val="22"/>
          <w:color w:val="auto"/>
        </w:rPr>
        <w:t>means any consultant or advisor that provides</w:t>
      </w:r>
      <w:r>
        <w:rPr>
          <w:rFonts w:ascii="Times New Roman" w:cs="Times New Roman" w:eastAsia="Times New Roman" w:hAnsi="Times New Roman"/>
          <w:sz w:val="22"/>
          <w:szCs w:val="22"/>
          <w:i w:val="1"/>
          <w:iCs w:val="1"/>
          <w:color w:val="auto"/>
        </w:rPr>
        <w:t xml:space="preserve"> bona fide </w:t>
      </w:r>
      <w:r>
        <w:rPr>
          <w:rFonts w:ascii="Times New Roman" w:cs="Times New Roman" w:eastAsia="Times New Roman" w:hAnsi="Times New Roman"/>
          <w:sz w:val="22"/>
          <w:szCs w:val="22"/>
          <w:color w:val="auto"/>
        </w:rPr>
        <w:t>services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any Affiliate thereof as an independent contractor and who qualifies as a consultant or advisor under Instruction A.1.(a)(1) of Form S-8 under the US Securities Act.</w:t>
      </w:r>
    </w:p>
    <w:p>
      <w:pPr>
        <w:spacing w:after="0" w:line="167" w:lineRule="exact"/>
        <w:rPr>
          <w:sz w:val="20"/>
          <w:szCs w:val="20"/>
          <w:color w:val="auto"/>
        </w:rPr>
      </w:pPr>
    </w:p>
    <w:p>
      <w:pPr>
        <w:ind w:left="300" w:right="3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“Covered Employee” </w:t>
      </w:r>
      <w:r>
        <w:rPr>
          <w:rFonts w:ascii="Times New Roman" w:cs="Times New Roman" w:eastAsia="Times New Roman" w:hAnsi="Times New Roman"/>
          <w:sz w:val="22"/>
          <w:szCs w:val="22"/>
          <w:color w:val="auto"/>
        </w:rPr>
        <w:t>means an employee who is a member of the Board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executive committee and thus subject to approval requirement pursuant to art. 735 of the Swiss Code of Obligations (</w:t>
      </w:r>
      <w:r>
        <w:rPr>
          <w:rFonts w:ascii="Times New Roman" w:cs="Times New Roman" w:eastAsia="Times New Roman" w:hAnsi="Times New Roman"/>
          <w:sz w:val="22"/>
          <w:szCs w:val="22"/>
          <w:i w:val="1"/>
          <w:iCs w:val="1"/>
          <w:color w:val="auto"/>
        </w:rPr>
        <w:t>Obligationenrecht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300" w:right="47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“Dividend Equivalent Right” </w:t>
      </w:r>
      <w:r>
        <w:rPr>
          <w:rFonts w:ascii="Times New Roman" w:cs="Times New Roman" w:eastAsia="Times New Roman" w:hAnsi="Times New Roman"/>
          <w:sz w:val="22"/>
          <w:szCs w:val="22"/>
          <w:color w:val="auto"/>
        </w:rPr>
        <w:t>means an Award entitling the grantee to receive credits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based on cash dividends that would have been paid on each Common Share specified in the Dividend Equivalent Right (or other award to which it relates) if such shares had been issued to and held by the grantee.</w:t>
      </w:r>
    </w:p>
    <w:p>
      <w:pPr>
        <w:spacing w:after="0" w:line="172" w:lineRule="exact"/>
        <w:rPr>
          <w:sz w:val="20"/>
          <w:szCs w:val="20"/>
          <w:color w:val="auto"/>
        </w:rPr>
      </w:pPr>
    </w:p>
    <w:p>
      <w:pPr>
        <w:ind w:left="300" w:right="8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date on which the Plan becomes effective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300" w:right="399" w:firstLine="702"/>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“Fair Market Value” </w:t>
      </w:r>
      <w:r>
        <w:rPr>
          <w:rFonts w:ascii="Times New Roman" w:cs="Times New Roman" w:eastAsia="Times New Roman" w:hAnsi="Times New Roman"/>
          <w:sz w:val="22"/>
          <w:szCs w:val="22"/>
          <w:color w:val="auto"/>
        </w:rPr>
        <w:t>of the Common Shares on any given date means the fair market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value of the Common Shares determined in good faith by the Administrator; provided, however, that if the Common Shares are listed on the National Association of Securities Dealers Automated Quotation System (“</w:t>
      </w:r>
      <w:r>
        <w:rPr>
          <w:rFonts w:ascii="Times New Roman" w:cs="Times New Roman" w:eastAsia="Times New Roman" w:hAnsi="Times New Roman"/>
          <w:sz w:val="22"/>
          <w:szCs w:val="22"/>
          <w:i w:val="1"/>
          <w:iCs w:val="1"/>
          <w:color w:val="auto"/>
        </w:rPr>
        <w:t>Nasdaq</w:t>
      </w:r>
      <w:r>
        <w:rPr>
          <w:rFonts w:ascii="Times New Roman" w:cs="Times New Roman" w:eastAsia="Times New Roman" w:hAnsi="Times New Roman"/>
          <w:sz w:val="22"/>
          <w:szCs w:val="22"/>
          <w:color w:val="auto"/>
        </w:rPr>
        <w:t>”),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spacing w:after="0" w:line="176" w:lineRule="exact"/>
        <w:rPr>
          <w:sz w:val="20"/>
          <w:szCs w:val="20"/>
          <w:color w:val="auto"/>
        </w:rPr>
      </w:pPr>
    </w:p>
    <w:p>
      <w:pPr>
        <w:ind w:left="300" w:right="10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“Incentive Stock Option” </w:t>
      </w:r>
      <w:r>
        <w:rPr>
          <w:rFonts w:ascii="Times New Roman" w:cs="Times New Roman" w:eastAsia="Times New Roman" w:hAnsi="Times New Roman"/>
          <w:sz w:val="22"/>
          <w:szCs w:val="22"/>
          <w:color w:val="auto"/>
        </w:rPr>
        <w:t>means any Stock Option designated and qualified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“incentive stock option” as defined in Section 422 of the US Tax Code.</w:t>
      </w:r>
    </w:p>
    <w:p>
      <w:pPr>
        <w:spacing w:after="0" w:line="150" w:lineRule="exact"/>
        <w:rPr>
          <w:sz w:val="20"/>
          <w:szCs w:val="20"/>
          <w:color w:val="auto"/>
        </w:rPr>
      </w:pPr>
    </w:p>
    <w:p>
      <w:pPr>
        <w:ind w:left="300" w:right="35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“Non-Employee Director” </w:t>
      </w:r>
      <w:r>
        <w:rPr>
          <w:rFonts w:ascii="Times New Roman" w:cs="Times New Roman" w:eastAsia="Times New Roman" w:hAnsi="Times New Roman"/>
          <w:sz w:val="22"/>
          <w:szCs w:val="22"/>
          <w:color w:val="auto"/>
        </w:rPr>
        <w:t>means a member of the Board who is not also an employee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any Affiliate thereof.</w:t>
      </w:r>
    </w:p>
    <w:p>
      <w:pPr>
        <w:spacing w:after="0" w:line="150" w:lineRule="exact"/>
        <w:rPr>
          <w:sz w:val="20"/>
          <w:szCs w:val="20"/>
          <w:color w:val="auto"/>
        </w:rPr>
      </w:pPr>
    </w:p>
    <w:p>
      <w:pPr>
        <w:ind w:left="300" w:right="6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“Non-Qualified Stock Option” </w:t>
      </w:r>
      <w:r>
        <w:rPr>
          <w:rFonts w:ascii="Times New Roman" w:cs="Times New Roman" w:eastAsia="Times New Roman" w:hAnsi="Times New Roman"/>
          <w:sz w:val="22"/>
          <w:szCs w:val="22"/>
          <w:color w:val="auto"/>
        </w:rPr>
        <w:t>means any Stock Option that is not an Incentive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w:t>
      </w:r>
    </w:p>
    <w:p>
      <w:pPr>
        <w:spacing w:after="0" w:line="150" w:lineRule="exact"/>
        <w:rPr>
          <w:sz w:val="20"/>
          <w:szCs w:val="20"/>
          <w:color w:val="auto"/>
        </w:rPr>
      </w:pPr>
    </w:p>
    <w:p>
      <w:pPr>
        <w:ind w:left="300" w:right="7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“Stock Option” </w:t>
      </w:r>
      <w:r>
        <w:rPr>
          <w:rFonts w:ascii="Times New Roman" w:cs="Times New Roman" w:eastAsia="Times New Roman" w:hAnsi="Times New Roman"/>
          <w:sz w:val="22"/>
          <w:szCs w:val="22"/>
          <w:color w:val="auto"/>
        </w:rPr>
        <w:t>means any option to purchase Common Shares granted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993775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5" w:name="page46"/>
    <w:bookmarkEnd w:id="45"/>
    <w:p>
      <w:pPr>
        <w:ind w:left="300" w:right="599" w:firstLine="702"/>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Shares” </w:t>
      </w:r>
      <w:r>
        <w:rPr>
          <w:rFonts w:ascii="Times New Roman" w:cs="Times New Roman" w:eastAsia="Times New Roman" w:hAnsi="Times New Roman"/>
          <w:sz w:val="22"/>
          <w:szCs w:val="22"/>
          <w:color w:val="auto"/>
        </w:rPr>
        <w:t>means the Common Shares underlying a Restricted Stock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remain subject to a risk of forfeiture or the Company’s right of repurchase.</w:t>
      </w:r>
    </w:p>
    <w:p>
      <w:pPr>
        <w:spacing w:after="0" w:line="150" w:lineRule="exact"/>
        <w:rPr>
          <w:sz w:val="20"/>
          <w:szCs w:val="20"/>
          <w:color w:val="auto"/>
        </w:rPr>
      </w:pPr>
    </w:p>
    <w:p>
      <w:pPr>
        <w:ind w:left="300" w:right="117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“Restricted Stock Award” </w:t>
      </w:r>
      <w:r>
        <w:rPr>
          <w:rFonts w:ascii="Times New Roman" w:cs="Times New Roman" w:eastAsia="Times New Roman" w:hAnsi="Times New Roman"/>
          <w:sz w:val="21"/>
          <w:szCs w:val="21"/>
          <w:color w:val="auto"/>
        </w:rPr>
        <w:t>means an Award of Restricted Shares subject to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restrictions and conditions as the Administrator may determine at the time of grant.</w:t>
      </w:r>
    </w:p>
    <w:p>
      <w:pPr>
        <w:spacing w:after="0" w:line="126" w:lineRule="exact"/>
        <w:rPr>
          <w:sz w:val="20"/>
          <w:szCs w:val="20"/>
          <w:color w:val="auto"/>
        </w:rPr>
      </w:pPr>
    </w:p>
    <w:p>
      <w:pPr>
        <w:ind w:left="300" w:right="4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Units” </w:t>
      </w:r>
      <w:r>
        <w:rPr>
          <w:rFonts w:ascii="Times New Roman" w:cs="Times New Roman" w:eastAsia="Times New Roman" w:hAnsi="Times New Roman"/>
          <w:sz w:val="22"/>
          <w:szCs w:val="22"/>
          <w:color w:val="auto"/>
        </w:rPr>
        <w:t>means an Award of stock units subject to such restrictions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as the Administrator may determine at the time of grant.</w:t>
      </w:r>
    </w:p>
    <w:p>
      <w:pPr>
        <w:spacing w:after="0" w:line="150" w:lineRule="exact"/>
        <w:rPr>
          <w:sz w:val="20"/>
          <w:szCs w:val="20"/>
          <w:color w:val="auto"/>
        </w:rPr>
      </w:pPr>
    </w:p>
    <w:p>
      <w:pPr>
        <w:ind w:left="300" w:right="3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“Sale Event” </w:t>
      </w:r>
      <w:r>
        <w:rPr>
          <w:rFonts w:ascii="Times New Roman" w:cs="Times New Roman" w:eastAsia="Times New Roman" w:hAnsi="Times New Roman"/>
          <w:sz w:val="22"/>
          <w:szCs w:val="22"/>
          <w:color w:val="auto"/>
        </w:rPr>
        <w:t>shall mean (i) the sale of all or substantially all of the assets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Shares of the Company to an unrelated person, entity or group thereof acting in concert or (iv) any other transaction in which the holders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5" w:lineRule="exact"/>
        <w:rPr>
          <w:sz w:val="20"/>
          <w:szCs w:val="20"/>
          <w:color w:val="auto"/>
        </w:rPr>
      </w:pPr>
    </w:p>
    <w:p>
      <w:pPr>
        <w:ind w:left="300" w:right="65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Price</w:t>
      </w:r>
      <w:r>
        <w:rPr>
          <w:rFonts w:ascii="Times New Roman" w:cs="Times New Roman" w:eastAsia="Times New Roman" w:hAnsi="Times New Roman"/>
          <w:sz w:val="22"/>
          <w:szCs w:val="22"/>
          <w:color w:val="auto"/>
        </w:rPr>
        <w:t>” means the value as determined by the Administrator of the consideration payable, or otherwise to be received by shareholders, per Common Share pursuant to a Sale Event.</w:t>
      </w:r>
    </w:p>
    <w:p>
      <w:pPr>
        <w:spacing w:after="0" w:line="167" w:lineRule="exact"/>
        <w:rPr>
          <w:sz w:val="20"/>
          <w:szCs w:val="20"/>
          <w:color w:val="auto"/>
        </w:rPr>
      </w:pPr>
    </w:p>
    <w:p>
      <w:pPr>
        <w:ind w:left="300" w:right="4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409A” </w:t>
      </w:r>
      <w:r>
        <w:rPr>
          <w:rFonts w:ascii="Times New Roman" w:cs="Times New Roman" w:eastAsia="Times New Roman" w:hAnsi="Times New Roman"/>
          <w:sz w:val="22"/>
          <w:szCs w:val="22"/>
          <w:color w:val="auto"/>
        </w:rPr>
        <w:t>means Section 409A of the US Tax Code and the regulations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guidance promulgated thereunder.</w:t>
      </w:r>
    </w:p>
    <w:p>
      <w:pPr>
        <w:spacing w:after="0" w:line="150" w:lineRule="exact"/>
        <w:rPr>
          <w:sz w:val="20"/>
          <w:szCs w:val="20"/>
          <w:color w:val="auto"/>
        </w:rPr>
      </w:pPr>
    </w:p>
    <w:p>
      <w:pPr>
        <w:ind w:left="300" w:right="37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“Service Relationship” </w:t>
      </w:r>
      <w:r>
        <w:rPr>
          <w:rFonts w:ascii="Times New Roman" w:cs="Times New Roman" w:eastAsia="Times New Roman" w:hAnsi="Times New Roman"/>
          <w:sz w:val="22"/>
          <w:szCs w:val="22"/>
          <w:color w:val="auto"/>
        </w:rPr>
        <w:t>means any relationship as an employee, director or Consultant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any Affiliate thereof (e.g., a Service Relationship shall be deemed to continue without interruption in the event an individual’s status changes from full-time employee to part-time employee or Consultant without interruption).</w:t>
      </w:r>
    </w:p>
    <w:p>
      <w:pPr>
        <w:spacing w:after="0" w:line="172" w:lineRule="exact"/>
        <w:rPr>
          <w:sz w:val="20"/>
          <w:szCs w:val="20"/>
          <w:color w:val="auto"/>
        </w:rPr>
      </w:pPr>
    </w:p>
    <w:p>
      <w:pPr>
        <w:ind w:left="300" w:right="439" w:firstLine="648"/>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“Stock Appreciation Right” </w:t>
      </w:r>
      <w:r>
        <w:rPr>
          <w:rFonts w:ascii="Times New Roman" w:cs="Times New Roman" w:eastAsia="Times New Roman" w:hAnsi="Times New Roman"/>
          <w:sz w:val="21"/>
          <w:szCs w:val="21"/>
          <w:color w:val="auto"/>
        </w:rPr>
        <w:t>means an Award entitling the recipient to receive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Shares (or cash, to the extent explicitly provided for in the applicable Award Certificate) having a value equal to the excess of the Fair Market Value of the Common Shares on the date of exercise over the exercise price of the Stock Appreciation Right multiplied by the number of Common Shares with respect to which the Stock Appreciation Right shall have been exercised.</w:t>
      </w:r>
    </w:p>
    <w:p>
      <w:pPr>
        <w:spacing w:after="0" w:line="163" w:lineRule="exact"/>
        <w:rPr>
          <w:sz w:val="20"/>
          <w:szCs w:val="20"/>
          <w:color w:val="auto"/>
        </w:rPr>
      </w:pPr>
    </w:p>
    <w:p>
      <w:pPr>
        <w:ind w:left="300" w:right="45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“Ten Percent Owner” </w:t>
      </w:r>
      <w:r>
        <w:rPr>
          <w:rFonts w:ascii="Times New Roman" w:cs="Times New Roman" w:eastAsia="Times New Roman" w:hAnsi="Times New Roman"/>
          <w:sz w:val="22"/>
          <w:szCs w:val="22"/>
          <w:color w:val="auto"/>
        </w:rPr>
        <w:t>means an employee who owns or is deemed to own (by reason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attribution rules of Section 424(d) of the US Tax Code) more than 10 percent of the combined voting power of all classes of stock of the Company or any parent or subsidiary corporation.</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i w:val="1"/>
          <w:iCs w:val="1"/>
          <w:color w:val="auto"/>
        </w:rPr>
        <w:t xml:space="preserve">“Unrestricted Stock Award” </w:t>
      </w:r>
      <w:r>
        <w:rPr>
          <w:rFonts w:ascii="Times New Roman" w:cs="Times New Roman" w:eastAsia="Times New Roman" w:hAnsi="Times New Roman"/>
          <w:sz w:val="21"/>
          <w:szCs w:val="21"/>
          <w:color w:val="auto"/>
        </w:rPr>
        <w:t>means an Award of Common Shares free of any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1036955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6" w:name="page47"/>
    <w:bookmarkEnd w:id="46"/>
    <w:p>
      <w:pPr>
        <w:ind w:left="300" w:right="57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Exchange Act</w:t>
      </w:r>
      <w:r>
        <w:rPr>
          <w:rFonts w:ascii="Times New Roman" w:cs="Times New Roman" w:eastAsia="Times New Roman" w:hAnsi="Times New Roman"/>
          <w:sz w:val="22"/>
          <w:szCs w:val="22"/>
          <w:color w:val="auto"/>
        </w:rPr>
        <w:t>” means the U.S. Securities Exchange Act of 1934, as amended, and the rules and regulations thereunder.</w:t>
      </w:r>
    </w:p>
    <w:p>
      <w:pPr>
        <w:spacing w:after="0" w:line="150" w:lineRule="exact"/>
        <w:rPr>
          <w:sz w:val="20"/>
          <w:szCs w:val="20"/>
          <w:color w:val="auto"/>
        </w:rPr>
      </w:pPr>
    </w:p>
    <w:p>
      <w:pPr>
        <w:ind w:left="300" w:right="3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Securities Act</w:t>
      </w:r>
      <w:r>
        <w:rPr>
          <w:rFonts w:ascii="Times New Roman" w:cs="Times New Roman" w:eastAsia="Times New Roman" w:hAnsi="Times New Roman"/>
          <w:sz w:val="22"/>
          <w:szCs w:val="22"/>
          <w:color w:val="auto"/>
        </w:rPr>
        <w:t>” means the U.S. Securities Act of 1933, as amended, and the rules and regulations thereunder.</w:t>
      </w:r>
    </w:p>
    <w:p>
      <w:pPr>
        <w:spacing w:after="0" w:line="150" w:lineRule="exact"/>
        <w:rPr>
          <w:sz w:val="20"/>
          <w:szCs w:val="20"/>
          <w:color w:val="auto"/>
        </w:rPr>
      </w:pPr>
    </w:p>
    <w:p>
      <w:pPr>
        <w:ind w:left="300" w:right="69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Tax Code</w:t>
      </w:r>
      <w:r>
        <w:rPr>
          <w:rFonts w:ascii="Times New Roman" w:cs="Times New Roman" w:eastAsia="Times New Roman" w:hAnsi="Times New Roman"/>
          <w:sz w:val="22"/>
          <w:szCs w:val="22"/>
          <w:color w:val="auto"/>
        </w:rPr>
        <w:t>” means the U.S. Internal Revenue Code of 1986, as amended, and any successor US Tax Code, and related rules, regulations and interpretations.</w:t>
      </w:r>
    </w:p>
    <w:p>
      <w:pPr>
        <w:spacing w:after="0" w:line="154" w:lineRule="exact"/>
        <w:rPr>
          <w:sz w:val="20"/>
          <w:szCs w:val="20"/>
          <w:color w:val="auto"/>
        </w:rPr>
      </w:pPr>
    </w:p>
    <w:p>
      <w:pPr>
        <w:ind w:left="1580" w:right="1059" w:hanging="1295"/>
        <w:spacing w:after="0" w:line="258" w:lineRule="auto"/>
        <w:tabs>
          <w:tab w:leader="none" w:pos="15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2"/>
          <w:szCs w:val="22"/>
          <w:u w:val="single" w:color="auto"/>
          <w:color w:val="auto"/>
        </w:rPr>
        <w:t>ADMINISTRATION OF PLAN; ADMINISTRATOR AUTHORITY TO SELECT GRANTEES AND DETERMINE AWARDS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w:t>
      </w:r>
    </w:p>
    <w:p>
      <w:pPr>
        <w:spacing w:after="0" w:line="206" w:lineRule="exact"/>
        <w:rPr>
          <w:sz w:val="20"/>
          <w:szCs w:val="20"/>
          <w:color w:val="auto"/>
        </w:rPr>
      </w:pPr>
    </w:p>
    <w:p>
      <w:pPr>
        <w:ind w:left="300" w:right="719" w:firstLine="648"/>
        <w:spacing w:after="0" w:line="25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158" w:lineRule="exact"/>
        <w:rPr>
          <w:sz w:val="20"/>
          <w:szCs w:val="20"/>
          <w:color w:val="auto"/>
        </w:rPr>
      </w:pPr>
    </w:p>
    <w:p>
      <w:pPr>
        <w:ind w:left="2060" w:hanging="472"/>
        <w:spacing w:after="0"/>
        <w:tabs>
          <w:tab w:leader="none" w:pos="20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the individuals to whom Awards may from time to time be granted;</w:t>
      </w:r>
    </w:p>
    <w:p>
      <w:pPr>
        <w:spacing w:after="0" w:line="217" w:lineRule="exact"/>
        <w:rPr>
          <w:rFonts w:ascii="Times New Roman" w:cs="Times New Roman" w:eastAsia="Times New Roman" w:hAnsi="Times New Roman"/>
          <w:sz w:val="21"/>
          <w:szCs w:val="21"/>
          <w:color w:val="auto"/>
        </w:rPr>
      </w:pPr>
    </w:p>
    <w:p>
      <w:pPr>
        <w:ind w:left="300" w:right="459" w:firstLine="1288"/>
        <w:spacing w:after="0" w:line="255" w:lineRule="auto"/>
        <w:tabs>
          <w:tab w:leader="none" w:pos="206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61" w:lineRule="exact"/>
        <w:rPr>
          <w:rFonts w:ascii="Times New Roman" w:cs="Times New Roman" w:eastAsia="Times New Roman" w:hAnsi="Times New Roman"/>
          <w:sz w:val="21"/>
          <w:szCs w:val="21"/>
          <w:color w:val="auto"/>
        </w:rPr>
      </w:pPr>
    </w:p>
    <w:p>
      <w:pPr>
        <w:ind w:left="2060" w:hanging="472"/>
        <w:spacing w:after="0"/>
        <w:tabs>
          <w:tab w:leader="none" w:pos="20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Common Shares to be covered by any Award;</w:t>
      </w:r>
    </w:p>
    <w:p>
      <w:pPr>
        <w:spacing w:after="0" w:line="206" w:lineRule="exact"/>
        <w:rPr>
          <w:rFonts w:ascii="Times New Roman" w:cs="Times New Roman" w:eastAsia="Times New Roman" w:hAnsi="Times New Roman"/>
          <w:sz w:val="22"/>
          <w:szCs w:val="22"/>
          <w:color w:val="auto"/>
        </w:rPr>
      </w:pPr>
    </w:p>
    <w:p>
      <w:pPr>
        <w:ind w:left="300" w:right="319" w:firstLine="1288"/>
        <w:spacing w:after="0" w:line="239" w:lineRule="auto"/>
        <w:tabs>
          <w:tab w:leader="none" w:pos="206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0"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accelerate at any time the exercisability or vesting of all or any portion of</w:t>
      </w:r>
    </w:p>
    <w:p>
      <w:pPr>
        <w:spacing w:after="0" w:line="25" w:lineRule="exact"/>
        <w:rPr>
          <w:rFonts w:ascii="Times New Roman" w:cs="Times New Roman" w:eastAsia="Times New Roman" w:hAnsi="Times New Roman"/>
          <w:sz w:val="21"/>
          <w:szCs w:val="21"/>
          <w:color w:val="auto"/>
        </w:rPr>
      </w:pPr>
    </w:p>
    <w:p>
      <w:pPr>
        <w:ind w:left="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Award;</w:t>
      </w:r>
    </w:p>
    <w:p>
      <w:pPr>
        <w:spacing w:after="0" w:line="182" w:lineRule="exact"/>
        <w:rPr>
          <w:rFonts w:ascii="Times New Roman" w:cs="Times New Roman" w:eastAsia="Times New Roman" w:hAnsi="Times New Roman"/>
          <w:sz w:val="21"/>
          <w:szCs w:val="21"/>
          <w:color w:val="auto"/>
        </w:rPr>
      </w:pPr>
    </w:p>
    <w:p>
      <w:pPr>
        <w:ind w:left="300" w:right="459" w:firstLine="1288"/>
        <w:spacing w:after="0" w:line="258" w:lineRule="auto"/>
        <w:tabs>
          <w:tab w:leader="none" w:pos="206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to extend at any time the period in which Stock Options may be exercised;</w:t>
      </w:r>
    </w:p>
    <w:p>
      <w:pPr>
        <w:spacing w:after="0" w:line="158" w:lineRule="exact"/>
        <w:rPr>
          <w:rFonts w:ascii="Times New Roman" w:cs="Times New Roman" w:eastAsia="Times New Roman" w:hAnsi="Times New Roman"/>
          <w:sz w:val="22"/>
          <w:szCs w:val="22"/>
          <w:color w:val="auto"/>
        </w:rPr>
      </w:pPr>
    </w:p>
    <w:p>
      <w:pPr>
        <w:ind w:left="300" w:right="819" w:firstLine="1288"/>
        <w:spacing w:after="0" w:line="255" w:lineRule="auto"/>
        <w:tabs>
          <w:tab w:leader="none" w:pos="206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cancel any Award (other than Stock Options and Stock Appreciation Rights where the Fair Market Value is less than the grant price on the date of cancellation) provided that a fair compensation is given to the holder whereby the fairness of the compensation shall be determined by the Administrator in its reasonable judgment; and</w:t>
      </w:r>
    </w:p>
    <w:p>
      <w:pPr>
        <w:spacing w:after="0" w:line="161" w:lineRule="exact"/>
        <w:rPr>
          <w:rFonts w:ascii="Times New Roman" w:cs="Times New Roman" w:eastAsia="Times New Roman" w:hAnsi="Times New Roman"/>
          <w:sz w:val="21"/>
          <w:szCs w:val="21"/>
          <w:color w:val="auto"/>
        </w:rPr>
      </w:pPr>
    </w:p>
    <w:p>
      <w:pPr>
        <w:ind w:left="300" w:right="379" w:firstLine="1288"/>
        <w:spacing w:after="0" w:line="238" w:lineRule="auto"/>
        <w:tabs>
          <w:tab w:leader="none" w:pos="206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1008380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22"/>
          <w:szCs w:val="22"/>
          <w:color w:val="auto"/>
        </w:rPr>
        <w:t>administration of the Plan.</w:t>
      </w:r>
    </w:p>
    <w:p>
      <w:pPr>
        <w:spacing w:after="0" w:line="206" w:lineRule="exact"/>
        <w:rPr>
          <w:sz w:val="20"/>
          <w:szCs w:val="20"/>
          <w:color w:val="auto"/>
        </w:rPr>
      </w:pPr>
    </w:p>
    <w:p>
      <w:pPr>
        <w:ind w:left="300" w:right="719" w:firstLine="648"/>
        <w:spacing w:after="0" w:line="258"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left="300" w:right="439" w:firstLine="648"/>
        <w:spacing w:after="0" w:line="245"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Delegation of Authority to Grant Awards</w:t>
      </w:r>
      <w:r>
        <w:rPr>
          <w:rFonts w:ascii="Times New Roman" w:cs="Times New Roman" w:eastAsia="Times New Roman" w:hAnsi="Times New Roman"/>
          <w:sz w:val="21"/>
          <w:szCs w:val="21"/>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US Exchange Act and (ii) not Covered Employees. Any such delegation by the Administrator shall include a limitation as to the number of Common Shares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7" w:lineRule="exact"/>
        <w:rPr>
          <w:sz w:val="20"/>
          <w:szCs w:val="20"/>
          <w:color w:val="auto"/>
        </w:rPr>
      </w:pPr>
    </w:p>
    <w:p>
      <w:pPr>
        <w:ind w:left="300" w:right="559" w:firstLine="648"/>
        <w:spacing w:after="0" w:line="239"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0" w:lineRule="exact"/>
        <w:rPr>
          <w:sz w:val="20"/>
          <w:szCs w:val="20"/>
          <w:color w:val="auto"/>
        </w:rPr>
      </w:pPr>
    </w:p>
    <w:p>
      <w:pPr>
        <w:ind w:left="300" w:right="339" w:firstLine="648"/>
        <w:spacing w:after="0" w:line="23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3" w:lineRule="exact"/>
        <w:rPr>
          <w:sz w:val="20"/>
          <w:szCs w:val="20"/>
          <w:color w:val="auto"/>
        </w:rPr>
      </w:pPr>
    </w:p>
    <w:p>
      <w:pPr>
        <w:ind w:left="300" w:right="319" w:firstLine="640"/>
        <w:spacing w:after="0" w:line="244" w:lineRule="auto"/>
        <w:tabs>
          <w:tab w:leader="none" w:pos="118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Laws or Practices</w:t>
      </w:r>
      <w:r>
        <w:rPr>
          <w:rFonts w:ascii="Times New Roman" w:cs="Times New Roman" w:eastAsia="Times New Roman" w:hAnsi="Times New Roman"/>
          <w:sz w:val="21"/>
          <w:szCs w:val="21"/>
          <w:color w:val="auto"/>
        </w:rPr>
        <w:t xml:space="preserve">. Notwithstanding any provision of the Plan to the contrary, in order to comply with the laws or practices in countries in which the Company and any Affiliate thereof operate or have employees or other individuals eligible for Awards, the Administrator, in its sole discretion, shall have the power and authority to: (i) determine which Affiliates shall be covered by the Plan; (ii) determine which individuals are eligible to participate in the Plan; (iii) modify the terms and conditions of any Award granted to individuals;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art. 732 seqq. of the Swiss Code of Obligations regarding compensation in listed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1009650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 w:name="page49"/>
    <w:bookmarkEnd w:id="48"/>
    <w:p>
      <w:pPr>
        <w:ind w:left="300" w:right="439"/>
        <w:spacing w:after="0" w:line="258" w:lineRule="auto"/>
        <w:rPr>
          <w:sz w:val="20"/>
          <w:szCs w:val="20"/>
          <w:color w:val="auto"/>
        </w:rPr>
      </w:pPr>
      <w:r>
        <w:rPr>
          <w:rFonts w:ascii="Times New Roman" w:cs="Times New Roman" w:eastAsia="Times New Roman" w:hAnsi="Times New Roman"/>
          <w:sz w:val="22"/>
          <w:szCs w:val="22"/>
          <w:color w:val="auto"/>
        </w:rPr>
        <w:t>corporations , the US Exchange Act or any other applicable United States securities law, the US Tax Code, or any other applicable United States governing statute or law.</w:t>
      </w:r>
    </w:p>
    <w:p>
      <w:pPr>
        <w:spacing w:after="0" w:line="158"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STOCK ISSUABLE UNDER THE PLAN; MERGERS; SUBSTITUTION</w:t>
      </w:r>
    </w:p>
    <w:p>
      <w:pPr>
        <w:spacing w:after="0" w:line="206" w:lineRule="exact"/>
        <w:rPr>
          <w:sz w:val="20"/>
          <w:szCs w:val="20"/>
          <w:color w:val="auto"/>
        </w:rPr>
      </w:pPr>
    </w:p>
    <w:p>
      <w:pPr>
        <w:ind w:left="300" w:right="319" w:firstLine="648"/>
        <w:spacing w:after="0" w:line="232"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Stock Issuable</w:t>
      </w:r>
      <w:r>
        <w:rPr>
          <w:rFonts w:ascii="Times New Roman" w:cs="Times New Roman" w:eastAsia="Times New Roman" w:hAnsi="Times New Roman"/>
          <w:sz w:val="22"/>
          <w:szCs w:val="22"/>
          <w:color w:val="auto"/>
        </w:rPr>
        <w:t>. The maximum number of Common Shares reserved and available for issuance under the Plan shall be the number of Common Shares remaining available for issuance under the Company’s 2018 Stock Option and Incentive Plan (the “</w:t>
      </w:r>
      <w:r>
        <w:rPr>
          <w:rFonts w:ascii="Times New Roman" w:cs="Times New Roman" w:eastAsia="Times New Roman" w:hAnsi="Times New Roman"/>
          <w:sz w:val="22"/>
          <w:szCs w:val="22"/>
          <w:i w:val="1"/>
          <w:iCs w:val="1"/>
          <w:color w:val="auto"/>
        </w:rPr>
        <w:t>2018 Plan</w:t>
      </w:r>
      <w:r>
        <w:rPr>
          <w:rFonts w:ascii="Times New Roman" w:cs="Times New Roman" w:eastAsia="Times New Roman" w:hAnsi="Times New Roman"/>
          <w:sz w:val="22"/>
          <w:szCs w:val="22"/>
          <w:color w:val="auto"/>
        </w:rPr>
        <w:t xml:space="preserve">”) as of immediately prior to the Effective Date, subject to adjustment as provided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For purposes of this limitation, the Common Shares underlying any Awards under the Plan or any Common Shares underlying any awards under the Company’s Amended and Restated 2016 Stock Option and Incentive Plan or the 2018 Plan that are forfeited, canceled, or otherwise terminated (other than by exercise) shall be added back to the Common Shares available for issuance under the Plan and, to the extent permitted under Section 422 of the US Tax Code and the regulations promulgated thereunder, the Common Shares that may be issued as Incentive Stock Options. Notwithstanding the foregoing, the following shares shall not be added back to the shares available for issuance under the Plan: (i) shares tendered or held back upon exercise of an Option or settlement of an Award to cover the exercise price of tax withholding and (ii) shares subject to a Stock Appreciation Right that are not issued in connection with the stock settlement of the Stock Appreciation Right upon exercise thereof. In the event the Company repurchases Common Shares on the open market, such shares shall not be added to the Common Shares available for issuance under the Plan. Subject to such overall limitations, Common Shares may be issued up to such maximum number pursuant to any type or types of Award; provided, however, that no more than 17,720,565 Common Shares may be issued in the form of Incentive Stock Options. The shares available for issuance under the Plan may be unissued Common Shares from the Company’s conditional share capital (</w:t>
      </w:r>
      <w:r>
        <w:rPr>
          <w:rFonts w:ascii="Times New Roman" w:cs="Times New Roman" w:eastAsia="Times New Roman" w:hAnsi="Times New Roman"/>
          <w:sz w:val="22"/>
          <w:szCs w:val="22"/>
          <w:i w:val="1"/>
          <w:iCs w:val="1"/>
          <w:color w:val="auto"/>
        </w:rPr>
        <w:t>bedingtes Kapital</w:t>
      </w:r>
      <w:r>
        <w:rPr>
          <w:rFonts w:ascii="Times New Roman" w:cs="Times New Roman" w:eastAsia="Times New Roman" w:hAnsi="Times New Roman"/>
          <w:sz w:val="22"/>
          <w:szCs w:val="22"/>
          <w:color w:val="auto"/>
        </w:rPr>
        <w:t>) or Common Shares reacquired by the Company.</w:t>
      </w:r>
    </w:p>
    <w:p>
      <w:pPr>
        <w:spacing w:after="0" w:line="182" w:lineRule="exact"/>
        <w:rPr>
          <w:sz w:val="20"/>
          <w:szCs w:val="20"/>
          <w:color w:val="auto"/>
        </w:rPr>
      </w:pPr>
    </w:p>
    <w:p>
      <w:pPr>
        <w:jc w:val="both"/>
        <w:ind w:left="300" w:right="559"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Compliance with Swiss Law</w:t>
      </w:r>
      <w:r>
        <w:rPr>
          <w:rFonts w:ascii="Times New Roman" w:cs="Times New Roman" w:eastAsia="Times New Roman" w:hAnsi="Times New Roman"/>
          <w:sz w:val="22"/>
          <w:szCs w:val="22"/>
          <w:color w:val="auto"/>
        </w:rPr>
        <w:t>. Any grant to a Covered Employee must be within the limits approved by the Shareholders’ Meeting and thus be in compliance with art. 732 seqq. of the Swiss Code of Obligations regarding compensation in listed stock corporations.</w:t>
      </w:r>
    </w:p>
    <w:p>
      <w:pPr>
        <w:spacing w:after="0" w:line="173" w:lineRule="exact"/>
        <w:rPr>
          <w:sz w:val="20"/>
          <w:szCs w:val="20"/>
          <w:color w:val="auto"/>
        </w:rPr>
      </w:pPr>
    </w:p>
    <w:p>
      <w:pPr>
        <w:ind w:left="300" w:right="339" w:firstLine="648"/>
        <w:spacing w:after="0" w:line="244"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Changes in Common Shares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3(d)</w:t>
      </w:r>
      <w:r>
        <w:rPr>
          <w:rFonts w:ascii="Times New Roman" w:cs="Times New Roman" w:eastAsia="Times New Roman" w:hAnsi="Times New Roman"/>
          <w:sz w:val="21"/>
          <w:szCs w:val="21"/>
          <w:color w:val="auto"/>
        </w:rPr>
        <w:t xml:space="preserve"> hereof, if, as a result of any reorganization, recapitalization, reclassification, stock dividend, stock split, reverse stock split or other similar change in the Company’s capital stock, the outstanding Common Shares are increased or decreased or are exchanged for a different number or kind of shares or other securities of the Company, or additional shares or new or different shares or other securities of the Company or other non-cash assets are distributed with respect to such Common Shares or other securities, or, if, as a result of any merger or consolidation, sale of all or substantially all of the assets of the Company, the outstanding Common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1009650</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9" w:name="page50"/>
    <w:bookmarkEnd w:id="49"/>
    <w:p>
      <w:pPr>
        <w:ind w:left="300" w:right="399"/>
        <w:spacing w:after="0" w:line="246" w:lineRule="auto"/>
        <w:rPr>
          <w:sz w:val="20"/>
          <w:szCs w:val="20"/>
          <w:color w:val="auto"/>
        </w:rPr>
      </w:pPr>
      <w:r>
        <w:rPr>
          <w:rFonts w:ascii="Times New Roman" w:cs="Times New Roman" w:eastAsia="Times New Roman" w:hAnsi="Times New Roman"/>
          <w:sz w:val="21"/>
          <w:szCs w:val="21"/>
          <w:color w:val="auto"/>
        </w:rPr>
        <w:t>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Common Shares shall be issued under the Plan resulting from any such adjustment, but the Administrator in its discretion may make a cash payment in lieu of fractional shares.</w:t>
      </w:r>
    </w:p>
    <w:p>
      <w:pPr>
        <w:spacing w:after="0" w:line="175" w:lineRule="exact"/>
        <w:rPr>
          <w:sz w:val="20"/>
          <w:szCs w:val="20"/>
          <w:color w:val="auto"/>
        </w:rPr>
      </w:pPr>
    </w:p>
    <w:p>
      <w:pPr>
        <w:ind w:left="300" w:right="299" w:firstLine="648"/>
        <w:spacing w:after="0" w:line="242"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Mergers and Other Transactions</w:t>
      </w:r>
      <w:r>
        <w:rPr>
          <w:rFonts w:ascii="Times New Roman" w:cs="Times New Roman" w:eastAsia="Times New Roman" w:hAnsi="Times New Roman"/>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Common Shares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Common Shares under such Awards.</w:t>
      </w:r>
    </w:p>
    <w:p>
      <w:pPr>
        <w:spacing w:after="0" w:line="20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ELIGIBILITY</w:t>
      </w:r>
    </w:p>
    <w:p>
      <w:pPr>
        <w:spacing w:after="0" w:line="206" w:lineRule="exact"/>
        <w:rPr>
          <w:sz w:val="20"/>
          <w:szCs w:val="20"/>
          <w:color w:val="auto"/>
        </w:rPr>
      </w:pPr>
    </w:p>
    <w:p>
      <w:pPr>
        <w:ind w:left="300" w:right="379" w:firstLine="648"/>
        <w:spacing w:after="0" w:line="244" w:lineRule="auto"/>
        <w:rPr>
          <w:sz w:val="20"/>
          <w:szCs w:val="20"/>
          <w:color w:val="auto"/>
        </w:rPr>
      </w:pPr>
      <w:r>
        <w:rPr>
          <w:rFonts w:ascii="Times New Roman" w:cs="Times New Roman" w:eastAsia="Times New Roman" w:hAnsi="Times New Roman"/>
          <w:sz w:val="22"/>
          <w:szCs w:val="22"/>
          <w:color w:val="auto"/>
        </w:rPr>
        <w:t>Grantees under the Plan will be such full or part-time officers and other employees, Non-Employee Directors or Consultants of the Company and any Affiliate thereof as are selected from time to time by the Administrator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1006475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0" w:name="page51"/>
    <w:bookmarkEnd w:id="50"/>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STOCK OPTIONS</w:t>
      </w:r>
    </w:p>
    <w:p>
      <w:pPr>
        <w:spacing w:after="0" w:line="206" w:lineRule="exact"/>
        <w:rPr>
          <w:sz w:val="20"/>
          <w:szCs w:val="20"/>
          <w:color w:val="auto"/>
        </w:rPr>
      </w:pPr>
    </w:p>
    <w:p>
      <w:pPr>
        <w:jc w:val="both"/>
        <w:ind w:left="300" w:right="459"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Award of Stock Options</w:t>
      </w:r>
      <w:r>
        <w:rPr>
          <w:rFonts w:ascii="Times New Roman" w:cs="Times New Roman" w:eastAsia="Times New Roman" w:hAnsi="Times New Roman"/>
          <w:sz w:val="22"/>
          <w:szCs w:val="22"/>
          <w:color w:val="auto"/>
        </w:rPr>
        <w:t>. The Administrator may grant Stock Options under the Plan. Any Stock Option granted under the Plan shall be in such form as the Administrator may from time to time approve.</w:t>
      </w:r>
    </w:p>
    <w:p>
      <w:pPr>
        <w:spacing w:after="0" w:line="173" w:lineRule="exact"/>
        <w:rPr>
          <w:sz w:val="20"/>
          <w:szCs w:val="20"/>
          <w:color w:val="auto"/>
        </w:rPr>
      </w:pPr>
    </w:p>
    <w:p>
      <w:pPr>
        <w:ind w:left="300" w:right="739" w:firstLine="648"/>
        <w:spacing w:after="0" w:line="238" w:lineRule="auto"/>
        <w:rPr>
          <w:sz w:val="20"/>
          <w:szCs w:val="20"/>
          <w:color w:val="auto"/>
        </w:rPr>
      </w:pPr>
      <w:r>
        <w:rPr>
          <w:rFonts w:ascii="Times New Roman" w:cs="Times New Roman" w:eastAsia="Times New Roman" w:hAnsi="Times New Roman"/>
          <w:sz w:val="22"/>
          <w:szCs w:val="22"/>
          <w:color w:val="auto"/>
        </w:rPr>
        <w:t>Stock Options granted under the Plan may be either Incentive Stock Options or Non-Qualified Stock Options. Incentive Stock Options may be granted only to employees of the Company or any Affiliate thereof that is a “subsidiary corporation” within the meaning of Section 424(f) of the US Tax Code. To the extent that any Option does not qualify as an Incentive Stock Option, it shall be deemed a Non-Qualified Stock Option.</w:t>
      </w:r>
    </w:p>
    <w:p>
      <w:pPr>
        <w:spacing w:after="0" w:line="177" w:lineRule="exact"/>
        <w:rPr>
          <w:sz w:val="20"/>
          <w:szCs w:val="20"/>
          <w:color w:val="auto"/>
        </w:rPr>
      </w:pPr>
    </w:p>
    <w:p>
      <w:pPr>
        <w:jc w:val="both"/>
        <w:ind w:left="300" w:right="4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Stock Options granted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7" w:lineRule="exact"/>
        <w:rPr>
          <w:sz w:val="20"/>
          <w:szCs w:val="20"/>
          <w:color w:val="auto"/>
        </w:rPr>
      </w:pPr>
    </w:p>
    <w:p>
      <w:pPr>
        <w:ind w:left="300" w:right="319" w:firstLine="648"/>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exercise price per Common Share covered by a Stock Option granted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spacing w:after="0" w:line="181" w:lineRule="exact"/>
        <w:rPr>
          <w:sz w:val="20"/>
          <w:szCs w:val="20"/>
          <w:color w:val="auto"/>
        </w:rPr>
      </w:pPr>
    </w:p>
    <w:p>
      <w:pPr>
        <w:ind w:left="300" w:right="479"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80" w:lineRule="exact"/>
        <w:rPr>
          <w:sz w:val="20"/>
          <w:szCs w:val="20"/>
          <w:color w:val="auto"/>
        </w:rPr>
      </w:pPr>
    </w:p>
    <w:p>
      <w:pPr>
        <w:ind w:left="300" w:right="359" w:firstLine="648"/>
        <w:spacing w:after="0" w:line="251"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Exercisability; Rights of a Shareholder</w:t>
      </w:r>
      <w:r>
        <w:rPr>
          <w:rFonts w:ascii="Times New Roman" w:cs="Times New Roman" w:eastAsia="Times New Roman" w:hAnsi="Times New Roman"/>
          <w:sz w:val="21"/>
          <w:szCs w:val="21"/>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168" w:lineRule="exact"/>
        <w:rPr>
          <w:sz w:val="20"/>
          <w:szCs w:val="20"/>
          <w:color w:val="auto"/>
        </w:rPr>
      </w:pPr>
    </w:p>
    <w:p>
      <w:pPr>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80" w:lineRule="exact"/>
        <w:rPr>
          <w:sz w:val="20"/>
          <w:szCs w:val="20"/>
          <w:color w:val="auto"/>
        </w:rPr>
      </w:pPr>
    </w:p>
    <w:p>
      <w:pPr>
        <w:ind w:left="2060" w:hanging="472"/>
        <w:spacing w:after="0"/>
        <w:tabs>
          <w:tab w:leader="none" w:pos="20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by certified or bank check or other instrument acceptable to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ind w:left="300" w:right="679" w:firstLine="1288"/>
        <w:spacing w:after="0" w:line="239" w:lineRule="auto"/>
        <w:tabs>
          <w:tab w:leader="none" w:pos="206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delivery (or attestation to the ownership following such procedures as the Company may prescribe) of Common Shares that are not then subject to restrictions under any Company plan. Such surrendered shares shall be valued at Fair Market Value on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1010920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1" w:name="page52"/>
    <w:bookmarkEnd w:id="51"/>
    <w:p>
      <w:pPr>
        <w:ind w:left="300" w:right="319" w:firstLine="1288"/>
        <w:spacing w:after="0" w:line="236" w:lineRule="auto"/>
        <w:tabs>
          <w:tab w:leader="none" w:pos="206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1" w:lineRule="exact"/>
        <w:rPr>
          <w:rFonts w:ascii="Times New Roman" w:cs="Times New Roman" w:eastAsia="Times New Roman" w:hAnsi="Times New Roman"/>
          <w:sz w:val="22"/>
          <w:szCs w:val="22"/>
          <w:color w:val="auto"/>
        </w:rPr>
      </w:pPr>
    </w:p>
    <w:p>
      <w:pPr>
        <w:ind w:left="300" w:right="499" w:firstLine="1288"/>
        <w:spacing w:after="0" w:line="255" w:lineRule="auto"/>
        <w:tabs>
          <w:tab w:leader="none" w:pos="206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election of the Administrator, with respect to Stock Options that are not Incentive Stock Options, by a “net exercise” arrangement pursuant to which the Company will reduce the number of Common Shares issuable upon exercise by the largest whole number of shares with a Fair Market Value that does not exceed the aggregate exercise price.</w:t>
      </w:r>
    </w:p>
    <w:p>
      <w:pPr>
        <w:spacing w:after="0" w:line="162" w:lineRule="exact"/>
        <w:rPr>
          <w:sz w:val="20"/>
          <w:szCs w:val="20"/>
          <w:color w:val="auto"/>
        </w:rPr>
      </w:pPr>
    </w:p>
    <w:p>
      <w:pPr>
        <w:ind w:left="300" w:right="319"/>
        <w:spacing w:after="0" w:line="233" w:lineRule="auto"/>
        <w:rPr>
          <w:sz w:val="20"/>
          <w:szCs w:val="20"/>
          <w:color w:val="auto"/>
        </w:rPr>
      </w:pPr>
      <w:r>
        <w:rPr>
          <w:rFonts w:ascii="Times New Roman" w:cs="Times New Roman" w:eastAsia="Times New Roman" w:hAnsi="Times New Roman"/>
          <w:sz w:val="22"/>
          <w:szCs w:val="22"/>
          <w:color w:val="auto"/>
        </w:rPr>
        <w:t>Payment instruments will be received subject to collection. The transfer to the optionee in the share register or the register in book entry form of uncertified securities (</w:t>
      </w:r>
      <w:r>
        <w:rPr>
          <w:rFonts w:ascii="Times New Roman" w:cs="Times New Roman" w:eastAsia="Times New Roman" w:hAnsi="Times New Roman"/>
          <w:sz w:val="22"/>
          <w:szCs w:val="22"/>
          <w:i w:val="1"/>
          <w:iCs w:val="1"/>
          <w:color w:val="auto"/>
        </w:rPr>
        <w:t>Wertrechte</w:t>
      </w:r>
      <w:r>
        <w:rPr>
          <w:rFonts w:ascii="Times New Roman" w:cs="Times New Roman" w:eastAsia="Times New Roman" w:hAnsi="Times New Roman"/>
          <w:sz w:val="22"/>
          <w:szCs w:val="22"/>
          <w:color w:val="auto"/>
        </w:rPr>
        <w:t>) of the Company or of the transfer agent of the Common Shares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Common Shares through the attestation method, the number of Common Shares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77" w:lineRule="exact"/>
        <w:rPr>
          <w:sz w:val="20"/>
          <w:szCs w:val="20"/>
          <w:color w:val="auto"/>
        </w:rPr>
      </w:pPr>
    </w:p>
    <w:p>
      <w:pPr>
        <w:ind w:left="300" w:right="299" w:firstLine="640"/>
        <w:spacing w:after="0" w:line="235" w:lineRule="auto"/>
        <w:tabs>
          <w:tab w:leader="none" w:pos="118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US Tax Code, the aggregate Fair Market Value (determined as of the time of grant) of the Common Shares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3"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STOCK APPRECIATION RIGHTS</w:t>
      </w:r>
    </w:p>
    <w:p>
      <w:pPr>
        <w:spacing w:after="0" w:line="206" w:lineRule="exact"/>
        <w:rPr>
          <w:sz w:val="20"/>
          <w:szCs w:val="20"/>
          <w:color w:val="auto"/>
        </w:rPr>
      </w:pPr>
    </w:p>
    <w:p>
      <w:pPr>
        <w:ind w:left="300" w:right="319"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Award of Stock Appreciation Rights</w:t>
      </w:r>
      <w:r>
        <w:rPr>
          <w:rFonts w:ascii="Times New Roman" w:cs="Times New Roman" w:eastAsia="Times New Roman" w:hAnsi="Times New Roman"/>
          <w:sz w:val="22"/>
          <w:szCs w:val="22"/>
          <w:color w:val="auto"/>
        </w:rPr>
        <w:t>. The Administrator may grant Stock Appreciation Rights under the Plan. A Stock Appreciation Right is an Award entitling the recipient to receive Common Shares (or cash, to the extent explicitly provided for in the applicable Award Certificate) having a value equal to the excess of the Fair Market Value of a Common Share on the date of exercise over the exercise price of the Stock Appreciation Right multiplied by the number of Common Shares with respect to which the Stock Appreciation Right shall have been exercised.</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Exercise Price of Stock Appreciation Rights</w:t>
      </w:r>
      <w:r>
        <w:rPr>
          <w:rFonts w:ascii="Times New Roman" w:cs="Times New Roman" w:eastAsia="Times New Roman" w:hAnsi="Times New Roman"/>
          <w:sz w:val="22"/>
          <w:szCs w:val="22"/>
          <w:color w:val="auto"/>
        </w:rPr>
        <w:t>. The exercise price of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2" w:name="page53"/>
    <w:bookmarkEnd w:id="52"/>
    <w:p>
      <w:pPr>
        <w:ind w:left="300" w:right="539"/>
        <w:spacing w:after="0" w:line="258" w:lineRule="auto"/>
        <w:rPr>
          <w:sz w:val="20"/>
          <w:szCs w:val="20"/>
          <w:color w:val="auto"/>
        </w:rPr>
      </w:pPr>
      <w:r>
        <w:rPr>
          <w:rFonts w:ascii="Times New Roman" w:cs="Times New Roman" w:eastAsia="Times New Roman" w:hAnsi="Times New Roman"/>
          <w:sz w:val="22"/>
          <w:szCs w:val="22"/>
          <w:color w:val="auto"/>
        </w:rPr>
        <w:t>Appreciation Right shall not be less than 100 percent of the Fair Market Value of the Common Shares on the date of grant.</w:t>
      </w:r>
    </w:p>
    <w:p>
      <w:pPr>
        <w:spacing w:after="0" w:line="158"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Grant and Exercise of Stock Appreciation Rights</w:t>
      </w:r>
      <w:r>
        <w:rPr>
          <w:rFonts w:ascii="Times New Roman" w:cs="Times New Roman" w:eastAsia="Times New Roman" w:hAnsi="Times New Roman"/>
          <w:sz w:val="22"/>
          <w:szCs w:val="22"/>
          <w:color w:val="auto"/>
        </w:rPr>
        <w:t xml:space="preserve">. Stock Appreciation Rights may be granted by the Administrator independently of any Stock Option granted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the Plan.</w:t>
      </w:r>
    </w:p>
    <w:p>
      <w:pPr>
        <w:spacing w:after="0" w:line="173" w:lineRule="exact"/>
        <w:rPr>
          <w:sz w:val="20"/>
          <w:szCs w:val="20"/>
          <w:color w:val="auto"/>
        </w:rPr>
      </w:pPr>
    </w:p>
    <w:p>
      <w:pPr>
        <w:ind w:left="300" w:right="3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Terms and Conditions of Stock Appreciation Rights</w:t>
      </w:r>
      <w:r>
        <w:rPr>
          <w:rFonts w:ascii="Times New Roman" w:cs="Times New Roman" w:eastAsia="Times New Roman" w:hAnsi="Times New Roman"/>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7"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RESTRICTED STOCK AWARDS</w:t>
      </w:r>
    </w:p>
    <w:p>
      <w:pPr>
        <w:spacing w:after="0" w:line="206" w:lineRule="exact"/>
        <w:rPr>
          <w:sz w:val="20"/>
          <w:szCs w:val="20"/>
          <w:color w:val="auto"/>
        </w:rPr>
      </w:pPr>
    </w:p>
    <w:p>
      <w:pPr>
        <w:ind w:left="300" w:right="319" w:firstLine="648"/>
        <w:spacing w:after="0" w:line="251"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Nature of Restricted Stock Awards</w:t>
      </w:r>
      <w:r>
        <w:rPr>
          <w:rFonts w:ascii="Times New Roman" w:cs="Times New Roman" w:eastAsia="Times New Roman" w:hAnsi="Times New Roman"/>
          <w:sz w:val="21"/>
          <w:szCs w:val="21"/>
          <w:color w:val="auto"/>
        </w:rPr>
        <w:t>. The Administrator may grant Restricted Stock Awards under the Plan. A Restricted Stock Award is any Award of Restricted Shares subject to such restrictions and conditions as the Administrator may determine at the time of grant. Conditions may be based on maintaining a continuous Service Relationship with the Company or any Affiliate thereof and/or achievement of pre-established performance goals and objectives.</w:t>
      </w:r>
    </w:p>
    <w:p>
      <w:pPr>
        <w:spacing w:after="0" w:line="168" w:lineRule="exact"/>
        <w:rPr>
          <w:sz w:val="20"/>
          <w:szCs w:val="20"/>
          <w:color w:val="auto"/>
        </w:rPr>
      </w:pPr>
    </w:p>
    <w:p>
      <w:pPr>
        <w:ind w:left="300" w:right="319" w:firstLine="64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Upon the grant of the Restricted Stock Award and payment of any applicable purchase price, a grantee shall have the rights of a shareholder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in the share register or the register in book entry form of uncertified securities (</w:t>
      </w:r>
      <w:r>
        <w:rPr>
          <w:rFonts w:ascii="Times New Roman" w:cs="Times New Roman" w:eastAsia="Times New Roman" w:hAnsi="Times New Roman"/>
          <w:sz w:val="22"/>
          <w:szCs w:val="22"/>
          <w:i w:val="1"/>
          <w:iCs w:val="1"/>
          <w:color w:val="auto"/>
        </w:rPr>
        <w:t>Wertrechte</w:t>
      </w:r>
      <w:r>
        <w:rPr>
          <w:rFonts w:ascii="Times New Roman" w:cs="Times New Roman" w:eastAsia="Times New Roman" w:hAnsi="Times New Roman"/>
          <w:sz w:val="22"/>
          <w:szCs w:val="22"/>
          <w:color w:val="auto"/>
        </w:rPr>
        <w:t xml:space="preserve">) or the transfer agent to the effect that they are subject to forfeiture until such Restricted Shares are vested as provided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below, and (ii) certificated Restricted Shares shall remain in the possession of the Company until such Restricted Shares are vested as provided in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below, and the grantee shall be required, as a condition of the grant, to deliver to the Company such instruments of transfer as the Administrator may prescribe.</w:t>
      </w:r>
    </w:p>
    <w:p>
      <w:pPr>
        <w:spacing w:after="0" w:line="180" w:lineRule="exact"/>
        <w:rPr>
          <w:sz w:val="20"/>
          <w:szCs w:val="20"/>
          <w:color w:val="auto"/>
        </w:rPr>
      </w:pPr>
    </w:p>
    <w:p>
      <w:pPr>
        <w:ind w:left="300" w:right="339" w:firstLine="648"/>
        <w:spacing w:after="0" w:line="246"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xml:space="preserve">.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below, in writing after the Award is issued, if a grantee’s Service Relationship with the Company or any Affiliate thereof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grantee’s Service Relationship, and thereafter shall cease to represent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1004570</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3" w:name="page54"/>
    <w:bookmarkEnd w:id="53"/>
    <w:p>
      <w:pPr>
        <w:jc w:val="both"/>
        <w:ind w:left="300" w:right="639"/>
        <w:spacing w:after="0" w:line="261" w:lineRule="auto"/>
        <w:rPr>
          <w:sz w:val="20"/>
          <w:szCs w:val="20"/>
          <w:color w:val="auto"/>
        </w:rPr>
      </w:pPr>
      <w:r>
        <w:rPr>
          <w:rFonts w:ascii="Times New Roman" w:cs="Times New Roman" w:eastAsia="Times New Roman" w:hAnsi="Times New Roman"/>
          <w:sz w:val="21"/>
          <w:szCs w:val="21"/>
          <w:color w:val="auto"/>
        </w:rPr>
        <w:t>ownership of the Company by the grantee or rights of the grantee as a shareholder. Following such deemed reacquisition of Restricted Shares that are represented by physical certificates, a grantee shall surrender such certificates to the Company upon request without consideration.</w:t>
      </w:r>
    </w:p>
    <w:p>
      <w:pPr>
        <w:spacing w:after="0" w:line="157" w:lineRule="exact"/>
        <w:rPr>
          <w:sz w:val="20"/>
          <w:szCs w:val="20"/>
          <w:color w:val="auto"/>
        </w:rPr>
      </w:pPr>
    </w:p>
    <w:p>
      <w:pPr>
        <w:ind w:left="300" w:right="419" w:firstLine="648"/>
        <w:spacing w:after="0" w:line="249"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Vesting of Restricted Shares</w:t>
      </w:r>
      <w:r>
        <w:rPr>
          <w:rFonts w:ascii="Times New Roman" w:cs="Times New Roman" w:eastAsia="Times New Roman" w:hAnsi="Times New Roman"/>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1"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RESTRICTED STOCK UNITS</w:t>
      </w:r>
    </w:p>
    <w:p>
      <w:pPr>
        <w:spacing w:after="0" w:line="206"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Nature of Restricted Stock Units</w:t>
      </w:r>
      <w:r>
        <w:rPr>
          <w:rFonts w:ascii="Times New Roman" w:cs="Times New Roman" w:eastAsia="Times New Roman" w:hAnsi="Times New Roman"/>
          <w:sz w:val="21"/>
          <w:szCs w:val="21"/>
          <w:color w:val="auto"/>
        </w:rPr>
        <w:t>. The Administrator may grant Restricted Stock Units under the Plan. A Restricted Stock Unit is an Award of stock units that may be settled in Common Shares (or cash, to the extent explicitly provided for in the applicable Award Certificate) upon the satisfaction of such restrictions and conditions at the time of grant. Conditions may be based on maintaining a continuous Service Relationship with the Company or any Affiliate thereof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Common Shares.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3"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Election to Receive Restricted Stock Units in Lieu of Compensation</w:t>
      </w:r>
      <w:r>
        <w:rPr>
          <w:rFonts w:ascii="Times New Roman" w:cs="Times New Roman" w:eastAsia="Times New Roman" w:hAnsi="Times New Roman"/>
          <w:sz w:val="22"/>
          <w:szCs w:val="22"/>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Common Shares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80" w:lineRule="exact"/>
        <w:rPr>
          <w:sz w:val="20"/>
          <w:szCs w:val="20"/>
          <w:color w:val="auto"/>
        </w:rPr>
      </w:pPr>
    </w:p>
    <w:p>
      <w:pPr>
        <w:jc w:val="both"/>
        <w:ind w:left="300" w:right="519" w:firstLine="648"/>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xml:space="preserve">. A grantee shall have the rights as a shareholder only as to Common Shares acquired by the grantee upon settlement of Restricted Stock Units; provided, however, that the grantee may be credited with Dividend Equivalent Rights with respect to the stock units underlying his or her Restricted Stock Units, subject to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such terms and conditions as the Administrator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1008380</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4" w:name="page55"/>
    <w:bookmarkEnd w:id="54"/>
    <w:p>
      <w:pPr>
        <w:ind w:left="300" w:right="479" w:firstLine="648"/>
        <w:spacing w:after="0" w:line="238"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Except as may otherwise be provided by the Administrator either in the Award Certificate or, subject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below, in writing after the Award is issued, a grantee’s right in all Restricted Stock Units that have not vested shall automatically terminate upon the termination of grantee’s Service Relationship with the Company or any Affiliate thereof for any reason.</w:t>
      </w:r>
    </w:p>
    <w:p>
      <w:pPr>
        <w:spacing w:after="0" w:line="177"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UNRESTRICTED STOCK AWARDS</w:t>
      </w:r>
    </w:p>
    <w:p>
      <w:pPr>
        <w:spacing w:after="0" w:line="206" w:lineRule="exact"/>
        <w:rPr>
          <w:sz w:val="20"/>
          <w:szCs w:val="20"/>
          <w:color w:val="auto"/>
        </w:rPr>
      </w:pPr>
    </w:p>
    <w:p>
      <w:pPr>
        <w:ind w:left="300" w:right="439"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Grant or Sale of Unrestricted Stock</w:t>
      </w:r>
      <w:r>
        <w:rPr>
          <w:rFonts w:ascii="Times New Roman" w:cs="Times New Roman" w:eastAsia="Times New Roman" w:hAnsi="Times New Roman"/>
          <w:sz w:val="22"/>
          <w:szCs w:val="22"/>
          <w:color w:val="auto"/>
        </w:rPr>
        <w:t>. The Administrator may grant (or sell at nominal value or such higher purchase price determined by the Administrator) an Unrestricted Stock Award under the Plan. An Unrestricted Stock Award is an Award pursuant to which the grantee may receive Common Shares free of any restrictions under the Plan. Unrestricted Stock Awards may be granted in respect of past services or other valid consideration, or in lieu of cash compensation due to such grantee.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CASH-BASED AWARDS</w:t>
      </w:r>
    </w:p>
    <w:p>
      <w:pPr>
        <w:spacing w:after="0" w:line="206" w:lineRule="exact"/>
        <w:rPr>
          <w:sz w:val="20"/>
          <w:szCs w:val="20"/>
          <w:color w:val="auto"/>
        </w:rPr>
      </w:pPr>
    </w:p>
    <w:p>
      <w:pPr>
        <w:ind w:left="300" w:right="339"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DIVIDEND EQUIVALENT RIGHTS</w:t>
      </w:r>
    </w:p>
    <w:p>
      <w:pPr>
        <w:spacing w:after="0" w:line="206"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xml:space="preserve">. The Administrator may grant Dividend Equivalent Rights under the Plan. Subject to </w:t>
      </w:r>
      <w:r>
        <w:rPr>
          <w:rFonts w:ascii="Times New Roman" w:cs="Times New Roman" w:eastAsia="Times New Roman" w:hAnsi="Times New Roman"/>
          <w:sz w:val="21"/>
          <w:szCs w:val="21"/>
          <w:u w:val="single" w:color="auto"/>
          <w:color w:val="auto"/>
        </w:rPr>
        <w:t>Section 18(c)</w:t>
      </w:r>
      <w:r>
        <w:rPr>
          <w:rFonts w:ascii="Times New Roman" w:cs="Times New Roman" w:eastAsia="Times New Roman" w:hAnsi="Times New Roman"/>
          <w:sz w:val="21"/>
          <w:szCs w:val="21"/>
          <w:color w:val="auto"/>
        </w:rPr>
        <w:t>, a Dividend Equivalent Right is an Award entitling the grantee to receive credits based on cash dividends that would have been paid on the Common Shares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Common Shares,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Common Shares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1006475</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5" w:name="page56"/>
    <w:bookmarkEnd w:id="55"/>
    <w:p>
      <w:pPr>
        <w:ind w:left="300" w:right="439" w:firstLine="648"/>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Except as may otherwise be provided by the Administrator either in the Award Certificate or, subject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below, in writing after the Award is issued, a grantee’s rights in all Dividend Equivalent Rights shall automatically terminate upon the termination of grantee’s Service Relationship with the Company or any Affiliate thereof for any reason.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TRANSFERABILITY OF AWARDS</w:t>
      </w:r>
    </w:p>
    <w:p>
      <w:pPr>
        <w:spacing w:after="0" w:line="206" w:lineRule="exact"/>
        <w:rPr>
          <w:sz w:val="20"/>
          <w:szCs w:val="20"/>
          <w:color w:val="auto"/>
        </w:rPr>
      </w:pPr>
    </w:p>
    <w:p>
      <w:pPr>
        <w:ind w:left="300" w:right="319" w:firstLine="648"/>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 xml:space="preserve">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sz w:val="20"/>
          <w:szCs w:val="20"/>
          <w:color w:val="auto"/>
        </w:rPr>
      </w:pPr>
    </w:p>
    <w:p>
      <w:pPr>
        <w:ind w:left="300" w:right="339" w:firstLine="64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8" w:lineRule="exact"/>
        <w:rPr>
          <w:sz w:val="20"/>
          <w:szCs w:val="20"/>
          <w:color w:val="auto"/>
        </w:rPr>
      </w:pPr>
    </w:p>
    <w:p>
      <w:pPr>
        <w:ind w:left="300" w:right="459" w:firstLine="648"/>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xml:space="preserve">. For purposes of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8" w:lineRule="exact"/>
        <w:rPr>
          <w:sz w:val="20"/>
          <w:szCs w:val="20"/>
          <w:color w:val="auto"/>
        </w:rPr>
      </w:pPr>
    </w:p>
    <w:p>
      <w:pPr>
        <w:ind w:left="300" w:right="459" w:firstLine="648"/>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TAX AND SOCIAL SECURITY WITHHOLDING</w:t>
      </w:r>
    </w:p>
    <w:p>
      <w:pPr>
        <w:spacing w:after="0" w:line="206" w:lineRule="exact"/>
        <w:rPr>
          <w:sz w:val="20"/>
          <w:szCs w:val="20"/>
          <w:color w:val="auto"/>
        </w:rPr>
      </w:pPr>
    </w:p>
    <w:p>
      <w:pPr>
        <w:ind w:left="300" w:right="3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Common Shares or other amounts received thereunder first becomes includable in the gross income of the grantee for income tax and, if applicable, social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1006475</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6" w:name="page57"/>
    <w:bookmarkEnd w:id="56"/>
    <w:p>
      <w:pPr>
        <w:ind w:left="300" w:right="339"/>
        <w:spacing w:after="0" w:line="235" w:lineRule="auto"/>
        <w:rPr>
          <w:sz w:val="20"/>
          <w:szCs w:val="20"/>
          <w:color w:val="auto"/>
        </w:rPr>
      </w:pPr>
      <w:r>
        <w:rPr>
          <w:rFonts w:ascii="Times New Roman" w:cs="Times New Roman" w:eastAsia="Times New Roman" w:hAnsi="Times New Roman"/>
          <w:sz w:val="22"/>
          <w:szCs w:val="22"/>
          <w:color w:val="auto"/>
        </w:rPr>
        <w:t>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3" w:lineRule="exact"/>
        <w:rPr>
          <w:sz w:val="20"/>
          <w:szCs w:val="20"/>
          <w:color w:val="auto"/>
        </w:rPr>
      </w:pPr>
    </w:p>
    <w:p>
      <w:pPr>
        <w:ind w:left="300" w:right="379" w:firstLine="648"/>
        <w:spacing w:after="0" w:line="244"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Payment in Common Shares</w:t>
      </w:r>
      <w:r>
        <w:rPr>
          <w:rFonts w:ascii="Times New Roman" w:cs="Times New Roman" w:eastAsia="Times New Roman" w:hAnsi="Times New Roman"/>
          <w:sz w:val="21"/>
          <w:szCs w:val="21"/>
          <w:color w:val="auto"/>
        </w:rPr>
        <w:t>. Subject to approval by the Administrator, a grantee may elect to have the Company’s required tax and, if applicable, social security withholding obligation satisfied, in whole or in part, by authorizing the Company to withhold from Common Shares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adverse accounting treatment. The Administrator may also require Awards to be subject to mandatory share withholding up to the required withholding amount. For purposes of share withholding, the Fair Market Value of withheld shares shall be determined in the same manner as the value of Common Shares includible in income of the Participants. The Administrator may also require the Company’s tax withholding obligation to be satisfied, in whole or in part, by an arrangement whereby a certain number of Common Shares are immediately sold and proceeds from such sale are remitted to the Company in an amount that would satisfy the withholding amount due.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SECTION 409A AWARDS</w:t>
      </w:r>
    </w:p>
    <w:p>
      <w:pPr>
        <w:spacing w:after="0" w:line="206"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1"/>
          <w:szCs w:val="21"/>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83" w:lineRule="exact"/>
        <w:rPr>
          <w:sz w:val="20"/>
          <w:szCs w:val="20"/>
          <w:color w:val="auto"/>
        </w:rPr>
      </w:pPr>
    </w:p>
    <w:p>
      <w:pPr>
        <w:ind w:left="1660" w:right="619" w:hanging="1372"/>
        <w:spacing w:after="0" w:line="258"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TERMINATION OF SERVICE RELATIONSHIP, TRANSFER, LEAVE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ABSENCE, ETC.</w:t>
      </w:r>
    </w:p>
    <w:p>
      <w:pPr>
        <w:spacing w:after="0" w:line="158" w:lineRule="exact"/>
        <w:rPr>
          <w:sz w:val="20"/>
          <w:szCs w:val="20"/>
          <w:color w:val="auto"/>
        </w:rPr>
      </w:pPr>
    </w:p>
    <w:p>
      <w:pPr>
        <w:ind w:left="300" w:right="539"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Relationship is with an Affiliate and such Affiliate ceases to be an Affiliate, the grantee shall be deemed to have terminated his or her Service Relationship for purposes of the Plan.</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(b)For purposes of the Plan, the following events shall not be deemed a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22"/>
          <w:szCs w:val="22"/>
          <w:color w:val="auto"/>
        </w:rPr>
        <w:t>of a Service Relationship:</w:t>
      </w:r>
    </w:p>
    <w:p>
      <w:pPr>
        <w:spacing w:after="0" w:line="206" w:lineRule="exact"/>
        <w:rPr>
          <w:sz w:val="20"/>
          <w:szCs w:val="20"/>
          <w:color w:val="auto"/>
        </w:rPr>
      </w:pPr>
    </w:p>
    <w:p>
      <w:pPr>
        <w:ind w:left="300" w:right="499" w:firstLine="1288"/>
        <w:spacing w:after="0" w:line="258" w:lineRule="auto"/>
        <w:tabs>
          <w:tab w:leader="none" w:pos="206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employment of the Company from an Affiliate or from the Company to an Affiliate, or from one Affiliate to another; or</w:t>
      </w:r>
    </w:p>
    <w:p>
      <w:pPr>
        <w:spacing w:after="0" w:line="158" w:lineRule="exact"/>
        <w:rPr>
          <w:rFonts w:ascii="Times New Roman" w:cs="Times New Roman" w:eastAsia="Times New Roman" w:hAnsi="Times New Roman"/>
          <w:sz w:val="22"/>
          <w:szCs w:val="22"/>
          <w:color w:val="auto"/>
        </w:rPr>
      </w:pPr>
    </w:p>
    <w:p>
      <w:pPr>
        <w:ind w:left="300" w:right="339" w:firstLine="1288"/>
        <w:spacing w:after="0" w:line="239" w:lineRule="auto"/>
        <w:tabs>
          <w:tab w:leader="none" w:pos="206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AMENDMENTS AND TERMINATION</w:t>
      </w:r>
    </w:p>
    <w:p>
      <w:pPr>
        <w:spacing w:after="0" w:line="206" w:lineRule="exact"/>
        <w:rPr>
          <w:sz w:val="20"/>
          <w:szCs w:val="20"/>
          <w:color w:val="auto"/>
        </w:rPr>
      </w:pPr>
    </w:p>
    <w:p>
      <w:pPr>
        <w:ind w:left="300" w:right="299" w:firstLine="648"/>
        <w:spacing w:after="0" w:line="244" w:lineRule="auto"/>
        <w:rPr>
          <w:sz w:val="20"/>
          <w:szCs w:val="20"/>
          <w:color w:val="auto"/>
        </w:rPr>
      </w:pPr>
      <w:r>
        <w:rPr>
          <w:rFonts w:ascii="Times New Roman" w:cs="Times New Roman" w:eastAsia="Times New Roman" w:hAnsi="Times New Roman"/>
          <w:sz w:val="21"/>
          <w:szCs w:val="21"/>
          <w:color w:val="auto"/>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3(d)</w:t>
      </w:r>
      <w:r>
        <w:rPr>
          <w:rFonts w:ascii="Times New Roman" w:cs="Times New Roman" w:eastAsia="Times New Roman" w:hAnsi="Times New Roman"/>
          <w:sz w:val="21"/>
          <w:szCs w:val="21"/>
          <w:color w:val="auto"/>
        </w:rPr>
        <w:t xml:space="preserve">, without prior shareholder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Common Shares are listed or to the extent determined by the Administrator to be required by the US Tax Code to ensure that Incentive Stock Options granted under the Plan are qualified under Section 422 of the US Tax Code, Plan amendments shall be subject to approval by the Company shareholders entitled to vote at a meeting of shareholders. Nothing in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limit the Administrator’s authority to take any action permitted pursuant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3(d)</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STATUS OF PLAN</w:t>
      </w:r>
    </w:p>
    <w:p>
      <w:pPr>
        <w:spacing w:after="0" w:line="206" w:lineRule="exact"/>
        <w:rPr>
          <w:sz w:val="20"/>
          <w:szCs w:val="20"/>
          <w:color w:val="auto"/>
        </w:rPr>
      </w:pPr>
    </w:p>
    <w:p>
      <w:pPr>
        <w:ind w:left="300" w:right="299" w:firstLine="648"/>
        <w:spacing w:after="0" w:line="235" w:lineRule="auto"/>
        <w:rPr>
          <w:sz w:val="20"/>
          <w:szCs w:val="20"/>
          <w:color w:val="auto"/>
        </w:rPr>
      </w:pPr>
      <w:r>
        <w:rPr>
          <w:rFonts w:ascii="Times New Roman" w:cs="Times New Roman" w:eastAsia="Times New Roman" w:hAnsi="Times New Roman"/>
          <w:sz w:val="22"/>
          <w:szCs w:val="22"/>
          <w:color w:val="auto"/>
        </w:rPr>
        <w:t>With respect to the portion of any Award that has not been exercised and any payments in cash, Common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Common Shares or make payments with respect to Awards hereunder, provided that the existence of such trusts or other arrangements is consistent with the foregoing sentence.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GENERAL PROVISIONS</w:t>
      </w:r>
    </w:p>
    <w:p>
      <w:pPr>
        <w:spacing w:after="0" w:line="206" w:lineRule="exact"/>
        <w:rPr>
          <w:sz w:val="20"/>
          <w:szCs w:val="20"/>
          <w:color w:val="auto"/>
        </w:rPr>
      </w:pPr>
    </w:p>
    <w:p>
      <w:pPr>
        <w:ind w:left="300" w:right="679" w:firstLine="648"/>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Common Shares pursuant to an Award to represent to and agree with the Company in writing that such person is acquiring the shares without a view to distribution thereof.</w:t>
      </w:r>
    </w:p>
    <w:p>
      <w:pPr>
        <w:spacing w:after="0" w:line="173" w:lineRule="exact"/>
        <w:rPr>
          <w:sz w:val="20"/>
          <w:szCs w:val="20"/>
          <w:color w:val="auto"/>
        </w:rPr>
      </w:pPr>
    </w:p>
    <w:p>
      <w:pPr>
        <w:jc w:val="both"/>
        <w:ind w:left="300" w:right="739" w:firstLine="648"/>
        <w:spacing w:after="0" w:line="24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No Delivery of Stock Certificates</w:t>
      </w:r>
      <w:r>
        <w:rPr>
          <w:rFonts w:ascii="Times New Roman" w:cs="Times New Roman" w:eastAsia="Times New Roman" w:hAnsi="Times New Roman"/>
          <w:sz w:val="22"/>
          <w:szCs w:val="22"/>
          <w:color w:val="auto"/>
        </w:rPr>
        <w:t>. No stock certificates to grantees under the Plan shall be delivered, as all Common Shares are recorded in the Company’s share register or in book entry form as uncertified securities (</w:t>
      </w:r>
      <w:r>
        <w:rPr>
          <w:rFonts w:ascii="Times New Roman" w:cs="Times New Roman" w:eastAsia="Times New Roman" w:hAnsi="Times New Roman"/>
          <w:sz w:val="22"/>
          <w:szCs w:val="22"/>
          <w:i w:val="1"/>
          <w:iCs w:val="1"/>
          <w:color w:val="auto"/>
        </w:rPr>
        <w:t>Wertrechte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1006475</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8" w:name="page59"/>
    <w:bookmarkEnd w:id="58"/>
    <w:p>
      <w:pPr>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Until a grantee has been recorded in the Company’s share register, no right to vote or receive dividends or any other rights of a shareholder will exist with respect to Common Shares to be issued in connection with an Award, notwithstanding the exercise of a Stock Option or any other action by the grantee with respect to an Award.</w:t>
      </w:r>
    </w:p>
    <w:p>
      <w:pPr>
        <w:spacing w:after="0" w:line="180" w:lineRule="exact"/>
        <w:rPr>
          <w:sz w:val="20"/>
          <w:szCs w:val="20"/>
          <w:color w:val="auto"/>
        </w:rPr>
      </w:pPr>
    </w:p>
    <w:p>
      <w:pPr>
        <w:ind w:left="300" w:right="439" w:firstLine="648"/>
        <w:spacing w:after="0" w:line="251" w:lineRule="auto"/>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21"/>
          <w:szCs w:val="21"/>
          <w:u w:val="single" w:color="auto"/>
          <w:color w:val="auto"/>
        </w:rPr>
        <w:t>Other Compensation Arrangements; No Employment Rights</w:t>
      </w:r>
      <w:r>
        <w:rPr>
          <w:rFonts w:ascii="Times New Roman" w:cs="Times New Roman" w:eastAsia="Times New Roman" w:hAnsi="Times New Roman"/>
          <w:sz w:val="21"/>
          <w:szCs w:val="21"/>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Affiliate thereof.</w:t>
      </w:r>
    </w:p>
    <w:p>
      <w:pPr>
        <w:spacing w:after="0" w:line="168" w:lineRule="exact"/>
        <w:rPr>
          <w:sz w:val="20"/>
          <w:szCs w:val="20"/>
          <w:color w:val="auto"/>
        </w:rPr>
      </w:pPr>
    </w:p>
    <w:p>
      <w:pPr>
        <w:ind w:left="300" w:right="5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Awards under the Plan shall be subject to the Company’s Clawback</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Policy.</w:t>
      </w:r>
    </w:p>
    <w:p>
      <w:pPr>
        <w:spacing w:after="0" w:line="182" w:lineRule="exact"/>
        <w:rPr>
          <w:sz w:val="20"/>
          <w:szCs w:val="20"/>
          <w:color w:val="auto"/>
        </w:rPr>
      </w:pPr>
    </w:p>
    <w:p>
      <w:pPr>
        <w:ind w:left="300" w:right="399" w:firstLine="648"/>
        <w:spacing w:after="0" w:line="24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References to any specific law, rule, regulation or form, or article, section or other division thereof, will be deemed to include the then-current amendments thereto or any replacement or successor, law, rule, regulation or form thereof.</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EFFECTIVE DATE OF PLAN</w:t>
      </w:r>
    </w:p>
    <w:p>
      <w:pPr>
        <w:spacing w:after="0" w:line="206" w:lineRule="exact"/>
        <w:rPr>
          <w:sz w:val="20"/>
          <w:szCs w:val="20"/>
          <w:color w:val="auto"/>
        </w:rPr>
      </w:pPr>
    </w:p>
    <w:p>
      <w:pPr>
        <w:ind w:left="300" w:right="419" w:firstLine="648"/>
        <w:spacing w:after="0" w:line="238" w:lineRule="auto"/>
        <w:rPr>
          <w:sz w:val="20"/>
          <w:szCs w:val="20"/>
          <w:color w:val="auto"/>
        </w:rPr>
      </w:pPr>
      <w:r>
        <w:rPr>
          <w:rFonts w:ascii="Times New Roman" w:cs="Times New Roman" w:eastAsia="Times New Roman" w:hAnsi="Times New Roman"/>
          <w:sz w:val="22"/>
          <w:szCs w:val="22"/>
          <w:color w:val="auto"/>
        </w:rPr>
        <w:t>This Plan shall become effective upon shareholder approval in accordance with applicable law, the Company’s articles of association,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GOVERNING LAW AND JURISDICTION</w:t>
      </w:r>
    </w:p>
    <w:p>
      <w:pPr>
        <w:spacing w:after="0" w:line="206" w:lineRule="exact"/>
        <w:rPr>
          <w:sz w:val="20"/>
          <w:szCs w:val="20"/>
          <w:color w:val="auto"/>
        </w:rPr>
      </w:pPr>
    </w:p>
    <w:p>
      <w:pPr>
        <w:ind w:left="300" w:right="399" w:firstLine="648"/>
        <w:spacing w:after="0" w:line="244"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substantive laws of Switzerland, without regard to the conflict of law principles, and exclusive place of jurisdiction shall be Zug, Switzerland.</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APPROVED BY BOARD OF DIRECTORS: June 4, 2026</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APPROVED BY SHAREHOLDERS: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9" w:name="page60"/>
    <w:bookmarkEnd w:id="59"/>
    <w:p>
      <w:pPr>
        <w:jc w:val="right"/>
        <w:ind w:right="299"/>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12" w:lineRule="exact"/>
        <w:rPr>
          <w:sz w:val="20"/>
          <w:szCs w:val="20"/>
          <w:color w:val="auto"/>
        </w:rPr>
      </w:pPr>
    </w:p>
    <w:p>
      <w:pPr>
        <w:jc w:val="center"/>
        <w:ind w:left="300" w:right="319"/>
        <w:spacing w:after="0" w:line="267" w:lineRule="auto"/>
        <w:rPr>
          <w:sz w:val="20"/>
          <w:szCs w:val="20"/>
          <w:color w:val="auto"/>
        </w:rPr>
      </w:pPr>
      <w:r>
        <w:rPr>
          <w:rFonts w:ascii="Times New Roman" w:cs="Times New Roman" w:eastAsia="Times New Roman" w:hAnsi="Times New Roman"/>
          <w:sz w:val="25"/>
          <w:szCs w:val="25"/>
          <w:b w:val="1"/>
          <w:bCs w:val="1"/>
          <w:color w:val="auto"/>
        </w:rPr>
        <w:t>INCENTIVE STOCK OPTION AGREEMENT UNDER THE CRISPR THERAPEUTICS AG 2026 STOCK OPTION AND INCENTIVE PLAN</w:t>
      </w:r>
    </w:p>
    <w:p>
      <w:pPr>
        <w:spacing w:after="0" w:line="3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6" w:lineRule="exact"/>
        <w:rPr>
          <w:sz w:val="20"/>
          <w:szCs w:val="20"/>
          <w:color w:val="auto"/>
        </w:rPr>
      </w:pPr>
    </w:p>
    <w:p>
      <w:pPr>
        <w:ind w:left="380"/>
        <w:spacing w:after="0"/>
        <w:tabs>
          <w:tab w:leader="none" w:pos="4540" w:val="left"/>
        </w:tabs>
        <w:rPr>
          <w:sz w:val="20"/>
          <w:szCs w:val="20"/>
          <w:color w:val="auto"/>
        </w:rPr>
      </w:pPr>
      <w:r>
        <w:rPr>
          <w:rFonts w:ascii="Times New Roman" w:cs="Times New Roman" w:eastAsia="Times New Roman" w:hAnsi="Times New Roman"/>
          <w:sz w:val="22"/>
          <w:szCs w:val="22"/>
          <w:color w:val="auto"/>
        </w:rPr>
        <w:t>Option Exercise Price per Common Share:</w:t>
      </w:r>
      <w:r>
        <w:rPr>
          <w:sz w:val="20"/>
          <w:szCs w:val="20"/>
          <w:color w:val="auto"/>
        </w:rPr>
        <w:tab/>
      </w:r>
      <w:r>
        <w:rPr>
          <w:rFonts w:ascii="Times New Roman" w:cs="Times New Roman" w:eastAsia="Times New Roman" w:hAnsi="Times New Roman"/>
          <w:sz w:val="19"/>
          <w:szCs w:val="19"/>
          <w:u w:val="single" w:color="auto"/>
          <w:color w:val="auto"/>
        </w:rPr>
        <w: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Grant Date: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Pursuant to the CRISPR Therapeutics AG 2026 Stock Option and Incentive Plan as</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amended and in effect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CRISPR Therapeutics AG (the</w:t>
      </w:r>
    </w:p>
    <w:p>
      <w:pPr>
        <w:ind w:left="30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Optionee named above an option (the “</w:t>
      </w:r>
      <w:r>
        <w:rPr>
          <w:rFonts w:ascii="Times New Roman" w:cs="Times New Roman" w:eastAsia="Times New Roman" w:hAnsi="Times New Roman"/>
          <w:sz w:val="22"/>
          <w:szCs w:val="22"/>
          <w:b w:val="1"/>
          <w:bCs w:val="1"/>
          <w:color w:val="auto"/>
        </w:rPr>
        <w:t>Stock Option</w:t>
      </w:r>
      <w:r>
        <w:rPr>
          <w:rFonts w:ascii="Times New Roman" w:cs="Times New Roman" w:eastAsia="Times New Roman" w:hAnsi="Times New Roman"/>
          <w:sz w:val="22"/>
          <w:szCs w:val="22"/>
          <w:color w:val="auto"/>
        </w:rPr>
        <w:t>”) to</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purchase on or prior to the Expiration Date specified above all or part of the number of common</w:t>
      </w:r>
    </w:p>
    <w:p>
      <w:pPr>
        <w:ind w:left="300"/>
        <w:spacing w:after="0" w:line="231" w:lineRule="auto"/>
        <w:rPr>
          <w:sz w:val="20"/>
          <w:szCs w:val="20"/>
          <w:color w:val="auto"/>
        </w:rPr>
      </w:pPr>
      <w:r>
        <w:rPr>
          <w:rFonts w:ascii="Times New Roman" w:cs="Times New Roman" w:eastAsia="Times New Roman" w:hAnsi="Times New Roman"/>
          <w:sz w:val="22"/>
          <w:szCs w:val="22"/>
          <w:color w:val="auto"/>
        </w:rPr>
        <w:t>shares specified above (the “</w:t>
      </w:r>
      <w:r>
        <w:rPr>
          <w:rFonts w:ascii="Times New Roman" w:cs="Times New Roman" w:eastAsia="Times New Roman" w:hAnsi="Times New Roman"/>
          <w:sz w:val="22"/>
          <w:szCs w:val="22"/>
          <w:b w:val="1"/>
          <w:bCs w:val="1"/>
          <w:color w:val="auto"/>
        </w:rPr>
        <w:t>Option Shares</w:t>
      </w:r>
      <w:r>
        <w:rPr>
          <w:rFonts w:ascii="Times New Roman" w:cs="Times New Roman" w:eastAsia="Times New Roman" w:hAnsi="Times New Roman"/>
          <w:sz w:val="22"/>
          <w:szCs w:val="22"/>
          <w:color w:val="auto"/>
        </w:rPr>
        <w:t>”), nominal value CHF 0.03 per share of the</w:t>
      </w:r>
    </w:p>
    <w:p>
      <w:pPr>
        <w:ind w:left="300"/>
        <w:spacing w:after="0" w:line="231" w:lineRule="auto"/>
        <w:rPr>
          <w:sz w:val="20"/>
          <w:szCs w:val="20"/>
          <w:color w:val="auto"/>
        </w:rPr>
      </w:pPr>
      <w:r>
        <w:rPr>
          <w:rFonts w:ascii="Times New Roman" w:cs="Times New Roman" w:eastAsia="Times New Roman" w:hAnsi="Times New Roman"/>
          <w:sz w:val="22"/>
          <w:szCs w:val="22"/>
          <w:color w:val="auto"/>
        </w:rPr>
        <w:t>Company (each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the Option</w:t>
      </w:r>
    </w:p>
    <w:p>
      <w:pPr>
        <w:ind w:left="300"/>
        <w:spacing w:after="0" w:line="231" w:lineRule="auto"/>
        <w:rPr>
          <w:sz w:val="20"/>
          <w:szCs w:val="20"/>
          <w:color w:val="auto"/>
        </w:rPr>
      </w:pPr>
      <w:r>
        <w:rPr>
          <w:rFonts w:ascii="Times New Roman" w:cs="Times New Roman" w:eastAsia="Times New Roman" w:hAnsi="Times New Roman"/>
          <w:sz w:val="22"/>
          <w:szCs w:val="22"/>
          <w:color w:val="auto"/>
        </w:rPr>
        <w:t>Exercise Price per Common Share specified above subject to the terms and conditions set forth</w:t>
      </w:r>
    </w:p>
    <w:p>
      <w:pPr>
        <w:ind w:left="300"/>
        <w:spacing w:after="0"/>
        <w:rPr>
          <w:sz w:val="20"/>
          <w:szCs w:val="20"/>
          <w:color w:val="auto"/>
        </w:rPr>
      </w:pPr>
      <w:r>
        <w:rPr>
          <w:rFonts w:ascii="Times New Roman" w:cs="Times New Roman" w:eastAsia="Times New Roman" w:hAnsi="Times New Roman"/>
          <w:sz w:val="22"/>
          <w:szCs w:val="22"/>
          <w:color w:val="auto"/>
        </w:rPr>
        <w:t>herein and in the Plan.</w:t>
      </w:r>
    </w:p>
    <w:p>
      <w:pPr>
        <w:spacing w:after="0" w:line="182" w:lineRule="exact"/>
        <w:rPr>
          <w:sz w:val="20"/>
          <w:szCs w:val="20"/>
          <w:color w:val="auto"/>
        </w:rPr>
      </w:pPr>
    </w:p>
    <w:p>
      <w:pPr>
        <w:ind w:left="300" w:right="379" w:firstLine="640"/>
        <w:spacing w:after="0" w:line="236"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with respect to the following number of Option Shares on the dates indicated so long as the Optionee maintains a continuous Service Relationship with the Company or any Affiliate thereof through and including such dates: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3860" w:type="dxa"/>
            <w:vAlign w:val="bottom"/>
            <w:gridSpan w:val="2"/>
          </w:tcPr>
          <w:p>
            <w:pPr>
              <w:jc w:val="center"/>
              <w:ind w:right="1460"/>
              <w:spacing w:after="0"/>
              <w:rPr>
                <w:sz w:val="20"/>
                <w:szCs w:val="20"/>
                <w:color w:val="auto"/>
              </w:rPr>
            </w:pPr>
            <w:r>
              <w:rPr>
                <w:rFonts w:ascii="Times New Roman" w:cs="Times New Roman" w:eastAsia="Times New Roman" w:hAnsi="Times New Roman"/>
                <w:sz w:val="22"/>
                <w:szCs w:val="22"/>
                <w:color w:val="auto"/>
                <w:w w:val="98"/>
              </w:rPr>
              <w:t>Incremental Number of</w:t>
            </w:r>
          </w:p>
        </w:tc>
        <w:tc>
          <w:tcPr>
            <w:tcW w:w="1660" w:type="dxa"/>
            <w:vAlign w:val="bottom"/>
          </w:tcPr>
          <w:p>
            <w:pPr>
              <w:spacing w:after="0"/>
              <w:rPr>
                <w:sz w:val="21"/>
                <w:szCs w:val="21"/>
                <w:color w:val="auto"/>
              </w:rPr>
            </w:pPr>
          </w:p>
        </w:tc>
      </w:tr>
      <w:tr>
        <w:trPr>
          <w:trHeight w:val="230"/>
        </w:trPr>
        <w:tc>
          <w:tcPr>
            <w:tcW w:w="940" w:type="dxa"/>
            <w:vAlign w:val="bottom"/>
          </w:tcPr>
          <w:p>
            <w:pPr>
              <w:spacing w:after="0"/>
              <w:rPr>
                <w:sz w:val="19"/>
                <w:szCs w:val="19"/>
                <w:color w:val="auto"/>
              </w:rPr>
            </w:pPr>
          </w:p>
        </w:tc>
        <w:tc>
          <w:tcPr>
            <w:tcW w:w="3860" w:type="dxa"/>
            <w:vAlign w:val="bottom"/>
            <w:gridSpan w:val="2"/>
          </w:tcPr>
          <w:p>
            <w:pPr>
              <w:jc w:val="center"/>
              <w:ind w:right="1460"/>
              <w:spacing w:after="0" w:line="230" w:lineRule="exact"/>
              <w:rPr>
                <w:sz w:val="20"/>
                <w:szCs w:val="20"/>
                <w:color w:val="auto"/>
              </w:rPr>
            </w:pPr>
            <w:r>
              <w:rPr>
                <w:rFonts w:ascii="Times New Roman" w:cs="Times New Roman" w:eastAsia="Times New Roman" w:hAnsi="Times New Roman"/>
                <w:sz w:val="22"/>
                <w:szCs w:val="22"/>
                <w:color w:val="auto"/>
                <w:w w:val="98"/>
              </w:rPr>
              <w:t>Option Shares Exercisable*</w:t>
            </w:r>
          </w:p>
        </w:tc>
        <w:tc>
          <w:tcPr>
            <w:tcW w:w="1660" w:type="dxa"/>
            <w:vAlign w:val="bottom"/>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Exercisability Date</w:t>
            </w:r>
          </w:p>
        </w:tc>
      </w:tr>
      <w:tr>
        <w:trPr>
          <w:trHeight w:val="452"/>
        </w:trPr>
        <w:tc>
          <w:tcPr>
            <w:tcW w:w="940" w:type="dxa"/>
            <w:vAlign w:val="bottom"/>
          </w:tcPr>
          <w:p>
            <w:pPr>
              <w:spacing w:after="0"/>
              <w:rPr>
                <w:sz w:val="24"/>
                <w:szCs w:val="24"/>
                <w:color w:val="auto"/>
              </w:rPr>
            </w:pPr>
          </w:p>
        </w:tc>
        <w:tc>
          <w:tcPr>
            <w:tcW w:w="2300" w:type="dxa"/>
            <w:vAlign w:val="bottom"/>
            <w:tcBorders>
              <w:top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56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43"/>
        </w:trPr>
        <w:tc>
          <w:tcPr>
            <w:tcW w:w="324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56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r>
      <w:tr>
        <w:trPr>
          <w:trHeight w:val="243"/>
        </w:trPr>
        <w:tc>
          <w:tcPr>
            <w:tcW w:w="324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56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r>
      <w:tr>
        <w:trPr>
          <w:trHeight w:val="243"/>
        </w:trPr>
        <w:tc>
          <w:tcPr>
            <w:tcW w:w="3240" w:type="dxa"/>
            <w:vAlign w:val="bottom"/>
            <w:gridSpan w:val="2"/>
          </w:tcPr>
          <w:p>
            <w:pPr>
              <w:jc w:val="center"/>
              <w:ind w:left="952"/>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56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3240" w:type="dxa"/>
            <w:vAlign w:val="bottom"/>
            <w:gridSpan w:val="2"/>
          </w:tcPr>
          <w:p>
            <w:pPr>
              <w:jc w:val="center"/>
              <w:ind w:left="952"/>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5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459"/>
        </w:trPr>
        <w:tc>
          <w:tcPr>
            <w:tcW w:w="4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Max. of $100,000 per yr.</w:t>
            </w:r>
          </w:p>
        </w:tc>
        <w:tc>
          <w:tcPr>
            <w:tcW w:w="1660" w:type="dxa"/>
            <w:vAlign w:val="bottom"/>
          </w:tcPr>
          <w:p>
            <w:pPr>
              <w:spacing w:after="0"/>
              <w:rPr>
                <w:sz w:val="24"/>
                <w:szCs w:val="24"/>
                <w:color w:val="auto"/>
              </w:rPr>
            </w:pPr>
          </w:p>
        </w:tc>
      </w:tr>
    </w:tbl>
    <w:p>
      <w:pPr>
        <w:spacing w:after="0" w:line="177" w:lineRule="exact"/>
        <w:rPr>
          <w:sz w:val="20"/>
          <w:szCs w:val="20"/>
          <w:color w:val="auto"/>
        </w:rPr>
      </w:pPr>
    </w:p>
    <w:p>
      <w:pPr>
        <w:jc w:val="both"/>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1006475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60" w:name="page61"/>
    <w:bookmarkEnd w:id="60"/>
    <w:p>
      <w:pPr>
        <w:ind w:left="1180" w:hanging="240"/>
        <w:spacing w:after="0"/>
        <w:tabs>
          <w:tab w:leader="none" w:pos="1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0" w:right="399" w:firstLine="1288"/>
        <w:spacing w:after="0" w:line="238" w:lineRule="auto"/>
        <w:tabs>
          <w:tab w:leader="none" w:pos="206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7" w:lineRule="exact"/>
        <w:rPr>
          <w:sz w:val="20"/>
          <w:szCs w:val="20"/>
          <w:color w:val="auto"/>
        </w:rPr>
      </w:pPr>
    </w:p>
    <w:p>
      <w:pPr>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through the delivery (or attestation to the ownership) of Common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0" w:lineRule="exact"/>
        <w:rPr>
          <w:sz w:val="20"/>
          <w:szCs w:val="20"/>
          <w:color w:val="auto"/>
        </w:rPr>
      </w:pPr>
    </w:p>
    <w:p>
      <w:pPr>
        <w:ind w:left="300" w:right="339" w:firstLine="648"/>
        <w:spacing w:after="0" w:line="247"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w:t>
      </w:r>
    </w:p>
    <w:p>
      <w:pPr>
        <w:spacing w:after="0" w:line="2" w:lineRule="exact"/>
        <w:rPr>
          <w:sz w:val="20"/>
          <w:szCs w:val="20"/>
          <w:color w:val="auto"/>
        </w:rPr>
      </w:pPr>
    </w:p>
    <w:p>
      <w:pPr>
        <w:ind w:left="300" w:right="319" w:hanging="8"/>
        <w:spacing w:after="0" w:line="232" w:lineRule="auto"/>
        <w:tabs>
          <w:tab w:leader="none" w:pos="67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Common Shares to be purchased pursuant to the exercise of Stock Options under the Plan and any subsequent resale of the Common Shares will be in compliance with applicable laws and regulations. In the event the Optionee chooses to pay the purchase price by previously-owned Common Shares through the attestation method, the number of Common Shares transferred to the Optionee upon the exercise of the Stock Option shall be net of the Common Shares attested to.</w:t>
      </w:r>
    </w:p>
    <w:p>
      <w:pPr>
        <w:spacing w:after="0" w:line="181" w:lineRule="exact"/>
        <w:rPr>
          <w:rFonts w:ascii="Times New Roman" w:cs="Times New Roman" w:eastAsia="Times New Roman" w:hAnsi="Times New Roman"/>
          <w:sz w:val="22"/>
          <w:szCs w:val="22"/>
          <w:color w:val="auto"/>
        </w:rPr>
      </w:pPr>
    </w:p>
    <w:p>
      <w:pPr>
        <w:ind w:left="300" w:right="319" w:firstLine="1288"/>
        <w:spacing w:after="0" w:line="245" w:lineRule="auto"/>
        <w:tabs>
          <w:tab w:leader="none" w:pos="2062"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Common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Common Shares subject to this Stock Option unless and until this Stock Option shall have been exercised pursuant to the terms hereof, the Company or the transfer agent shall have transferred the shares to the Optionee, and the Optionee’s name shall have been entered as the shareholder of record on the books of the Company. Thereupon, the Optionee shall have full voting, dividend and other ownership rights with respect to such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1009015</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1" w:name="page62"/>
    <w:bookmarkEnd w:id="61"/>
    <w:p>
      <w:pPr>
        <w:ind w:left="300" w:right="359" w:firstLine="1288"/>
        <w:spacing w:after="0" w:line="258" w:lineRule="auto"/>
        <w:tabs>
          <w:tab w:leader="none" w:pos="2062"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8" w:lineRule="exact"/>
        <w:rPr>
          <w:rFonts w:ascii="Times New Roman" w:cs="Times New Roman" w:eastAsia="Times New Roman" w:hAnsi="Times New Roman"/>
          <w:sz w:val="22"/>
          <w:szCs w:val="22"/>
          <w:color w:val="auto"/>
        </w:rPr>
      </w:pPr>
    </w:p>
    <w:p>
      <w:pPr>
        <w:ind w:left="300" w:right="519" w:firstLine="640"/>
        <w:spacing w:after="0" w:line="244" w:lineRule="auto"/>
        <w:tabs>
          <w:tab w:leader="none" w:pos="118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Service Relationship with the Company or any Affiliate thereof is terminated, the period within which to exercise the Stock Option may be subject to earlier termination as set forth below.</w:t>
      </w:r>
    </w:p>
    <w:p>
      <w:pPr>
        <w:spacing w:after="0" w:line="173" w:lineRule="exact"/>
        <w:rPr>
          <w:rFonts w:ascii="Times New Roman" w:cs="Times New Roman" w:eastAsia="Times New Roman" w:hAnsi="Times New Roman"/>
          <w:sz w:val="22"/>
          <w:szCs w:val="22"/>
          <w:color w:val="auto"/>
        </w:rPr>
      </w:pPr>
    </w:p>
    <w:p>
      <w:pPr>
        <w:jc w:val="both"/>
        <w:ind w:left="300" w:right="519" w:firstLine="1288"/>
        <w:spacing w:after="0" w:line="247" w:lineRule="auto"/>
        <w:tabs>
          <w:tab w:leader="none" w:pos="2062"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If the Optionee’s Service Relationship with the Company or any Affiliate thereof terminates by reason of the Optionee’s death, any portion of this Stock Option outstanding on such date, to the extent exercisable on the date of death, may thereafter be exercised by the Optionee’s legal representative or legatee for a period of twelve</w:t>
      </w:r>
    </w:p>
    <w:p>
      <w:pPr>
        <w:spacing w:after="0" w:line="1" w:lineRule="exact"/>
        <w:rPr>
          <w:rFonts w:ascii="Times New Roman" w:cs="Times New Roman" w:eastAsia="Times New Roman" w:hAnsi="Times New Roman"/>
          <w:sz w:val="21"/>
          <w:szCs w:val="21"/>
          <w:color w:val="auto"/>
        </w:rPr>
      </w:pPr>
    </w:p>
    <w:p>
      <w:pPr>
        <w:ind w:left="300" w:right="559" w:hanging="8"/>
        <w:spacing w:after="0" w:line="235" w:lineRule="auto"/>
        <w:tabs>
          <w:tab w:leader="none" w:pos="71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death or until the Expiration Date, if earlier. Any portion of this Stock Option that is not exercisable on the date of death shall terminate immediately and be of no further force or effect.</w:t>
      </w:r>
    </w:p>
    <w:p>
      <w:pPr>
        <w:spacing w:after="0" w:line="177" w:lineRule="exact"/>
        <w:rPr>
          <w:rFonts w:ascii="Times New Roman" w:cs="Times New Roman" w:eastAsia="Times New Roman" w:hAnsi="Times New Roman"/>
          <w:sz w:val="22"/>
          <w:szCs w:val="22"/>
          <w:color w:val="auto"/>
        </w:rPr>
      </w:pPr>
    </w:p>
    <w:p>
      <w:pPr>
        <w:ind w:left="300" w:right="459" w:firstLine="1288"/>
        <w:spacing w:after="0" w:line="235" w:lineRule="auto"/>
        <w:tabs>
          <w:tab w:leader="none" w:pos="2062"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with the Company or any Affiliate thereof terminates by reason of the Optionee’s disability (as determined by the Administrator), any portion of this Stock Option outstanding on such date, to the extent exercisable on the date of such termination of such Service Relationship, may thereafter be exercised by the Optionee for a period of twelve (12) months from the date of disability or until the Expiration Date, if earlier. Any portion of this Stock Option that is not exercisable on the date of disability shall terminate immediately and be of no further force or effect.</w:t>
      </w:r>
    </w:p>
    <w:p>
      <w:pPr>
        <w:spacing w:after="0" w:line="178" w:lineRule="exact"/>
        <w:rPr>
          <w:rFonts w:ascii="Times New Roman" w:cs="Times New Roman" w:eastAsia="Times New Roman" w:hAnsi="Times New Roman"/>
          <w:sz w:val="22"/>
          <w:szCs w:val="22"/>
          <w:color w:val="auto"/>
        </w:rPr>
      </w:pPr>
    </w:p>
    <w:p>
      <w:pPr>
        <w:ind w:left="300" w:right="839" w:firstLine="1288"/>
        <w:spacing w:after="0" w:line="261" w:lineRule="auto"/>
        <w:tabs>
          <w:tab w:leader="none" w:pos="2062"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Optionee’s Service Relationship with the Company or any Affiliate thereof terminates for Cause, any portion of this Stock Option outstanding on such date shall terminate immediately and be of no further force and effect.</w:t>
      </w:r>
    </w:p>
    <w:p>
      <w:pPr>
        <w:spacing w:after="0" w:line="157" w:lineRule="exact"/>
        <w:rPr>
          <w:rFonts w:ascii="Times New Roman" w:cs="Times New Roman" w:eastAsia="Times New Roman" w:hAnsi="Times New Roman"/>
          <w:sz w:val="21"/>
          <w:szCs w:val="21"/>
          <w:color w:val="auto"/>
        </w:rPr>
      </w:pPr>
    </w:p>
    <w:p>
      <w:pPr>
        <w:ind w:left="300" w:right="359" w:firstLine="1288"/>
        <w:spacing w:after="0" w:line="248" w:lineRule="auto"/>
        <w:tabs>
          <w:tab w:leader="none" w:pos="2062"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Optionee’s Service Relationship with the Company or any Affiliate thereof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spacing w:after="0" w:line="170" w:lineRule="exact"/>
        <w:rPr>
          <w:sz w:val="20"/>
          <w:szCs w:val="20"/>
          <w:color w:val="auto"/>
        </w:rPr>
      </w:pPr>
    </w:p>
    <w:p>
      <w:pPr>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Service Relationship with the Company or any Affiliate thereof shall be conclusive and binding on the Optionee and his or her representatives or legatees. Notwithstanding the foregoing and subject to applicable law, if the Optionee’s Service Relationship is terminated for Cause by the Company or any Affiliate thereof or the Optionee violates any continuing obligation or other post-employment or post-termination obligation Optionee may owe to the Company or any Affiliate thereof, the Company, in the Administrator’s sole discretion, may cause the forfeiture or cancellation of any Award granted to Optionee, whether now existing or hereafter formed, and regardless of the form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1012825</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2" w:name="page63"/>
    <w:bookmarkEnd w:id="62"/>
    <w:p>
      <w:pPr>
        <w:ind w:left="300" w:right="359" w:firstLine="640"/>
        <w:spacing w:after="0" w:line="238"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6" w:lineRule="exact"/>
        <w:rPr>
          <w:rFonts w:ascii="Times New Roman" w:cs="Times New Roman" w:eastAsia="Times New Roman" w:hAnsi="Times New Roman"/>
          <w:sz w:val="22"/>
          <w:szCs w:val="22"/>
          <w:color w:val="auto"/>
        </w:rPr>
      </w:pPr>
    </w:p>
    <w:p>
      <w:pPr>
        <w:jc w:val="both"/>
        <w:ind w:left="300" w:right="299" w:firstLine="640"/>
        <w:spacing w:after="0" w:line="239"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0" w:lineRule="exact"/>
        <w:rPr>
          <w:rFonts w:ascii="Times New Roman" w:cs="Times New Roman" w:eastAsia="Times New Roman" w:hAnsi="Times New Roman"/>
          <w:sz w:val="22"/>
          <w:szCs w:val="22"/>
          <w:color w:val="auto"/>
        </w:rPr>
      </w:pPr>
    </w:p>
    <w:p>
      <w:pPr>
        <w:ind w:left="300" w:right="319" w:firstLine="640"/>
        <w:spacing w:after="0" w:line="233"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the Stock Option</w:t>
      </w:r>
      <w:r>
        <w:rPr>
          <w:rFonts w:ascii="Times New Roman" w:cs="Times New Roman" w:eastAsia="Times New Roman" w:hAnsi="Times New Roman"/>
          <w:sz w:val="22"/>
          <w:szCs w:val="22"/>
          <w:color w:val="auto"/>
        </w:rPr>
        <w:t>. This Stock Option is intended to qualify as an “incentive stock option” under Section 422 of the US Tax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US Tax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thirty (30) days after such disposition.</w:t>
      </w:r>
    </w:p>
    <w:p>
      <w:pPr>
        <w:spacing w:after="0" w:line="184" w:lineRule="exact"/>
        <w:rPr>
          <w:rFonts w:ascii="Times New Roman" w:cs="Times New Roman" w:eastAsia="Times New Roman" w:hAnsi="Times New Roman"/>
          <w:sz w:val="22"/>
          <w:szCs w:val="22"/>
          <w:color w:val="auto"/>
        </w:rPr>
      </w:pPr>
    </w:p>
    <w:p>
      <w:pPr>
        <w:ind w:left="300" w:right="319" w:firstLine="640"/>
        <w:spacing w:after="0" w:line="235"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Common Shares to be issued to the Optionee a number of Common Shares with an aggregate Fair Market Value that would satisfy the withholding amount due.</w:t>
      </w:r>
    </w:p>
    <w:p>
      <w:pPr>
        <w:spacing w:after="0" w:line="178" w:lineRule="exact"/>
        <w:rPr>
          <w:rFonts w:ascii="Times New Roman" w:cs="Times New Roman" w:eastAsia="Times New Roman" w:hAnsi="Times New Roman"/>
          <w:sz w:val="22"/>
          <w:szCs w:val="22"/>
          <w:color w:val="auto"/>
        </w:rPr>
      </w:pPr>
    </w:p>
    <w:p>
      <w:pPr>
        <w:ind w:left="300" w:right="359" w:firstLine="640"/>
        <w:spacing w:after="0" w:line="238"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Company nor any Affiliate thereof is obligated by or as a result of the Plan or this Agreement to maintain a Service Relationship with Optionee, and neither the Plan nor this Agreement shall interfere in any way with the right of the Company or any Affiliate thereof to terminate any Service Relationship of the Optionee at any time.</w:t>
      </w:r>
    </w:p>
    <w:p>
      <w:pPr>
        <w:spacing w:after="0" w:line="176" w:lineRule="exact"/>
        <w:rPr>
          <w:rFonts w:ascii="Times New Roman" w:cs="Times New Roman" w:eastAsia="Times New Roman" w:hAnsi="Times New Roman"/>
          <w:sz w:val="22"/>
          <w:szCs w:val="22"/>
          <w:color w:val="auto"/>
        </w:rPr>
      </w:pPr>
    </w:p>
    <w:p>
      <w:pPr>
        <w:ind w:left="300" w:right="439" w:firstLine="640"/>
        <w:spacing w:after="0" w:line="244"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sz w:val="20"/>
          <w:szCs w:val="20"/>
          <w:color w:val="auto"/>
        </w:rPr>
      </w:pPr>
    </w:p>
    <w:p>
      <w:pPr>
        <w:ind w:left="300" w:right="479" w:firstLine="648"/>
        <w:spacing w:after="0" w:line="255" w:lineRule="auto"/>
        <w:rPr>
          <w:sz w:val="20"/>
          <w:szCs w:val="20"/>
          <w:color w:val="auto"/>
        </w:rPr>
      </w:pPr>
      <w:r>
        <w:rPr>
          <w:rFonts w:ascii="Times New Roman" w:cs="Times New Roman" w:eastAsia="Times New Roman" w:hAnsi="Times New Roman"/>
          <w:sz w:val="21"/>
          <w:szCs w:val="21"/>
          <w:color w:val="auto"/>
        </w:rPr>
        <w:t>10.</w:t>
      </w: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998855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3" w:name="page64"/>
    <w:bookmarkEnd w:id="63"/>
    <w:p>
      <w:pPr>
        <w:ind w:left="300" w:right="479"/>
        <w:spacing w:after="0" w:line="234" w:lineRule="auto"/>
        <w:rPr>
          <w:sz w:val="20"/>
          <w:szCs w:val="20"/>
          <w:color w:val="auto"/>
        </w:rPr>
      </w:pPr>
      <w:r>
        <w:rPr>
          <w:rFonts w:ascii="Times New Roman" w:cs="Times New Roman" w:eastAsia="Times New Roman" w:hAnsi="Times New Roman"/>
          <w:sz w:val="22"/>
          <w:szCs w:val="22"/>
          <w:color w:val="auto"/>
        </w:rPr>
        <w:t>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b w:val="1"/>
          <w:bCs w:val="1"/>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By entering into this Agreement, the Optionee (i) authorizes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79" w:lineRule="exact"/>
        <w:rPr>
          <w:sz w:val="20"/>
          <w:szCs w:val="20"/>
          <w:color w:val="auto"/>
        </w:rPr>
      </w:pPr>
    </w:p>
    <w:p>
      <w:pPr>
        <w:ind w:left="300" w:right="359" w:firstLine="648"/>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300" w:right="339" w:firstLine="648"/>
        <w:spacing w:after="0" w:line="23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Clawback Acknowledgement</w:t>
      </w:r>
      <w:r>
        <w:rPr>
          <w:rFonts w:ascii="Times New Roman" w:cs="Times New Roman" w:eastAsia="Times New Roman" w:hAnsi="Times New Roman"/>
          <w:sz w:val="22"/>
          <w:szCs w:val="22"/>
          <w:color w:val="auto"/>
        </w:rPr>
        <w:t xml:space="preserve">. The Optionee acknowledges that the Optionee may become subject to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(to the extent applicable and as defined in any agreement between the Optionee and the Company or an Affiliate of the Company) or serve as a basis for a claim of constructive termination under any benefits or compensation arrangement applicable to the Optionee, or (ii) to constitute a breach of a contract or other arrangement to which the Optionee is a party.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is a material term of this Agreement.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1303655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4" w:name="page65"/>
    <w:bookmarkEnd w:id="64"/>
    <w:p>
      <w:pPr>
        <w:ind w:left="450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-13970</wp:posOffset>
            </wp:positionV>
            <wp:extent cx="274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1764030</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276860</wp:posOffset>
            </wp:positionV>
            <wp:extent cx="274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568325</wp:posOffset>
            </wp:positionV>
            <wp:extent cx="274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859790</wp:posOffset>
            </wp:positionV>
            <wp:extent cx="274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5" w:name="page66"/>
    <w:bookmarkEnd w:id="65"/>
    <w:p>
      <w:pPr>
        <w:ind w:left="7420"/>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NON-QUALIFIED STOCK OPTION AGREEMENT</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 COMPANY EMPLOYEES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UNDER THE CRISPR THERAPEUTICS AG</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2026 STOCK OPTION AND INCENTIVE PLAN</w:t>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6" w:lineRule="exact"/>
        <w:rPr>
          <w:sz w:val="20"/>
          <w:szCs w:val="20"/>
          <w:color w:val="auto"/>
        </w:rPr>
      </w:pPr>
    </w:p>
    <w:p>
      <w:pPr>
        <w:ind w:left="380"/>
        <w:spacing w:after="0"/>
        <w:tabs>
          <w:tab w:leader="none" w:pos="4540" w:val="left"/>
        </w:tabs>
        <w:rPr>
          <w:sz w:val="20"/>
          <w:szCs w:val="20"/>
          <w:color w:val="auto"/>
        </w:rPr>
      </w:pPr>
      <w:r>
        <w:rPr>
          <w:rFonts w:ascii="Times New Roman" w:cs="Times New Roman" w:eastAsia="Times New Roman" w:hAnsi="Times New Roman"/>
          <w:sz w:val="22"/>
          <w:szCs w:val="22"/>
          <w:color w:val="auto"/>
        </w:rPr>
        <w:t>Option Exercise Price per Common Share:</w:t>
      </w:r>
      <w:r>
        <w:rPr>
          <w:sz w:val="20"/>
          <w:szCs w:val="20"/>
          <w:color w:val="auto"/>
        </w:rPr>
        <w:tab/>
      </w:r>
      <w:r>
        <w:rPr>
          <w:rFonts w:ascii="Times New Roman" w:cs="Times New Roman" w:eastAsia="Times New Roman" w:hAnsi="Times New Roman"/>
          <w:sz w:val="19"/>
          <w:szCs w:val="19"/>
          <w:u w:val="single" w:color="auto"/>
          <w:color w:val="auto"/>
        </w:rPr>
        <w: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Grant Date: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Pursuant to the CRISPR Therapeutics AG 2026 Stock Option and Incentive Plan as</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amended and in effect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CRISPR Therapeutics AG (the</w:t>
      </w:r>
    </w:p>
    <w:p>
      <w:pPr>
        <w:ind w:left="30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Optionee named above an option (the “</w:t>
      </w:r>
      <w:r>
        <w:rPr>
          <w:rFonts w:ascii="Times New Roman" w:cs="Times New Roman" w:eastAsia="Times New Roman" w:hAnsi="Times New Roman"/>
          <w:sz w:val="22"/>
          <w:szCs w:val="22"/>
          <w:b w:val="1"/>
          <w:bCs w:val="1"/>
          <w:color w:val="auto"/>
        </w:rPr>
        <w:t>Stock Option</w:t>
      </w:r>
      <w:r>
        <w:rPr>
          <w:rFonts w:ascii="Times New Roman" w:cs="Times New Roman" w:eastAsia="Times New Roman" w:hAnsi="Times New Roman"/>
          <w:sz w:val="22"/>
          <w:szCs w:val="22"/>
          <w:color w:val="auto"/>
        </w:rPr>
        <w:t>”) to</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purchase on or prior to the Expiration Date specified above all or part of the number of common</w:t>
      </w:r>
    </w:p>
    <w:p>
      <w:pPr>
        <w:ind w:left="300"/>
        <w:spacing w:after="0" w:line="231" w:lineRule="auto"/>
        <w:rPr>
          <w:sz w:val="20"/>
          <w:szCs w:val="20"/>
          <w:color w:val="auto"/>
        </w:rPr>
      </w:pPr>
      <w:r>
        <w:rPr>
          <w:rFonts w:ascii="Times New Roman" w:cs="Times New Roman" w:eastAsia="Times New Roman" w:hAnsi="Times New Roman"/>
          <w:sz w:val="22"/>
          <w:szCs w:val="22"/>
          <w:color w:val="auto"/>
        </w:rPr>
        <w:t>shares specified above (the “</w:t>
      </w:r>
      <w:r>
        <w:rPr>
          <w:rFonts w:ascii="Times New Roman" w:cs="Times New Roman" w:eastAsia="Times New Roman" w:hAnsi="Times New Roman"/>
          <w:sz w:val="22"/>
          <w:szCs w:val="22"/>
          <w:b w:val="1"/>
          <w:bCs w:val="1"/>
          <w:color w:val="auto"/>
        </w:rPr>
        <w:t>Option Shares</w:t>
      </w:r>
      <w:r>
        <w:rPr>
          <w:rFonts w:ascii="Times New Roman" w:cs="Times New Roman" w:eastAsia="Times New Roman" w:hAnsi="Times New Roman"/>
          <w:sz w:val="22"/>
          <w:szCs w:val="22"/>
          <w:color w:val="auto"/>
        </w:rPr>
        <w:t>”), nominal value CHF 0.03 per share of the</w:t>
      </w:r>
    </w:p>
    <w:p>
      <w:pPr>
        <w:ind w:left="300"/>
        <w:spacing w:after="0" w:line="231" w:lineRule="auto"/>
        <w:rPr>
          <w:sz w:val="20"/>
          <w:szCs w:val="20"/>
          <w:color w:val="auto"/>
        </w:rPr>
      </w:pPr>
      <w:r>
        <w:rPr>
          <w:rFonts w:ascii="Times New Roman" w:cs="Times New Roman" w:eastAsia="Times New Roman" w:hAnsi="Times New Roman"/>
          <w:sz w:val="22"/>
          <w:szCs w:val="22"/>
          <w:color w:val="auto"/>
        </w:rPr>
        <w:t xml:space="preserve">Company (each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the Option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Exercise Price per Common Share specified above subject to the terms and conditions set forth</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herein and in the Plan. This Stock Option is not intended to be an “incentive stock option” under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Section 422 of the US Tax Code.</w:t>
      </w:r>
    </w:p>
    <w:p>
      <w:pPr>
        <w:spacing w:after="0" w:line="182" w:lineRule="exact"/>
        <w:rPr>
          <w:sz w:val="20"/>
          <w:szCs w:val="20"/>
          <w:color w:val="auto"/>
        </w:rPr>
      </w:pPr>
    </w:p>
    <w:p>
      <w:pPr>
        <w:ind w:left="300" w:right="379" w:firstLine="640"/>
        <w:spacing w:after="0" w:line="236"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with respect to the following number of Option Shares on the dates indicated so long as the Optionee maintains a continuous Service Relationship with the Company or any Affiliate thereof through and including such dates:</w:t>
      </w:r>
    </w:p>
    <w:p>
      <w:pPr>
        <w:spacing w:after="0" w:line="171" w:lineRule="exact"/>
        <w:rPr>
          <w:sz w:val="20"/>
          <w:szCs w:val="20"/>
          <w:color w:val="auto"/>
        </w:rPr>
      </w:pPr>
    </w:p>
    <w:tbl>
      <w:tblPr>
        <w:tblLayout w:type="fixed"/>
        <w:tblInd w:w="1840" w:type="dxa"/>
        <w:tblCellMar>
          <w:top w:w="0" w:type="dxa"/>
          <w:left w:w="0" w:type="dxa"/>
          <w:bottom w:w="0" w:type="dxa"/>
          <w:right w:w="0" w:type="dxa"/>
        </w:tblCellMar>
      </w:tblPr>
      <w:tr>
        <w:trPr>
          <w:trHeight w:val="253"/>
        </w:trPr>
        <w:tc>
          <w:tcPr>
            <w:tcW w:w="3260" w:type="dxa"/>
            <w:vAlign w:val="bottom"/>
            <w:gridSpan w:val="2"/>
          </w:tcPr>
          <w:p>
            <w:pPr>
              <w:jc w:val="center"/>
              <w:ind w:right="960"/>
              <w:spacing w:after="0"/>
              <w:rPr>
                <w:sz w:val="20"/>
                <w:szCs w:val="20"/>
                <w:color w:val="auto"/>
              </w:rPr>
            </w:pPr>
            <w:r>
              <w:rPr>
                <w:rFonts w:ascii="Times New Roman" w:cs="Times New Roman" w:eastAsia="Times New Roman" w:hAnsi="Times New Roman"/>
                <w:sz w:val="22"/>
                <w:szCs w:val="22"/>
                <w:color w:val="auto"/>
                <w:w w:val="97"/>
              </w:rPr>
              <w:t>Incremental Number of</w:t>
            </w:r>
          </w:p>
        </w:tc>
        <w:tc>
          <w:tcPr>
            <w:tcW w:w="2640" w:type="dxa"/>
            <w:vAlign w:val="bottom"/>
            <w:gridSpan w:val="2"/>
            <w:vMerge w:val="restart"/>
          </w:tcPr>
          <w:p>
            <w:pPr>
              <w:jc w:val="center"/>
              <w:ind w:left="872"/>
              <w:spacing w:after="0"/>
              <w:rPr>
                <w:sz w:val="20"/>
                <w:szCs w:val="20"/>
                <w:color w:val="auto"/>
              </w:rPr>
            </w:pPr>
            <w:r>
              <w:rPr>
                <w:rFonts w:ascii="Times New Roman" w:cs="Times New Roman" w:eastAsia="Times New Roman" w:hAnsi="Times New Roman"/>
                <w:sz w:val="22"/>
                <w:szCs w:val="22"/>
                <w:color w:val="auto"/>
                <w:w w:val="98"/>
              </w:rPr>
              <w:t>Exercisability Date</w:t>
            </w:r>
          </w:p>
        </w:tc>
        <w:tc>
          <w:tcPr>
            <w:tcW w:w="0" w:type="dxa"/>
            <w:vAlign w:val="bottom"/>
          </w:tcPr>
          <w:p>
            <w:pPr>
              <w:spacing w:after="0"/>
              <w:rPr>
                <w:sz w:val="1"/>
                <w:szCs w:val="1"/>
                <w:color w:val="auto"/>
              </w:rPr>
            </w:pPr>
          </w:p>
        </w:tc>
      </w:tr>
      <w:tr>
        <w:trPr>
          <w:trHeight w:val="108"/>
        </w:trPr>
        <w:tc>
          <w:tcPr>
            <w:tcW w:w="3260" w:type="dxa"/>
            <w:vAlign w:val="bottom"/>
            <w:gridSpan w:val="2"/>
            <w:vMerge w:val="restart"/>
          </w:tcPr>
          <w:p>
            <w:pPr>
              <w:jc w:val="center"/>
              <w:ind w:right="960"/>
              <w:spacing w:after="0" w:line="230" w:lineRule="exact"/>
              <w:rPr>
                <w:sz w:val="20"/>
                <w:szCs w:val="20"/>
                <w:color w:val="auto"/>
              </w:rPr>
            </w:pPr>
            <w:r>
              <w:rPr>
                <w:rFonts w:ascii="Times New Roman" w:cs="Times New Roman" w:eastAsia="Times New Roman" w:hAnsi="Times New Roman"/>
                <w:sz w:val="22"/>
                <w:szCs w:val="22"/>
                <w:color w:val="auto"/>
                <w:w w:val="98"/>
              </w:rPr>
              <w:t>Option Shares Exercisable</w:t>
            </w:r>
          </w:p>
        </w:tc>
        <w:tc>
          <w:tcPr>
            <w:tcW w:w="2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2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52"/>
        </w:trPr>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960" w:type="dxa"/>
            <w:vAlign w:val="bottom"/>
          </w:tcPr>
          <w:p>
            <w:pPr>
              <w:spacing w:after="0"/>
              <w:rPr>
                <w:sz w:val="24"/>
                <w:szCs w:val="24"/>
                <w:color w:val="auto"/>
              </w:rPr>
            </w:pPr>
          </w:p>
        </w:tc>
        <w:tc>
          <w:tcPr>
            <w:tcW w:w="2640" w:type="dxa"/>
            <w:vAlign w:val="bottom"/>
            <w:gridSpan w:val="2"/>
          </w:tcPr>
          <w:p>
            <w:pPr>
              <w:jc w:val="center"/>
              <w:ind w:left="872"/>
              <w:spacing w:after="0"/>
              <w:rPr>
                <w:sz w:val="20"/>
                <w:szCs w:val="20"/>
                <w:color w:val="auto"/>
              </w:rPr>
            </w:pPr>
            <w:r>
              <w:rPr>
                <w:rFonts w:ascii="Times New Roman" w:cs="Times New Roman" w:eastAsia="Times New Roman" w:hAnsi="Times New Roman"/>
                <w:sz w:val="22"/>
                <w:szCs w:val="22"/>
                <w:color w:val="auto"/>
                <w:w w:val="98"/>
              </w:rPr>
              <w:t>____________</w:t>
            </w:r>
          </w:p>
        </w:tc>
        <w:tc>
          <w:tcPr>
            <w:tcW w:w="0" w:type="dxa"/>
            <w:vAlign w:val="bottom"/>
          </w:tcPr>
          <w:p>
            <w:pPr>
              <w:spacing w:after="0"/>
              <w:rPr>
                <w:sz w:val="1"/>
                <w:szCs w:val="1"/>
                <w:color w:val="auto"/>
              </w:rPr>
            </w:pPr>
          </w:p>
        </w:tc>
      </w:tr>
      <w:tr>
        <w:trPr>
          <w:trHeight w:val="243"/>
        </w:trPr>
        <w:tc>
          <w:tcPr>
            <w:tcW w:w="2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960" w:type="dxa"/>
            <w:vAlign w:val="bottom"/>
          </w:tcPr>
          <w:p>
            <w:pPr>
              <w:spacing w:after="0"/>
              <w:rPr>
                <w:sz w:val="21"/>
                <w:szCs w:val="21"/>
                <w:color w:val="auto"/>
              </w:rPr>
            </w:pPr>
          </w:p>
        </w:tc>
        <w:tc>
          <w:tcPr>
            <w:tcW w:w="2640" w:type="dxa"/>
            <w:vAlign w:val="bottom"/>
            <w:gridSpan w:val="2"/>
          </w:tcPr>
          <w:p>
            <w:pPr>
              <w:jc w:val="center"/>
              <w:ind w:left="872"/>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c>
          <w:tcPr>
            <w:tcW w:w="0" w:type="dxa"/>
            <w:vAlign w:val="bottom"/>
          </w:tcPr>
          <w:p>
            <w:pPr>
              <w:spacing w:after="0"/>
              <w:rPr>
                <w:sz w:val="1"/>
                <w:szCs w:val="1"/>
                <w:color w:val="auto"/>
              </w:rPr>
            </w:pPr>
          </w:p>
        </w:tc>
      </w:tr>
      <w:tr>
        <w:trPr>
          <w:trHeight w:val="243"/>
        </w:trPr>
        <w:tc>
          <w:tcPr>
            <w:tcW w:w="2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960" w:type="dxa"/>
            <w:vAlign w:val="bottom"/>
          </w:tcPr>
          <w:p>
            <w:pPr>
              <w:spacing w:after="0"/>
              <w:rPr>
                <w:sz w:val="21"/>
                <w:szCs w:val="21"/>
                <w:color w:val="auto"/>
              </w:rPr>
            </w:pPr>
          </w:p>
        </w:tc>
        <w:tc>
          <w:tcPr>
            <w:tcW w:w="2640" w:type="dxa"/>
            <w:vAlign w:val="bottom"/>
            <w:gridSpan w:val="2"/>
          </w:tcPr>
          <w:p>
            <w:pPr>
              <w:jc w:val="center"/>
              <w:ind w:left="872"/>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c>
          <w:tcPr>
            <w:tcW w:w="0" w:type="dxa"/>
            <w:vAlign w:val="bottom"/>
          </w:tcPr>
          <w:p>
            <w:pPr>
              <w:spacing w:after="0"/>
              <w:rPr>
                <w:sz w:val="1"/>
                <w:szCs w:val="1"/>
                <w:color w:val="auto"/>
              </w:rPr>
            </w:pPr>
          </w:p>
        </w:tc>
      </w:tr>
      <w:tr>
        <w:trPr>
          <w:trHeight w:val="243"/>
        </w:trPr>
        <w:tc>
          <w:tcPr>
            <w:tcW w:w="2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960" w:type="dxa"/>
            <w:vAlign w:val="bottom"/>
          </w:tcPr>
          <w:p>
            <w:pPr>
              <w:spacing w:after="0"/>
              <w:rPr>
                <w:sz w:val="21"/>
                <w:szCs w:val="21"/>
                <w:color w:val="auto"/>
              </w:rPr>
            </w:pPr>
          </w:p>
        </w:tc>
        <w:tc>
          <w:tcPr>
            <w:tcW w:w="2640" w:type="dxa"/>
            <w:vAlign w:val="bottom"/>
            <w:gridSpan w:val="2"/>
          </w:tcPr>
          <w:p>
            <w:pPr>
              <w:jc w:val="center"/>
              <w:ind w:left="872"/>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c>
          <w:tcPr>
            <w:tcW w:w="0" w:type="dxa"/>
            <w:vAlign w:val="bottom"/>
          </w:tcPr>
          <w:p>
            <w:pPr>
              <w:spacing w:after="0"/>
              <w:rPr>
                <w:sz w:val="1"/>
                <w:szCs w:val="1"/>
                <w:color w:val="auto"/>
              </w:rPr>
            </w:pPr>
          </w:p>
        </w:tc>
      </w:tr>
      <w:tr>
        <w:trPr>
          <w:trHeight w:val="282"/>
        </w:trPr>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960" w:type="dxa"/>
            <w:vAlign w:val="bottom"/>
          </w:tcPr>
          <w:p>
            <w:pPr>
              <w:spacing w:after="0"/>
              <w:rPr>
                <w:sz w:val="24"/>
                <w:szCs w:val="24"/>
                <w:color w:val="auto"/>
              </w:rPr>
            </w:pPr>
          </w:p>
        </w:tc>
        <w:tc>
          <w:tcPr>
            <w:tcW w:w="2640" w:type="dxa"/>
            <w:vAlign w:val="bottom"/>
            <w:gridSpan w:val="2"/>
          </w:tcPr>
          <w:p>
            <w:pPr>
              <w:jc w:val="center"/>
              <w:ind w:left="872"/>
              <w:spacing w:after="0"/>
              <w:rPr>
                <w:sz w:val="20"/>
                <w:szCs w:val="20"/>
                <w:color w:val="auto"/>
              </w:rPr>
            </w:pPr>
            <w:r>
              <w:rPr>
                <w:rFonts w:ascii="Times New Roman" w:cs="Times New Roman" w:eastAsia="Times New Roman" w:hAnsi="Times New Roman"/>
                <w:sz w:val="22"/>
                <w:szCs w:val="22"/>
                <w:color w:val="auto"/>
                <w:w w:val="98"/>
              </w:rPr>
              <w:t>____________</w:t>
            </w:r>
          </w:p>
        </w:tc>
        <w:tc>
          <w:tcPr>
            <w:tcW w:w="0" w:type="dxa"/>
            <w:vAlign w:val="bottom"/>
          </w:tcPr>
          <w:p>
            <w:pPr>
              <w:spacing w:after="0"/>
              <w:rPr>
                <w:sz w:val="1"/>
                <w:szCs w:val="1"/>
                <w:color w:val="auto"/>
              </w:rPr>
            </w:pPr>
          </w:p>
        </w:tc>
      </w:tr>
    </w:tbl>
    <w:p>
      <w:pPr>
        <w:spacing w:after="0" w:line="393" w:lineRule="exact"/>
        <w:rPr>
          <w:sz w:val="20"/>
          <w:szCs w:val="20"/>
          <w:color w:val="auto"/>
        </w:rPr>
      </w:pPr>
    </w:p>
    <w:p>
      <w:pPr>
        <w:jc w:val="both"/>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1006475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66" w:name="page67"/>
    <w:bookmarkEnd w:id="66"/>
    <w:p>
      <w:pPr>
        <w:ind w:left="1180" w:hanging="240"/>
        <w:spacing w:after="0"/>
        <w:tabs>
          <w:tab w:leader="none" w:pos="11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0" w:right="399" w:firstLine="1288"/>
        <w:spacing w:after="0" w:line="238" w:lineRule="auto"/>
        <w:tabs>
          <w:tab w:leader="none" w:pos="206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7" w:lineRule="exact"/>
        <w:rPr>
          <w:sz w:val="20"/>
          <w:szCs w:val="20"/>
          <w:color w:val="auto"/>
        </w:rPr>
      </w:pPr>
    </w:p>
    <w:p>
      <w:pPr>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through the delivery (or attestation to the ownership) of Common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0" w:lineRule="exact"/>
        <w:rPr>
          <w:sz w:val="20"/>
          <w:szCs w:val="20"/>
          <w:color w:val="auto"/>
        </w:rPr>
      </w:pPr>
    </w:p>
    <w:p>
      <w:pPr>
        <w:ind w:left="300" w:right="339" w:firstLine="648"/>
        <w:spacing w:after="0" w:line="247"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w:t>
      </w:r>
    </w:p>
    <w:p>
      <w:pPr>
        <w:spacing w:after="0" w:line="2" w:lineRule="exact"/>
        <w:rPr>
          <w:sz w:val="20"/>
          <w:szCs w:val="20"/>
          <w:color w:val="auto"/>
        </w:rPr>
      </w:pPr>
    </w:p>
    <w:p>
      <w:pPr>
        <w:ind w:left="300" w:right="319" w:hanging="8"/>
        <w:spacing w:after="0" w:line="232" w:lineRule="auto"/>
        <w:tabs>
          <w:tab w:leader="none" w:pos="67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Common Shares to be purchased pursuant to the exercise of Stock Options under the Plan and any subsequent resale of the Common Shares will be in compliance with applicable laws and regulations. In the event the Optionee chooses to pay the purchase price by previously-owned Common Shares through the attestation method, the number of Common Shares transferred to the Optionee upon the exercise of the Stock Option shall be net of the Common Shares attested to.</w:t>
      </w:r>
    </w:p>
    <w:p>
      <w:pPr>
        <w:spacing w:after="0" w:line="181" w:lineRule="exact"/>
        <w:rPr>
          <w:rFonts w:ascii="Times New Roman" w:cs="Times New Roman" w:eastAsia="Times New Roman" w:hAnsi="Times New Roman"/>
          <w:sz w:val="22"/>
          <w:szCs w:val="22"/>
          <w:color w:val="auto"/>
        </w:rPr>
      </w:pPr>
    </w:p>
    <w:p>
      <w:pPr>
        <w:ind w:left="300" w:right="319" w:firstLine="1288"/>
        <w:spacing w:after="0" w:line="245" w:lineRule="auto"/>
        <w:tabs>
          <w:tab w:leader="none" w:pos="206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Common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Common Shares subject to this Stock Option unless and until this Stock Option shall have been exercised pursuant to the terms hereof, the Company or the transfer agent shall have transferred the shares to the Optionee, and the Optionee’s name shall have been entered as the shareholder of record on the books of the Company. Thereupon, the Optionee shall have full voting, dividend and other ownership rights with respect to such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1009015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7" w:name="page68"/>
    <w:bookmarkEnd w:id="67"/>
    <w:p>
      <w:pPr>
        <w:ind w:left="300" w:right="359" w:firstLine="1288"/>
        <w:spacing w:after="0" w:line="258" w:lineRule="auto"/>
        <w:tabs>
          <w:tab w:leader="none" w:pos="2062"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8" w:lineRule="exact"/>
        <w:rPr>
          <w:rFonts w:ascii="Times New Roman" w:cs="Times New Roman" w:eastAsia="Times New Roman" w:hAnsi="Times New Roman"/>
          <w:sz w:val="22"/>
          <w:szCs w:val="22"/>
          <w:color w:val="auto"/>
        </w:rPr>
      </w:pPr>
    </w:p>
    <w:p>
      <w:pPr>
        <w:ind w:left="300" w:right="519" w:firstLine="640"/>
        <w:spacing w:after="0" w:line="244" w:lineRule="auto"/>
        <w:tabs>
          <w:tab w:leader="none" w:pos="118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Service Relationship with the Company or any Affiliate thereof is terminated, the period within which to exercise the Stock Option may be subject to earlier termination as set forth below.</w:t>
      </w:r>
    </w:p>
    <w:p>
      <w:pPr>
        <w:spacing w:after="0" w:line="173" w:lineRule="exact"/>
        <w:rPr>
          <w:rFonts w:ascii="Times New Roman" w:cs="Times New Roman" w:eastAsia="Times New Roman" w:hAnsi="Times New Roman"/>
          <w:sz w:val="22"/>
          <w:szCs w:val="22"/>
          <w:color w:val="auto"/>
        </w:rPr>
      </w:pPr>
    </w:p>
    <w:p>
      <w:pPr>
        <w:jc w:val="both"/>
        <w:ind w:left="300" w:right="519" w:firstLine="1288"/>
        <w:spacing w:after="0" w:line="247" w:lineRule="auto"/>
        <w:tabs>
          <w:tab w:leader="none" w:pos="2062"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If the Optionee’s Service Relationship with the Company or any Affiliate thereof terminates by reason of the Optionee’s death, any portion of this Stock Option outstanding on such date, to the extent exercisable on the date of death, may thereafter be exercised by the Optionee’s legal representative or legatee for a period of twelve</w:t>
      </w:r>
    </w:p>
    <w:p>
      <w:pPr>
        <w:spacing w:after="0" w:line="1" w:lineRule="exact"/>
        <w:rPr>
          <w:rFonts w:ascii="Times New Roman" w:cs="Times New Roman" w:eastAsia="Times New Roman" w:hAnsi="Times New Roman"/>
          <w:sz w:val="21"/>
          <w:szCs w:val="21"/>
          <w:color w:val="auto"/>
        </w:rPr>
      </w:pPr>
    </w:p>
    <w:p>
      <w:pPr>
        <w:ind w:left="300" w:right="559" w:hanging="8"/>
        <w:spacing w:after="0" w:line="235" w:lineRule="auto"/>
        <w:tabs>
          <w:tab w:leader="none" w:pos="71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death or until the Expiration Date, if earlier. Any portion of this Stock Option that is not exercisable on the date of death shall terminate immediately and be of no further force or effect.</w:t>
      </w:r>
    </w:p>
    <w:p>
      <w:pPr>
        <w:spacing w:after="0" w:line="177" w:lineRule="exact"/>
        <w:rPr>
          <w:rFonts w:ascii="Times New Roman" w:cs="Times New Roman" w:eastAsia="Times New Roman" w:hAnsi="Times New Roman"/>
          <w:sz w:val="22"/>
          <w:szCs w:val="22"/>
          <w:color w:val="auto"/>
        </w:rPr>
      </w:pPr>
    </w:p>
    <w:p>
      <w:pPr>
        <w:ind w:left="300" w:right="459" w:firstLine="1288"/>
        <w:spacing w:after="0" w:line="235" w:lineRule="auto"/>
        <w:tabs>
          <w:tab w:leader="none" w:pos="206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with the Company or any Affiliate thereof terminates by reason of the Optionee’s disability (as determined by the Administrator), any portion of this Stock Option outstanding on such date, to the extent exercisable on the date of such termination of such Service Relationship, may thereafter be exercised by the Optionee for a period of twelve (12) months from the date of disability or until the Expiration Date, if earlier. Any portion of this Stock Option that is not exercisable on the date of disability shall terminate immediately and be of no further force or effect.</w:t>
      </w:r>
    </w:p>
    <w:p>
      <w:pPr>
        <w:spacing w:after="0" w:line="178" w:lineRule="exact"/>
        <w:rPr>
          <w:rFonts w:ascii="Times New Roman" w:cs="Times New Roman" w:eastAsia="Times New Roman" w:hAnsi="Times New Roman"/>
          <w:sz w:val="22"/>
          <w:szCs w:val="22"/>
          <w:color w:val="auto"/>
        </w:rPr>
      </w:pPr>
    </w:p>
    <w:p>
      <w:pPr>
        <w:ind w:left="300" w:right="839" w:firstLine="1288"/>
        <w:spacing w:after="0" w:line="261" w:lineRule="auto"/>
        <w:tabs>
          <w:tab w:leader="none" w:pos="2062"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Optionee’s Service Relationship with the Company or any Affiliate thereof terminates for Cause, any portion of this Stock Option outstanding on such date shall terminate immediately and be of no further force and effect.</w:t>
      </w:r>
    </w:p>
    <w:p>
      <w:pPr>
        <w:spacing w:after="0" w:line="157" w:lineRule="exact"/>
        <w:rPr>
          <w:rFonts w:ascii="Times New Roman" w:cs="Times New Roman" w:eastAsia="Times New Roman" w:hAnsi="Times New Roman"/>
          <w:sz w:val="21"/>
          <w:szCs w:val="21"/>
          <w:color w:val="auto"/>
        </w:rPr>
      </w:pPr>
    </w:p>
    <w:p>
      <w:pPr>
        <w:ind w:left="300" w:right="359" w:firstLine="1288"/>
        <w:spacing w:after="0" w:line="248" w:lineRule="auto"/>
        <w:tabs>
          <w:tab w:leader="none" w:pos="2062"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Optionee’s Service Relationship with the Company or any Affiliate thereof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spacing w:after="0" w:line="170" w:lineRule="exact"/>
        <w:rPr>
          <w:sz w:val="20"/>
          <w:szCs w:val="20"/>
          <w:color w:val="auto"/>
        </w:rPr>
      </w:pPr>
    </w:p>
    <w:p>
      <w:pPr>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Service Relationship with the Company or any Affiliate thereof shall be conclusive and binding on the Optionee and his or her representatives or legatees. Notwithstanding the foregoing and subject to applicable law, if the Optionee’s Service Relationship is terminated for Cause by the Company or any Affiliate thereof or the Optionee violates any continuing obligation or other post-employment or post-termination obligation Optionee may owe to the Company or any Affiliate thereof, the Company, in the Administrator’s sole discretion, may cause the forfeiture or cancellation of any Award granted to Optionee, whether now existing or hereafter formed, and regardless of the form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1012825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8" w:name="page69"/>
    <w:bookmarkEnd w:id="68"/>
    <w:p>
      <w:pPr>
        <w:ind w:left="300" w:right="359" w:firstLine="640"/>
        <w:spacing w:after="0" w:line="238"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6" w:lineRule="exact"/>
        <w:rPr>
          <w:rFonts w:ascii="Times New Roman" w:cs="Times New Roman" w:eastAsia="Times New Roman" w:hAnsi="Times New Roman"/>
          <w:sz w:val="22"/>
          <w:szCs w:val="22"/>
          <w:color w:val="auto"/>
        </w:rPr>
      </w:pPr>
    </w:p>
    <w:p>
      <w:pPr>
        <w:ind w:left="300" w:right="319" w:firstLine="640"/>
        <w:spacing w:after="0" w:line="238"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12(b) of the Plan,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6" w:lineRule="exact"/>
        <w:rPr>
          <w:rFonts w:ascii="Times New Roman" w:cs="Times New Roman" w:eastAsia="Times New Roman" w:hAnsi="Times New Roman"/>
          <w:sz w:val="22"/>
          <w:szCs w:val="22"/>
          <w:color w:val="auto"/>
        </w:rPr>
      </w:pPr>
    </w:p>
    <w:p>
      <w:pPr>
        <w:ind w:left="300" w:right="319" w:firstLine="640"/>
        <w:spacing w:after="0" w:line="235"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Common Shares to be issued to the Optionee a number of Common Shares with an aggregate Fair Market Value that would satisfy the withholding amount due.</w:t>
      </w:r>
    </w:p>
    <w:p>
      <w:pPr>
        <w:spacing w:after="0" w:line="178" w:lineRule="exact"/>
        <w:rPr>
          <w:rFonts w:ascii="Times New Roman" w:cs="Times New Roman" w:eastAsia="Times New Roman" w:hAnsi="Times New Roman"/>
          <w:sz w:val="22"/>
          <w:szCs w:val="22"/>
          <w:color w:val="auto"/>
        </w:rPr>
      </w:pPr>
    </w:p>
    <w:p>
      <w:pPr>
        <w:ind w:left="300" w:right="359" w:firstLine="640"/>
        <w:spacing w:after="0" w:line="238"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Company nor any Affiliate thereof is obligated by or as a result of the Plan or this Agreement to maintain a Service Relationship with Optionee, and neither the Plan nor this Agreement shall interfere in any way with the right of the Company or any Affiliate thereof to terminate any Service Relationship of the Optionee at any time.</w:t>
      </w:r>
    </w:p>
    <w:p>
      <w:pPr>
        <w:spacing w:after="0" w:line="176" w:lineRule="exact"/>
        <w:rPr>
          <w:rFonts w:ascii="Times New Roman" w:cs="Times New Roman" w:eastAsia="Times New Roman" w:hAnsi="Times New Roman"/>
          <w:sz w:val="22"/>
          <w:szCs w:val="22"/>
          <w:color w:val="auto"/>
        </w:rPr>
      </w:pPr>
    </w:p>
    <w:p>
      <w:pPr>
        <w:ind w:left="300" w:right="439" w:firstLine="640"/>
        <w:spacing w:after="0" w:line="244"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300" w:right="479" w:firstLine="640"/>
        <w:spacing w:after="0" w:line="233"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2"/>
          <w:szCs w:val="22"/>
          <w:b w:val="1"/>
          <w:bCs w:val="1"/>
          <w:color w:val="auto"/>
        </w:rPr>
        <w:t>Relevant Companies</w:t>
      </w:r>
      <w:r>
        <w:rPr>
          <w:rFonts w:ascii="Times New Roman" w:cs="Times New Roman" w:eastAsia="Times New Roman" w:hAnsi="Times New Roman"/>
          <w:sz w:val="22"/>
          <w:szCs w:val="22"/>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b w:val="1"/>
          <w:bCs w:val="1"/>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By entering into this Agreement, the Optionee (i) authorizes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9" w:name="page70"/>
    <w:bookmarkEnd w:id="69"/>
    <w:p>
      <w:pPr>
        <w:jc w:val="both"/>
        <w:ind w:left="300" w:right="359"/>
        <w:spacing w:after="0" w:line="244" w:lineRule="auto"/>
        <w:rPr>
          <w:sz w:val="20"/>
          <w:szCs w:val="20"/>
          <w:color w:val="auto"/>
        </w:rPr>
      </w:pPr>
      <w:r>
        <w:rPr>
          <w:rFonts w:ascii="Times New Roman" w:cs="Times New Roman" w:eastAsia="Times New Roman" w:hAnsi="Times New Roman"/>
          <w:sz w:val="22"/>
          <w:szCs w:val="22"/>
          <w:color w:val="auto"/>
        </w:rPr>
        <w:t>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sz w:val="20"/>
          <w:szCs w:val="20"/>
          <w:color w:val="auto"/>
        </w:rPr>
      </w:pPr>
    </w:p>
    <w:p>
      <w:pPr>
        <w:ind w:left="300" w:right="339" w:firstLine="648"/>
        <w:spacing w:after="0" w:line="232"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Clawback Acknowledgement</w:t>
      </w:r>
      <w:r>
        <w:rPr>
          <w:rFonts w:ascii="Times New Roman" w:cs="Times New Roman" w:eastAsia="Times New Roman" w:hAnsi="Times New Roman"/>
          <w:sz w:val="22"/>
          <w:szCs w:val="22"/>
          <w:color w:val="auto"/>
        </w:rPr>
        <w:t xml:space="preserve">. The Optionee acknowledges that the Optionee may become subject to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(to the extent applicable and as defined in any agreement between the Optionee and the Company or an Affiliate of the Company) or serve as a basis for a claim of constructive termination under any benefits or compensation arrangement applicable to the Optionee, or (ii) to constitute a breach of a contract or other arrangement to which the Optionee is a party.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is a material term of this Agreement.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1303655</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0" w:name="page71"/>
    <w:bookmarkEnd w:id="70"/>
    <w:p>
      <w:pPr>
        <w:ind w:left="450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-13970</wp:posOffset>
            </wp:positionV>
            <wp:extent cx="274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274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-13970</wp:posOffset>
            </wp:positionV>
            <wp:extent cx="274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1901190</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276860</wp:posOffset>
            </wp:positionV>
            <wp:extent cx="274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568325</wp:posOffset>
            </wp:positionV>
            <wp:extent cx="274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859790</wp:posOffset>
            </wp:positionV>
            <wp:extent cx="274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1" w:name="page72"/>
    <w:bookmarkEnd w:id="71"/>
    <w:p>
      <w:pPr>
        <w:ind w:left="8760"/>
        <w:spacing w:after="0"/>
        <w:rPr>
          <w:sz w:val="20"/>
          <w:szCs w:val="20"/>
          <w:color w:val="auto"/>
        </w:rPr>
      </w:pPr>
      <w:r>
        <w:rPr>
          <w:rFonts w:ascii="Times New Roman" w:cs="Times New Roman" w:eastAsia="Times New Roman" w:hAnsi="Times New Roman"/>
          <w:sz w:val="20"/>
          <w:szCs w:val="20"/>
          <w:color w:val="auto"/>
        </w:rPr>
        <w:t>Exhibit 10.4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NON-QUALIFIED STOCK OPTION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NON-EMPLOYEE DIRECTORS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CRISPR THERAPEUTICS AG</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STOCK OPTION AND INCENTIVE PLAN</w:t>
      </w:r>
    </w:p>
    <w:p>
      <w:pPr>
        <w:spacing w:after="0" w:line="200" w:lineRule="exact"/>
        <w:rPr>
          <w:sz w:val="20"/>
          <w:szCs w:val="20"/>
          <w:color w:val="auto"/>
        </w:rPr>
      </w:pPr>
    </w:p>
    <w:p>
      <w:pPr>
        <w:spacing w:after="0" w:line="2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6" w:lineRule="exact"/>
        <w:rPr>
          <w:sz w:val="20"/>
          <w:szCs w:val="20"/>
          <w:color w:val="auto"/>
        </w:rPr>
      </w:pPr>
    </w:p>
    <w:p>
      <w:pPr>
        <w:ind w:left="1400"/>
        <w:spacing w:after="0"/>
        <w:tabs>
          <w:tab w:leader="none" w:pos="5600" w:val="left"/>
        </w:tabs>
        <w:rPr>
          <w:sz w:val="20"/>
          <w:szCs w:val="20"/>
          <w:color w:val="auto"/>
        </w:rPr>
      </w:pPr>
      <w:r>
        <w:rPr>
          <w:rFonts w:ascii="Times New Roman" w:cs="Times New Roman" w:eastAsia="Times New Roman" w:hAnsi="Times New Roman"/>
          <w:sz w:val="22"/>
          <w:szCs w:val="22"/>
          <w:color w:val="auto"/>
        </w:rPr>
        <w:t>Option Exercise Price per Common Share:</w:t>
      </w:r>
      <w:r>
        <w:rPr>
          <w:sz w:val="20"/>
          <w:szCs w:val="20"/>
          <w:color w:val="auto"/>
        </w:rPr>
        <w:tab/>
      </w:r>
      <w:r>
        <w:rPr>
          <w:rFonts w:ascii="Times New Roman" w:cs="Times New Roman" w:eastAsia="Times New Roman" w:hAnsi="Times New Roman"/>
          <w:sz w:val="19"/>
          <w:szCs w:val="19"/>
          <w:u w:val="single" w:color="auto"/>
          <w:color w:val="auto"/>
        </w:rPr>
        <w:t>$</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Grant Date:</w:t>
      </w:r>
    </w:p>
    <w:p>
      <w:pPr>
        <w:spacing w:after="0" w:line="2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Pursuant to the CRISPR Therapeutics AG 2026 Stock Option and Incentive Plan as</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amended and in effect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CRISPR Therapeutics AG (the</w:t>
      </w:r>
    </w:p>
    <w:p>
      <w:pPr>
        <w:ind w:left="132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Optionee named above, who is a member of the Board of the</w:t>
      </w:r>
    </w:p>
    <w:p>
      <w:pPr>
        <w:ind w:left="1320"/>
        <w:spacing w:after="0" w:line="231" w:lineRule="auto"/>
        <w:rPr>
          <w:sz w:val="20"/>
          <w:szCs w:val="20"/>
          <w:color w:val="auto"/>
        </w:rPr>
      </w:pPr>
      <w:r>
        <w:rPr>
          <w:rFonts w:ascii="Times New Roman" w:cs="Times New Roman" w:eastAsia="Times New Roman" w:hAnsi="Times New Roman"/>
          <w:sz w:val="22"/>
          <w:szCs w:val="22"/>
          <w:color w:val="auto"/>
        </w:rPr>
        <w:t>Company but is not an employee of the Company, an option (the “</w:t>
      </w:r>
      <w:r>
        <w:rPr>
          <w:rFonts w:ascii="Times New Roman" w:cs="Times New Roman" w:eastAsia="Times New Roman" w:hAnsi="Times New Roman"/>
          <w:sz w:val="22"/>
          <w:szCs w:val="22"/>
          <w:b w:val="1"/>
          <w:bCs w:val="1"/>
          <w:color w:val="auto"/>
        </w:rPr>
        <w:t>Stock Option</w:t>
      </w:r>
      <w:r>
        <w:rPr>
          <w:rFonts w:ascii="Times New Roman" w:cs="Times New Roman" w:eastAsia="Times New Roman" w:hAnsi="Times New Roman"/>
          <w:sz w:val="22"/>
          <w:szCs w:val="22"/>
          <w:color w:val="auto"/>
        </w:rPr>
        <w:t>”) to purchase</w:t>
      </w:r>
    </w:p>
    <w:p>
      <w:pPr>
        <w:ind w:left="1320"/>
        <w:spacing w:after="0" w:line="230" w:lineRule="auto"/>
        <w:rPr>
          <w:sz w:val="20"/>
          <w:szCs w:val="20"/>
          <w:color w:val="auto"/>
        </w:rPr>
      </w:pPr>
      <w:r>
        <w:rPr>
          <w:rFonts w:ascii="Times New Roman" w:cs="Times New Roman" w:eastAsia="Times New Roman" w:hAnsi="Times New Roman"/>
          <w:sz w:val="22"/>
          <w:szCs w:val="22"/>
          <w:color w:val="auto"/>
        </w:rPr>
        <w:t>on or prior to the Expiration Date specified above all or part of the number of common shares</w:t>
      </w:r>
    </w:p>
    <w:p>
      <w:pPr>
        <w:ind w:left="1320"/>
        <w:spacing w:after="0" w:line="231" w:lineRule="auto"/>
        <w:rPr>
          <w:sz w:val="20"/>
          <w:szCs w:val="20"/>
          <w:color w:val="auto"/>
        </w:rPr>
      </w:pPr>
      <w:r>
        <w:rPr>
          <w:rFonts w:ascii="Times New Roman" w:cs="Times New Roman" w:eastAsia="Times New Roman" w:hAnsi="Times New Roman"/>
          <w:sz w:val="22"/>
          <w:szCs w:val="22"/>
          <w:color w:val="auto"/>
        </w:rPr>
        <w:t>specified above (the “</w:t>
      </w:r>
      <w:r>
        <w:rPr>
          <w:rFonts w:ascii="Times New Roman" w:cs="Times New Roman" w:eastAsia="Times New Roman" w:hAnsi="Times New Roman"/>
          <w:sz w:val="22"/>
          <w:szCs w:val="22"/>
          <w:b w:val="1"/>
          <w:bCs w:val="1"/>
          <w:color w:val="auto"/>
        </w:rPr>
        <w:t>Option Shares</w:t>
      </w:r>
      <w:r>
        <w:rPr>
          <w:rFonts w:ascii="Times New Roman" w:cs="Times New Roman" w:eastAsia="Times New Roman" w:hAnsi="Times New Roman"/>
          <w:sz w:val="22"/>
          <w:szCs w:val="22"/>
          <w:color w:val="auto"/>
        </w:rPr>
        <w:t>”), nominal value CHF 0.03 per share of the Company</w:t>
      </w:r>
    </w:p>
    <w:p>
      <w:pPr>
        <w:ind w:left="1320"/>
        <w:spacing w:after="0" w:line="230" w:lineRule="auto"/>
        <w:rPr>
          <w:sz w:val="20"/>
          <w:szCs w:val="20"/>
          <w:color w:val="auto"/>
        </w:rPr>
      </w:pPr>
      <w:r>
        <w:rPr>
          <w:rFonts w:ascii="Times New Roman" w:cs="Times New Roman" w:eastAsia="Times New Roman" w:hAnsi="Times New Roman"/>
          <w:sz w:val="22"/>
          <w:szCs w:val="22"/>
          <w:color w:val="auto"/>
        </w:rPr>
        <w:t xml:space="preserve">(each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the Option Exercise</w:t>
      </w:r>
    </w:p>
    <w:p>
      <w:pPr>
        <w:ind w:left="1320"/>
        <w:spacing w:after="0" w:line="231" w:lineRule="auto"/>
        <w:rPr>
          <w:sz w:val="20"/>
          <w:szCs w:val="20"/>
          <w:color w:val="auto"/>
        </w:rPr>
      </w:pPr>
      <w:r>
        <w:rPr>
          <w:rFonts w:ascii="Times New Roman" w:cs="Times New Roman" w:eastAsia="Times New Roman" w:hAnsi="Times New Roman"/>
          <w:sz w:val="22"/>
          <w:szCs w:val="22"/>
          <w:color w:val="auto"/>
        </w:rPr>
        <w:t>Price per Common Share specified above subject to the terms and conditions set forth herein and</w:t>
      </w:r>
    </w:p>
    <w:p>
      <w:pPr>
        <w:ind w:left="1320"/>
        <w:spacing w:after="0" w:line="230" w:lineRule="auto"/>
        <w:rPr>
          <w:sz w:val="20"/>
          <w:szCs w:val="20"/>
          <w:color w:val="auto"/>
        </w:rPr>
      </w:pPr>
      <w:r>
        <w:rPr>
          <w:rFonts w:ascii="Times New Roman" w:cs="Times New Roman" w:eastAsia="Times New Roman" w:hAnsi="Times New Roman"/>
          <w:sz w:val="22"/>
          <w:szCs w:val="22"/>
          <w:color w:val="auto"/>
        </w:rPr>
        <w:t>in the Plan. This Stock Option is not intended to be an “incentive stock option” under Section</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422 of the US Tax Code.</w:t>
      </w:r>
    </w:p>
    <w:p>
      <w:pPr>
        <w:spacing w:after="0" w:line="182" w:lineRule="exact"/>
        <w:rPr>
          <w:sz w:val="20"/>
          <w:szCs w:val="20"/>
          <w:color w:val="auto"/>
        </w:rPr>
      </w:pPr>
    </w:p>
    <w:p>
      <w:pPr>
        <w:ind w:left="1320" w:right="1380" w:firstLine="640"/>
        <w:spacing w:after="0" w:line="236" w:lineRule="auto"/>
        <w:tabs>
          <w:tab w:leader="none" w:pos="220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with respect to the following number of Option Shares on the dates indicated so long as the Optionee maintains a continuous Service Relationship with the Company or any Affiliate thereof through and including such dates: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Pr>
          <w:p>
            <w:pPr>
              <w:spacing w:after="0"/>
              <w:rPr>
                <w:sz w:val="21"/>
                <w:szCs w:val="21"/>
                <w:color w:val="auto"/>
              </w:rPr>
            </w:pPr>
          </w:p>
        </w:tc>
        <w:tc>
          <w:tcPr>
            <w:tcW w:w="3800" w:type="dxa"/>
            <w:vAlign w:val="bottom"/>
            <w:gridSpan w:val="2"/>
          </w:tcPr>
          <w:p>
            <w:pPr>
              <w:jc w:val="center"/>
              <w:ind w:right="1520"/>
              <w:spacing w:after="0"/>
              <w:rPr>
                <w:sz w:val="20"/>
                <w:szCs w:val="20"/>
                <w:color w:val="auto"/>
              </w:rPr>
            </w:pPr>
            <w:r>
              <w:rPr>
                <w:rFonts w:ascii="Times New Roman" w:cs="Times New Roman" w:eastAsia="Times New Roman" w:hAnsi="Times New Roman"/>
                <w:sz w:val="22"/>
                <w:szCs w:val="22"/>
                <w:color w:val="auto"/>
                <w:w w:val="98"/>
              </w:rPr>
              <w:t>Incremental Number of</w:t>
            </w:r>
          </w:p>
        </w:tc>
        <w:tc>
          <w:tcPr>
            <w:tcW w:w="166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30"/>
        </w:trPr>
        <w:tc>
          <w:tcPr>
            <w:tcW w:w="6760" w:type="dxa"/>
            <w:vAlign w:val="bottom"/>
            <w:gridSpan w:val="3"/>
          </w:tcPr>
          <w:p>
            <w:pPr>
              <w:jc w:val="center"/>
              <w:ind w:left="1332"/>
              <w:spacing w:after="0" w:line="230" w:lineRule="exact"/>
              <w:rPr>
                <w:sz w:val="20"/>
                <w:szCs w:val="20"/>
                <w:color w:val="auto"/>
              </w:rPr>
            </w:pPr>
            <w:r>
              <w:rPr>
                <w:rFonts w:ascii="Times New Roman" w:cs="Times New Roman" w:eastAsia="Times New Roman" w:hAnsi="Times New Roman"/>
                <w:sz w:val="22"/>
                <w:szCs w:val="22"/>
                <w:color w:val="auto"/>
                <w:w w:val="97"/>
              </w:rPr>
              <w:t>Option Shares Exercisable</w:t>
            </w:r>
          </w:p>
        </w:tc>
        <w:tc>
          <w:tcPr>
            <w:tcW w:w="4280" w:type="dxa"/>
            <w:vAlign w:val="bottom"/>
            <w:gridSpan w:val="2"/>
          </w:tcPr>
          <w:p>
            <w:pPr>
              <w:jc w:val="center"/>
              <w:ind w:right="2620"/>
              <w:spacing w:after="0" w:line="230" w:lineRule="exact"/>
              <w:rPr>
                <w:sz w:val="20"/>
                <w:szCs w:val="20"/>
                <w:color w:val="auto"/>
              </w:rPr>
            </w:pPr>
            <w:r>
              <w:rPr>
                <w:rFonts w:ascii="Times New Roman" w:cs="Times New Roman" w:eastAsia="Times New Roman" w:hAnsi="Times New Roman"/>
                <w:sz w:val="22"/>
                <w:szCs w:val="22"/>
                <w:color w:val="auto"/>
                <w:w w:val="98"/>
              </w:rPr>
              <w:t>Exercisability Date</w:t>
            </w:r>
          </w:p>
        </w:tc>
      </w:tr>
      <w:tr>
        <w:trPr>
          <w:trHeight w:val="452"/>
        </w:trPr>
        <w:tc>
          <w:tcPr>
            <w:tcW w:w="2960" w:type="dxa"/>
            <w:vAlign w:val="bottom"/>
          </w:tcPr>
          <w:p>
            <w:pPr>
              <w:spacing w:after="0"/>
              <w:rPr>
                <w:sz w:val="24"/>
                <w:szCs w:val="24"/>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52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____________</w:t>
            </w:r>
          </w:p>
        </w:tc>
        <w:tc>
          <w:tcPr>
            <w:tcW w:w="2620" w:type="dxa"/>
            <w:vAlign w:val="bottom"/>
          </w:tcPr>
          <w:p>
            <w:pPr>
              <w:spacing w:after="0"/>
              <w:rPr>
                <w:sz w:val="24"/>
                <w:szCs w:val="24"/>
                <w:color w:val="auto"/>
              </w:rPr>
            </w:pPr>
          </w:p>
        </w:tc>
      </w:tr>
      <w:tr>
        <w:trPr>
          <w:trHeight w:val="243"/>
        </w:trPr>
        <w:tc>
          <w:tcPr>
            <w:tcW w:w="5240" w:type="dxa"/>
            <w:vAlign w:val="bottom"/>
            <w:gridSpan w:val="2"/>
          </w:tcPr>
          <w:p>
            <w:pPr>
              <w:jc w:val="center"/>
              <w:ind w:left="2872"/>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5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c>
          <w:tcPr>
            <w:tcW w:w="2620" w:type="dxa"/>
            <w:vAlign w:val="bottom"/>
          </w:tcPr>
          <w:p>
            <w:pPr>
              <w:spacing w:after="0"/>
              <w:rPr>
                <w:sz w:val="21"/>
                <w:szCs w:val="21"/>
                <w:color w:val="auto"/>
              </w:rPr>
            </w:pPr>
          </w:p>
        </w:tc>
      </w:tr>
      <w:tr>
        <w:trPr>
          <w:trHeight w:val="243"/>
        </w:trPr>
        <w:tc>
          <w:tcPr>
            <w:tcW w:w="5240" w:type="dxa"/>
            <w:vAlign w:val="bottom"/>
            <w:gridSpan w:val="2"/>
          </w:tcPr>
          <w:p>
            <w:pPr>
              <w:jc w:val="center"/>
              <w:ind w:left="2872"/>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5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c>
          <w:tcPr>
            <w:tcW w:w="2620" w:type="dxa"/>
            <w:vAlign w:val="bottom"/>
          </w:tcPr>
          <w:p>
            <w:pPr>
              <w:spacing w:after="0"/>
              <w:rPr>
                <w:sz w:val="21"/>
                <w:szCs w:val="21"/>
                <w:color w:val="auto"/>
              </w:rPr>
            </w:pPr>
          </w:p>
        </w:tc>
      </w:tr>
      <w:tr>
        <w:trPr>
          <w:trHeight w:val="243"/>
        </w:trPr>
        <w:tc>
          <w:tcPr>
            <w:tcW w:w="5240" w:type="dxa"/>
            <w:vAlign w:val="bottom"/>
            <w:gridSpan w:val="2"/>
          </w:tcPr>
          <w:p>
            <w:pPr>
              <w:jc w:val="center"/>
              <w:ind w:left="2872"/>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152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c>
          <w:tcPr>
            <w:tcW w:w="2620" w:type="dxa"/>
            <w:vAlign w:val="bottom"/>
          </w:tcPr>
          <w:p>
            <w:pPr>
              <w:spacing w:after="0"/>
              <w:rPr>
                <w:sz w:val="21"/>
                <w:szCs w:val="21"/>
                <w:color w:val="auto"/>
              </w:rPr>
            </w:pPr>
          </w:p>
        </w:tc>
      </w:tr>
      <w:tr>
        <w:trPr>
          <w:trHeight w:val="282"/>
        </w:trPr>
        <w:tc>
          <w:tcPr>
            <w:tcW w:w="5240" w:type="dxa"/>
            <w:vAlign w:val="bottom"/>
            <w:gridSpan w:val="2"/>
          </w:tcPr>
          <w:p>
            <w:pPr>
              <w:jc w:val="center"/>
              <w:ind w:left="2872"/>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15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____________</w:t>
            </w:r>
          </w:p>
        </w:tc>
        <w:tc>
          <w:tcPr>
            <w:tcW w:w="2620" w:type="dxa"/>
            <w:vAlign w:val="bottom"/>
          </w:tcPr>
          <w:p>
            <w:pPr>
              <w:spacing w:after="0"/>
              <w:rPr>
                <w:sz w:val="24"/>
                <w:szCs w:val="24"/>
                <w:color w:val="auto"/>
              </w:rPr>
            </w:pPr>
          </w:p>
        </w:tc>
      </w:tr>
      <w:tr>
        <w:trPr>
          <w:trHeight w:val="1831"/>
        </w:trPr>
        <w:tc>
          <w:tcPr>
            <w:tcW w:w="29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72" w:name="page73"/>
    <w:bookmarkEnd w:id="72"/>
    <w:p>
      <w:pPr>
        <w:spacing w:after="0" w:line="185" w:lineRule="exact"/>
        <w:rPr>
          <w:sz w:val="20"/>
          <w:szCs w:val="20"/>
          <w:color w:val="auto"/>
        </w:rPr>
      </w:pPr>
    </w:p>
    <w:p>
      <w:pPr>
        <w:jc w:val="both"/>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173" w:lineRule="exact"/>
        <w:rPr>
          <w:sz w:val="20"/>
          <w:szCs w:val="20"/>
          <w:color w:val="auto"/>
        </w:rPr>
      </w:pPr>
    </w:p>
    <w:p>
      <w:pPr>
        <w:ind w:left="1180" w:hanging="240"/>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0" w:right="399" w:firstLine="1288"/>
        <w:spacing w:after="0" w:line="238" w:lineRule="auto"/>
        <w:tabs>
          <w:tab w:leader="none" w:pos="206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7" w:lineRule="exact"/>
        <w:rPr>
          <w:sz w:val="20"/>
          <w:szCs w:val="20"/>
          <w:color w:val="auto"/>
        </w:rPr>
      </w:pPr>
    </w:p>
    <w:p>
      <w:pPr>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through the delivery (or attestation to the ownership) of Common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0" w:lineRule="exact"/>
        <w:rPr>
          <w:sz w:val="20"/>
          <w:szCs w:val="20"/>
          <w:color w:val="auto"/>
        </w:rPr>
      </w:pPr>
    </w:p>
    <w:p>
      <w:pPr>
        <w:ind w:left="300" w:right="339" w:firstLine="648"/>
        <w:spacing w:after="0" w:line="247"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w:t>
      </w:r>
    </w:p>
    <w:p>
      <w:pPr>
        <w:spacing w:after="0" w:line="2" w:lineRule="exact"/>
        <w:rPr>
          <w:sz w:val="20"/>
          <w:szCs w:val="20"/>
          <w:color w:val="auto"/>
        </w:rPr>
      </w:pPr>
    </w:p>
    <w:p>
      <w:pPr>
        <w:ind w:left="300" w:right="319" w:hanging="8"/>
        <w:spacing w:after="0" w:line="232" w:lineRule="auto"/>
        <w:tabs>
          <w:tab w:leader="none" w:pos="6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Common Shares to be purchased pursuant to the exercise of Stock Options under the Plan and any subsequent resale of the Common Shares will be in compliance with applicable laws and regulations. In the event the Optionee chooses to pay the purchase price by previously-owned Common Shares through the attestation method, the number of Common Shares transferred to the Optionee upon the exercise of the Stock Option shall be net of the Common Shares attested to.</w:t>
      </w:r>
    </w:p>
    <w:p>
      <w:pPr>
        <w:spacing w:after="0" w:line="181" w:lineRule="exact"/>
        <w:rPr>
          <w:rFonts w:ascii="Times New Roman" w:cs="Times New Roman" w:eastAsia="Times New Roman" w:hAnsi="Times New Roman"/>
          <w:sz w:val="22"/>
          <w:szCs w:val="22"/>
          <w:color w:val="auto"/>
        </w:rPr>
      </w:pPr>
    </w:p>
    <w:p>
      <w:pPr>
        <w:ind w:left="300" w:right="319" w:firstLine="1288"/>
        <w:spacing w:after="0" w:line="247" w:lineRule="auto"/>
        <w:tabs>
          <w:tab w:leader="none" w:pos="2062"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Common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Common Shares subject to this Stock Option unless and until this Stock Option shall have been exercised pursuant to the terms hereof, the Company or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1005205</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jc w:val="both"/>
        <w:ind w:left="300" w:right="319"/>
        <w:spacing w:after="0" w:line="261" w:lineRule="auto"/>
        <w:rPr>
          <w:sz w:val="20"/>
          <w:szCs w:val="20"/>
          <w:color w:val="auto"/>
        </w:rPr>
      </w:pPr>
      <w:r>
        <w:rPr>
          <w:rFonts w:ascii="Times New Roman" w:cs="Times New Roman" w:eastAsia="Times New Roman" w:hAnsi="Times New Roman"/>
          <w:sz w:val="21"/>
          <w:szCs w:val="21"/>
          <w:color w:val="auto"/>
        </w:rPr>
        <w:t>agent shall have transferred the shares to the Optionee, and the Optionee’s name shall have been entered as the shareholder of record on the books of the Company. Thereupon, the Optionee shall have full voting, dividend and other ownership rights with respect to such Common Shares.</w:t>
      </w:r>
    </w:p>
    <w:p>
      <w:pPr>
        <w:spacing w:after="0" w:line="157" w:lineRule="exact"/>
        <w:rPr>
          <w:sz w:val="20"/>
          <w:szCs w:val="20"/>
          <w:color w:val="auto"/>
        </w:rPr>
      </w:pPr>
    </w:p>
    <w:p>
      <w:pPr>
        <w:ind w:left="300" w:right="359" w:firstLine="1288"/>
        <w:spacing w:after="0" w:line="258" w:lineRule="auto"/>
        <w:tabs>
          <w:tab w:leader="none" w:pos="2062"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8" w:lineRule="exact"/>
        <w:rPr>
          <w:rFonts w:ascii="Times New Roman" w:cs="Times New Roman" w:eastAsia="Times New Roman" w:hAnsi="Times New Roman"/>
          <w:sz w:val="22"/>
          <w:szCs w:val="22"/>
          <w:color w:val="auto"/>
        </w:rPr>
      </w:pPr>
    </w:p>
    <w:p>
      <w:pPr>
        <w:ind w:left="300" w:right="519" w:firstLine="640"/>
        <w:spacing w:after="0" w:line="244" w:lineRule="auto"/>
        <w:tabs>
          <w:tab w:leader="none" w:pos="118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Service Relationship with the Company or any Affiliate thereof is terminated, the period within which to exercise the Stock Option may be subject to earlier termination as set forth below.</w:t>
      </w:r>
    </w:p>
    <w:p>
      <w:pPr>
        <w:spacing w:after="0" w:line="173" w:lineRule="exact"/>
        <w:rPr>
          <w:rFonts w:ascii="Times New Roman" w:cs="Times New Roman" w:eastAsia="Times New Roman" w:hAnsi="Times New Roman"/>
          <w:sz w:val="22"/>
          <w:szCs w:val="22"/>
          <w:color w:val="auto"/>
        </w:rPr>
      </w:pPr>
    </w:p>
    <w:p>
      <w:pPr>
        <w:jc w:val="both"/>
        <w:ind w:left="300" w:right="519" w:firstLine="1288"/>
        <w:spacing w:after="0" w:line="247" w:lineRule="auto"/>
        <w:tabs>
          <w:tab w:leader="none" w:pos="2062"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If the Optionee’s Service Relationship with the Company or any Affiliate thereof terminates by reason of the Optionee’s death, any portion of this Stock Option outstanding on such date, to the extent exercisable on the date of death, may thereafter be exercised by the Optionee’s legal representative or legatee for a period of twelve</w:t>
      </w:r>
    </w:p>
    <w:p>
      <w:pPr>
        <w:spacing w:after="0" w:line="1" w:lineRule="exact"/>
        <w:rPr>
          <w:rFonts w:ascii="Times New Roman" w:cs="Times New Roman" w:eastAsia="Times New Roman" w:hAnsi="Times New Roman"/>
          <w:sz w:val="21"/>
          <w:szCs w:val="21"/>
          <w:color w:val="auto"/>
        </w:rPr>
      </w:pPr>
    </w:p>
    <w:p>
      <w:pPr>
        <w:ind w:left="300" w:right="559" w:hanging="8"/>
        <w:spacing w:after="0" w:line="235" w:lineRule="auto"/>
        <w:tabs>
          <w:tab w:leader="none" w:pos="71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of death or until the Expiration Date, if earlier. Any portion of this Stock Option that is not exercisable on the date of death shall terminate immediately and be of no further force or effect.</w:t>
      </w:r>
    </w:p>
    <w:p>
      <w:pPr>
        <w:spacing w:after="0" w:line="177" w:lineRule="exact"/>
        <w:rPr>
          <w:rFonts w:ascii="Times New Roman" w:cs="Times New Roman" w:eastAsia="Times New Roman" w:hAnsi="Times New Roman"/>
          <w:sz w:val="22"/>
          <w:szCs w:val="22"/>
          <w:color w:val="auto"/>
        </w:rPr>
      </w:pPr>
    </w:p>
    <w:p>
      <w:pPr>
        <w:ind w:left="300" w:right="359" w:firstLine="1288"/>
        <w:spacing w:after="0" w:line="245" w:lineRule="auto"/>
        <w:tabs>
          <w:tab w:leader="none" w:pos="2062"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Optionee’s Service Relationship with the Company or any Affiliate thereof terminates for any reason other than the Optionee’s death, any portion of this Stock Option outstanding on such date may be exercised, to the extent exercisable on the date of termination, for a period of six (6) months from the date of termination or until the Expiration Date, if earlier. Any portion of this Stock Option that is not exercisable on the date of termination shall terminate immediately and be of no further force or effect. Notwithstanding the foregoing and subject to applicable law, if the Optionee’s Service Relationship is terminated for Cause (as hereinafter defined) by the Company or any Affiliate thereof or the Optionee violates any continuing obligation or other post-employment or post-termination obligation Optionee may owe to the Company or any Affiliate thereof, the Company, in the Administrator’s sole discretion, may cause the forfeiture or cancellation of any Award granted to Optionee, whether now existing or hereafter formed, and regardless of the form of such Award.</w:t>
      </w:r>
    </w:p>
    <w:p>
      <w:pPr>
        <w:spacing w:after="0" w:line="173" w:lineRule="exact"/>
        <w:rPr>
          <w:rFonts w:ascii="Times New Roman" w:cs="Times New Roman" w:eastAsia="Times New Roman" w:hAnsi="Times New Roman"/>
          <w:sz w:val="21"/>
          <w:szCs w:val="21"/>
          <w:color w:val="auto"/>
        </w:rPr>
      </w:pPr>
    </w:p>
    <w:p>
      <w:pPr>
        <w:ind w:left="300" w:right="359" w:firstLine="640"/>
        <w:spacing w:after="0" w:line="238" w:lineRule="auto"/>
        <w:tabs>
          <w:tab w:leader="none" w:pos="118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6" w:lineRule="exact"/>
        <w:rPr>
          <w:rFonts w:ascii="Times New Roman" w:cs="Times New Roman" w:eastAsia="Times New Roman" w:hAnsi="Times New Roman"/>
          <w:sz w:val="22"/>
          <w:szCs w:val="22"/>
          <w:color w:val="auto"/>
        </w:rPr>
      </w:pPr>
    </w:p>
    <w:p>
      <w:pPr>
        <w:ind w:left="300" w:right="319" w:firstLine="640"/>
        <w:spacing w:after="0" w:line="238" w:lineRule="auto"/>
        <w:tabs>
          <w:tab w:leader="none" w:pos="118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12(b) of the Plan,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6" w:lineRule="exact"/>
        <w:rPr>
          <w:rFonts w:ascii="Times New Roman" w:cs="Times New Roman" w:eastAsia="Times New Roman" w:hAnsi="Times New Roman"/>
          <w:sz w:val="22"/>
          <w:szCs w:val="22"/>
          <w:color w:val="auto"/>
        </w:rPr>
      </w:pPr>
    </w:p>
    <w:p>
      <w:pPr>
        <w:ind w:left="300" w:right="519" w:firstLine="640"/>
        <w:spacing w:after="0" w:line="261" w:lineRule="auto"/>
        <w:tabs>
          <w:tab w:leader="none" w:pos="118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as a member of the Board or Continue Service Relationship</w:t>
      </w:r>
      <w:r>
        <w:rPr>
          <w:rFonts w:ascii="Times New Roman" w:cs="Times New Roman" w:eastAsia="Times New Roman" w:hAnsi="Times New Roman"/>
          <w:sz w:val="21"/>
          <w:szCs w:val="21"/>
          <w:color w:val="auto"/>
        </w:rPr>
        <w:t>. Neither the Plan nor this Stock Option confers upon the Optionee any rights with respect to continuance as a member of the Board. In addition, neither the Company nor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996315</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4" w:name="page75"/>
    <w:bookmarkEnd w:id="74"/>
    <w:p>
      <w:pPr>
        <w:ind w:left="300" w:right="339"/>
        <w:spacing w:after="0" w:line="239" w:lineRule="auto"/>
        <w:rPr>
          <w:sz w:val="20"/>
          <w:szCs w:val="20"/>
          <w:color w:val="auto"/>
        </w:rPr>
      </w:pPr>
      <w:r>
        <w:rPr>
          <w:rFonts w:ascii="Times New Roman" w:cs="Times New Roman" w:eastAsia="Times New Roman" w:hAnsi="Times New Roman"/>
          <w:sz w:val="22"/>
          <w:szCs w:val="22"/>
          <w:color w:val="auto"/>
        </w:rPr>
        <w:t>Affiliate thereof is obligated by or as a result of the Plan or this Agreement to maintain a Service Relationship with the Optionee, and neither the Plan nor this Agreement shall interfere in any way with the right of the Company or any Affiliate thereof to terminate any Service Relationship of the Optionee at any time.</w:t>
      </w:r>
    </w:p>
    <w:p>
      <w:pPr>
        <w:spacing w:after="0" w:line="180" w:lineRule="exact"/>
        <w:rPr>
          <w:sz w:val="20"/>
          <w:szCs w:val="20"/>
          <w:color w:val="auto"/>
        </w:rPr>
      </w:pPr>
    </w:p>
    <w:p>
      <w:pPr>
        <w:ind w:left="300" w:right="439" w:firstLine="640"/>
        <w:spacing w:after="0" w:line="244" w:lineRule="auto"/>
        <w:tabs>
          <w:tab w:leader="none" w:pos="11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300" w:right="479" w:firstLine="640"/>
        <w:spacing w:after="0" w:line="233" w:lineRule="auto"/>
        <w:tabs>
          <w:tab w:leader="none" w:pos="11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2"/>
          <w:szCs w:val="22"/>
          <w:b w:val="1"/>
          <w:bCs w:val="1"/>
          <w:color w:val="auto"/>
        </w:rPr>
        <w:t>Relevant Companies</w:t>
      </w:r>
      <w:r>
        <w:rPr>
          <w:rFonts w:ascii="Times New Roman" w:cs="Times New Roman" w:eastAsia="Times New Roman" w:hAnsi="Times New Roman"/>
          <w:sz w:val="22"/>
          <w:szCs w:val="22"/>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b w:val="1"/>
          <w:bCs w:val="1"/>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By entering into this Agreement, the Optionee (i) authorizes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ind w:left="300" w:right="319" w:firstLine="640"/>
        <w:spacing w:after="0" w:line="239" w:lineRule="auto"/>
        <w:tabs>
          <w:tab w:leader="none" w:pos="11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1303655</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5" w:name="page76"/>
    <w:bookmarkEnd w:id="75"/>
    <w:p>
      <w:pPr>
        <w:ind w:left="450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-13970</wp:posOffset>
            </wp:positionV>
            <wp:extent cx="274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274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-13970</wp:posOffset>
            </wp:positionV>
            <wp:extent cx="274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3444240</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276860</wp:posOffset>
            </wp:positionV>
            <wp:extent cx="274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568325</wp:posOffset>
            </wp:positionV>
            <wp:extent cx="274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859790</wp:posOffset>
            </wp:positionV>
            <wp:extent cx="274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6" w:name="page77"/>
    <w:bookmarkEnd w:id="76"/>
    <w:p>
      <w:pPr>
        <w:jc w:val="right"/>
        <w:ind w:right="299"/>
        <w:spacing w:after="0"/>
        <w:rPr>
          <w:sz w:val="20"/>
          <w:szCs w:val="20"/>
          <w:color w:val="auto"/>
        </w:rPr>
      </w:pPr>
      <w:r>
        <w:rPr>
          <w:rFonts w:ascii="Times New Roman" w:cs="Times New Roman" w:eastAsia="Times New Roman" w:hAnsi="Times New Roman"/>
          <w:sz w:val="20"/>
          <w:szCs w:val="20"/>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00" w:right="319"/>
        <w:spacing w:after="0" w:line="267" w:lineRule="auto"/>
        <w:rPr>
          <w:sz w:val="20"/>
          <w:szCs w:val="20"/>
          <w:color w:val="auto"/>
        </w:rPr>
      </w:pPr>
      <w:r>
        <w:rPr>
          <w:rFonts w:ascii="Times New Roman" w:cs="Times New Roman" w:eastAsia="Times New Roman" w:hAnsi="Times New Roman"/>
          <w:sz w:val="25"/>
          <w:szCs w:val="25"/>
          <w:b w:val="1"/>
          <w:bCs w:val="1"/>
          <w:color w:val="auto"/>
        </w:rPr>
        <w:t>RESTRICTED STOCK AWARD AGREEMENT UNDER THE CRISPR THERAPEUTICS AG 2026 STOCK OPTION AND INCENTIVE PLAN</w:t>
      </w: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-13970</wp:posOffset>
            </wp:positionV>
            <wp:extent cx="274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-13970</wp:posOffset>
            </wp:positionV>
            <wp:extent cx="274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-13970</wp:posOffset>
            </wp:positionV>
            <wp:extent cx="274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Pursuant to the CRISPR Therapeutics AG 2026 Stock Option and Incentive Plan as</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amended and in effect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CRISPR Therapeutics AG (the</w:t>
      </w:r>
    </w:p>
    <w:p>
      <w:pPr>
        <w:ind w:left="30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an award of the number of Restricted Shares listed above (a</w:t>
      </w:r>
    </w:p>
    <w:p>
      <w:pPr>
        <w:ind w:left="30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the Grantee named above. Upon acceptance of this Award, the Grantee shall</w:t>
      </w:r>
    </w:p>
    <w:p>
      <w:pPr>
        <w:ind w:left="300"/>
        <w:spacing w:after="0" w:line="230" w:lineRule="auto"/>
        <w:rPr>
          <w:sz w:val="20"/>
          <w:szCs w:val="20"/>
          <w:color w:val="auto"/>
        </w:rPr>
      </w:pPr>
      <w:r>
        <w:rPr>
          <w:rFonts w:ascii="Times New Roman" w:cs="Times New Roman" w:eastAsia="Times New Roman" w:hAnsi="Times New Roman"/>
          <w:sz w:val="22"/>
          <w:szCs w:val="22"/>
          <w:color w:val="auto"/>
        </w:rPr>
        <w:t>receive the number of common shares specified above (“</w:t>
      </w:r>
      <w:r>
        <w:rPr>
          <w:rFonts w:ascii="Times New Roman" w:cs="Times New Roman" w:eastAsia="Times New Roman" w:hAnsi="Times New Roman"/>
          <w:sz w:val="22"/>
          <w:szCs w:val="22"/>
          <w:b w:val="1"/>
          <w:bCs w:val="1"/>
          <w:color w:val="auto"/>
        </w:rPr>
        <w:t>Restricted Shares</w:t>
      </w:r>
      <w:r>
        <w:rPr>
          <w:rFonts w:ascii="Times New Roman" w:cs="Times New Roman" w:eastAsia="Times New Roman" w:hAnsi="Times New Roman"/>
          <w:sz w:val="22"/>
          <w:szCs w:val="22"/>
          <w:color w:val="auto"/>
        </w:rPr>
        <w:t>”), nominal value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CHF 0.03 per share of the Company (each a “</w:t>
      </w:r>
      <w:r>
        <w:rPr>
          <w:rFonts w:ascii="Times New Roman" w:cs="Times New Roman" w:eastAsia="Times New Roman" w:hAnsi="Times New Roman"/>
          <w:sz w:val="21"/>
          <w:szCs w:val="21"/>
          <w:b w:val="1"/>
          <w:bCs w:val="1"/>
          <w:color w:val="auto"/>
        </w:rPr>
        <w:t>Common Share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Common</w:t>
      </w:r>
    </w:p>
    <w:p>
      <w:pPr>
        <w:ind w:left="300"/>
        <w:spacing w:after="0" w:line="231" w:lineRule="auto"/>
        <w:rPr>
          <w:sz w:val="20"/>
          <w:szCs w:val="20"/>
          <w:color w:val="auto"/>
        </w:rPr>
      </w:pP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subject to the restrictions and conditions set forth herein and in the Plan. The</w:t>
      </w:r>
    </w:p>
    <w:p>
      <w:pPr>
        <w:ind w:left="300"/>
        <w:spacing w:after="0" w:line="231" w:lineRule="auto"/>
        <w:rPr>
          <w:sz w:val="20"/>
          <w:szCs w:val="20"/>
          <w:color w:val="auto"/>
        </w:rPr>
      </w:pPr>
      <w:r>
        <w:rPr>
          <w:rFonts w:ascii="Times New Roman" w:cs="Times New Roman" w:eastAsia="Times New Roman" w:hAnsi="Times New Roman"/>
          <w:sz w:val="22"/>
          <w:szCs w:val="22"/>
          <w:color w:val="auto"/>
        </w:rPr>
        <w:t>Company acknowledges the receipt from the Grantee of consideration with respect to the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nominal value of the Common Shares in the form of cash, past or future services rendered to the</w:t>
      </w:r>
    </w:p>
    <w:p>
      <w:pPr>
        <w:ind w:left="300"/>
        <w:spacing w:after="0" w:line="231" w:lineRule="auto"/>
        <w:rPr>
          <w:sz w:val="20"/>
          <w:szCs w:val="20"/>
          <w:color w:val="auto"/>
        </w:rPr>
      </w:pPr>
      <w:r>
        <w:rPr>
          <w:rFonts w:ascii="Times New Roman" w:cs="Times New Roman" w:eastAsia="Times New Roman" w:hAnsi="Times New Roman"/>
          <w:sz w:val="22"/>
          <w:szCs w:val="22"/>
          <w:color w:val="auto"/>
        </w:rPr>
        <w:t>Company by the Grantee or such other form of consideration as is acceptable to the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ind w:left="300" w:right="399" w:firstLine="640"/>
        <w:spacing w:after="0" w:line="235"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The Restricted Shares awarded hereunder shall be issued and held by the Company’s transfer agent in book entry form, and the Grantee’s name shall be entered as the shareholder of record on the books of the Company. Thereupon, the Grantee shall have all the rights of a shareholder with respect to such shares, including voting and dividend rights, subject, however, to the restrictions and conditions specified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below. The Grantee shall (i) sign and deliver to the Company a copy of this Award Agreement and (ii) deliver to the Company a stock power endorsed in blank.</w:t>
      </w:r>
    </w:p>
    <w:p>
      <w:pPr>
        <w:spacing w:after="0" w:line="183" w:lineRule="exact"/>
        <w:rPr>
          <w:rFonts w:ascii="Times New Roman" w:cs="Times New Roman" w:eastAsia="Times New Roman" w:hAnsi="Times New Roman"/>
          <w:sz w:val="22"/>
          <w:szCs w:val="22"/>
          <w:color w:val="auto"/>
        </w:rPr>
      </w:pPr>
    </w:p>
    <w:p>
      <w:pPr>
        <w:ind w:left="1180" w:hanging="240"/>
        <w:spacing w:after="0"/>
        <w:tabs>
          <w:tab w:leader="none" w:pos="11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and Conditions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0" w:right="639" w:firstLine="1288"/>
        <w:spacing w:after="0" w:line="244" w:lineRule="auto"/>
        <w:tabs>
          <w:tab w:leader="none" w:pos="2062"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book entries for the Restricted Shares granted herein shall bear an appropriate legend, as determined by the Administrator in its sole discretion, to the effect that such shares are subject to restrictions as set forth herein and in the Plan.</w:t>
      </w:r>
    </w:p>
    <w:p>
      <w:pPr>
        <w:spacing w:after="0" w:line="173" w:lineRule="exact"/>
        <w:rPr>
          <w:rFonts w:ascii="Times New Roman" w:cs="Times New Roman" w:eastAsia="Times New Roman" w:hAnsi="Times New Roman"/>
          <w:sz w:val="22"/>
          <w:szCs w:val="22"/>
          <w:color w:val="auto"/>
        </w:rPr>
      </w:pPr>
    </w:p>
    <w:p>
      <w:pPr>
        <w:ind w:left="300" w:right="779" w:firstLine="1288"/>
        <w:spacing w:after="0" w:line="282" w:lineRule="auto"/>
        <w:tabs>
          <w:tab w:leader="none" w:pos="2062"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Shares granted herein may not be sold, assigned, transferred, pledged or otherwise encumbered or disposed of by the Grantee prior to vesting.</w:t>
      </w:r>
    </w:p>
    <w:p>
      <w:pPr>
        <w:spacing w:after="0" w:line="134" w:lineRule="exact"/>
        <w:rPr>
          <w:rFonts w:ascii="Times New Roman" w:cs="Times New Roman" w:eastAsia="Times New Roman" w:hAnsi="Times New Roman"/>
          <w:sz w:val="21"/>
          <w:szCs w:val="21"/>
          <w:color w:val="auto"/>
        </w:rPr>
      </w:pPr>
    </w:p>
    <w:p>
      <w:pPr>
        <w:ind w:left="300" w:right="479" w:firstLine="1288"/>
        <w:spacing w:after="0" w:line="251" w:lineRule="auto"/>
        <w:tabs>
          <w:tab w:leader="none" w:pos="2062"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Relationship with the Company or any Affiliate thereof is voluntarily or involuntarily terminated for any reason (including death or disability) prior to vesting of Restricted Shares granted herein, all Restricted Shares shall immediately and automatically be forfeited and returned to the Company. Notwithstanding the foregoing and subject to applicable law, if the Grantee’s Service Relationship is terminated for Cause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1003300</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77" w:name="page78"/>
    <w:bookmarkEnd w:id="77"/>
    <w:p>
      <w:pPr>
        <w:ind w:left="300" w:right="359"/>
        <w:spacing w:after="0" w:line="238" w:lineRule="auto"/>
        <w:rPr>
          <w:sz w:val="20"/>
          <w:szCs w:val="20"/>
          <w:color w:val="auto"/>
        </w:rPr>
      </w:pPr>
      <w:r>
        <w:rPr>
          <w:rFonts w:ascii="Times New Roman" w:cs="Times New Roman" w:eastAsia="Times New Roman" w:hAnsi="Times New Roman"/>
          <w:sz w:val="22"/>
          <w:szCs w:val="22"/>
          <w:color w:val="auto"/>
        </w:rPr>
        <w:t>hereinafter defined) by the Company or any Affiliate thereof or the Grantee violates any continuing obligation or other post-employment or post-termination obligation Grantee may owe to the Company or any Affiliate thereof, the Company, in the Administrator’s sole discretion, may cause the forfeiture or cancellation of any Award granted to Grantee, whether now existing or hereafter formed, and regardless of the form of such Award.</w:t>
      </w:r>
    </w:p>
    <w:p>
      <w:pPr>
        <w:spacing w:after="0" w:line="177" w:lineRule="exact"/>
        <w:rPr>
          <w:sz w:val="20"/>
          <w:szCs w:val="20"/>
          <w:color w:val="auto"/>
        </w:rPr>
      </w:pPr>
    </w:p>
    <w:p>
      <w:pPr>
        <w:ind w:left="300" w:right="319" w:firstLine="640"/>
        <w:spacing w:after="0" w:line="236"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Shares</w:t>
      </w:r>
      <w:r>
        <w:rPr>
          <w:rFonts w:ascii="Times New Roman" w:cs="Times New Roman" w:eastAsia="Times New Roman" w:hAnsi="Times New Roman"/>
          <w:sz w:val="22"/>
          <w:szCs w:val="22"/>
          <w:color w:val="auto"/>
        </w:rPr>
        <w:t xml:space="preserve">. The restrictions and conditions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shall lapse on the Vesting Date or Dates specified in the following schedule so long as the Grantee maintains a continuous Service Relationship with the Company or any Affiliate thereof through and including such Dates. Subject to the foregoing, if a series of Vesting Dates is specified, then the restrictions and conditions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lapse only with respect to the number of Restricted Shares specified as vested on such date.</w:t>
      </w:r>
    </w:p>
    <w:p>
      <w:pPr>
        <w:spacing w:after="0" w:line="171" w:lineRule="exact"/>
        <w:rPr>
          <w:sz w:val="20"/>
          <w:szCs w:val="20"/>
          <w:color w:val="auto"/>
        </w:rPr>
      </w:pPr>
    </w:p>
    <w:tbl>
      <w:tblPr>
        <w:tblLayout w:type="fixed"/>
        <w:tblInd w:w="2040" w:type="dxa"/>
        <w:tblCellMar>
          <w:top w:w="0" w:type="dxa"/>
          <w:left w:w="0" w:type="dxa"/>
          <w:bottom w:w="0" w:type="dxa"/>
          <w:right w:w="0" w:type="dxa"/>
        </w:tblCellMar>
      </w:tblPr>
      <w:tr>
        <w:trPr>
          <w:trHeight w:val="253"/>
        </w:trPr>
        <w:tc>
          <w:tcPr>
            <w:tcW w:w="300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8"/>
              </w:rPr>
              <w:t>Incremental Number</w:t>
            </w:r>
          </w:p>
        </w:tc>
        <w:tc>
          <w:tcPr>
            <w:tcW w:w="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320" w:type="dxa"/>
            <w:vAlign w:val="bottom"/>
          </w:tcPr>
          <w:p>
            <w:pPr>
              <w:spacing w:after="0"/>
              <w:rPr>
                <w:sz w:val="19"/>
                <w:szCs w:val="19"/>
                <w:color w:val="auto"/>
              </w:rPr>
            </w:pPr>
          </w:p>
        </w:tc>
        <w:tc>
          <w:tcPr>
            <w:tcW w:w="1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7"/>
              </w:rPr>
              <w:t>of Shares Vested</w:t>
            </w: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Vesting Date</w:t>
            </w:r>
          </w:p>
        </w:tc>
        <w:tc>
          <w:tcPr>
            <w:tcW w:w="80" w:type="dxa"/>
            <w:vAlign w:val="bottom"/>
          </w:tcPr>
          <w:p>
            <w:pPr>
              <w:spacing w:after="0"/>
              <w:rPr>
                <w:sz w:val="19"/>
                <w:szCs w:val="19"/>
                <w:color w:val="auto"/>
              </w:rPr>
            </w:pPr>
          </w:p>
        </w:tc>
      </w:tr>
      <w:tr>
        <w:trPr>
          <w:trHeight w:val="452"/>
        </w:trPr>
        <w:tc>
          <w:tcPr>
            <w:tcW w:w="3000" w:type="dxa"/>
            <w:vAlign w:val="bottom"/>
            <w:gridSpan w:val="3"/>
          </w:tcPr>
          <w:p>
            <w:pPr>
              <w:jc w:val="center"/>
              <w:ind w:right="900"/>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2180" w:type="dxa"/>
            <w:vAlign w:val="bottom"/>
            <w:gridSpan w:val="3"/>
          </w:tcPr>
          <w:p>
            <w:pPr>
              <w:jc w:val="center"/>
              <w:ind w:left="772"/>
              <w:spacing w:after="0"/>
              <w:rPr>
                <w:sz w:val="20"/>
                <w:szCs w:val="20"/>
                <w:color w:val="auto"/>
              </w:rPr>
            </w:pPr>
            <w:r>
              <w:rPr>
                <w:rFonts w:ascii="Times New Roman" w:cs="Times New Roman" w:eastAsia="Times New Roman" w:hAnsi="Times New Roman"/>
                <w:sz w:val="22"/>
                <w:szCs w:val="22"/>
                <w:color w:val="auto"/>
                <w:w w:val="98"/>
              </w:rPr>
              <w:t>____________</w:t>
            </w:r>
          </w:p>
        </w:tc>
      </w:tr>
      <w:tr>
        <w:trPr>
          <w:trHeight w:val="243"/>
        </w:trPr>
        <w:tc>
          <w:tcPr>
            <w:tcW w:w="3000" w:type="dxa"/>
            <w:vAlign w:val="bottom"/>
            <w:gridSpan w:val="3"/>
          </w:tcPr>
          <w:p>
            <w:pPr>
              <w:jc w:val="center"/>
              <w:ind w:right="900"/>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2180" w:type="dxa"/>
            <w:vAlign w:val="bottom"/>
            <w:gridSpan w:val="3"/>
          </w:tcPr>
          <w:p>
            <w:pPr>
              <w:jc w:val="center"/>
              <w:ind w:left="772"/>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r>
      <w:tr>
        <w:trPr>
          <w:trHeight w:val="243"/>
        </w:trPr>
        <w:tc>
          <w:tcPr>
            <w:tcW w:w="3000" w:type="dxa"/>
            <w:vAlign w:val="bottom"/>
            <w:gridSpan w:val="3"/>
          </w:tcPr>
          <w:p>
            <w:pPr>
              <w:jc w:val="center"/>
              <w:ind w:right="900"/>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2180" w:type="dxa"/>
            <w:vAlign w:val="bottom"/>
            <w:gridSpan w:val="3"/>
          </w:tcPr>
          <w:p>
            <w:pPr>
              <w:jc w:val="center"/>
              <w:ind w:left="772"/>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r>
      <w:tr>
        <w:trPr>
          <w:trHeight w:val="243"/>
        </w:trPr>
        <w:tc>
          <w:tcPr>
            <w:tcW w:w="3000" w:type="dxa"/>
            <w:vAlign w:val="bottom"/>
            <w:gridSpan w:val="3"/>
          </w:tcPr>
          <w:p>
            <w:pPr>
              <w:jc w:val="center"/>
              <w:ind w:right="900"/>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2180" w:type="dxa"/>
            <w:vAlign w:val="bottom"/>
            <w:gridSpan w:val="3"/>
          </w:tcPr>
          <w:p>
            <w:pPr>
              <w:jc w:val="center"/>
              <w:ind w:left="772"/>
              <w:spacing w:after="0" w:line="243" w:lineRule="exact"/>
              <w:rPr>
                <w:sz w:val="20"/>
                <w:szCs w:val="20"/>
                <w:color w:val="auto"/>
              </w:rPr>
            </w:pPr>
            <w:r>
              <w:rPr>
                <w:rFonts w:ascii="Times New Roman" w:cs="Times New Roman" w:eastAsia="Times New Roman" w:hAnsi="Times New Roman"/>
                <w:sz w:val="22"/>
                <w:szCs w:val="22"/>
                <w:color w:val="auto"/>
                <w:w w:val="98"/>
              </w:rPr>
              <w:t>____________</w:t>
            </w:r>
          </w:p>
        </w:tc>
      </w:tr>
      <w:tr>
        <w:trPr>
          <w:trHeight w:val="282"/>
        </w:trPr>
        <w:tc>
          <w:tcPr>
            <w:tcW w:w="3000" w:type="dxa"/>
            <w:vAlign w:val="bottom"/>
            <w:gridSpan w:val="3"/>
          </w:tcPr>
          <w:p>
            <w:pPr>
              <w:jc w:val="center"/>
              <w:ind w:right="900"/>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2180" w:type="dxa"/>
            <w:vAlign w:val="bottom"/>
            <w:gridSpan w:val="3"/>
          </w:tcPr>
          <w:p>
            <w:pPr>
              <w:jc w:val="center"/>
              <w:ind w:left="772"/>
              <w:spacing w:after="0"/>
              <w:rPr>
                <w:sz w:val="20"/>
                <w:szCs w:val="20"/>
                <w:color w:val="auto"/>
              </w:rPr>
            </w:pPr>
            <w:r>
              <w:rPr>
                <w:rFonts w:ascii="Times New Roman" w:cs="Times New Roman" w:eastAsia="Times New Roman" w:hAnsi="Times New Roman"/>
                <w:sz w:val="22"/>
                <w:szCs w:val="22"/>
                <w:color w:val="auto"/>
                <w:w w:val="98"/>
              </w:rPr>
              <w:t>____________</w:t>
            </w:r>
          </w:p>
        </w:tc>
      </w:tr>
    </w:tbl>
    <w:p>
      <w:pPr>
        <w:spacing w:after="0" w:line="177" w:lineRule="exact"/>
        <w:rPr>
          <w:sz w:val="20"/>
          <w:szCs w:val="20"/>
          <w:color w:val="auto"/>
        </w:rPr>
      </w:pPr>
    </w:p>
    <w:p>
      <w:pPr>
        <w:jc w:val="both"/>
        <w:ind w:left="300" w:right="3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Subsequent to such Vesting Date or Dates, the Common Shares on which all restrictions and conditions have lapsed shall no longer be deemed Restricted Shares. The Administrator may at any time accelerate the vesting schedule specified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180" w:hanging="240"/>
        <w:spacing w:after="0"/>
        <w:tabs>
          <w:tab w:leader="none" w:pos="11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on Restricted Shares shall be paid currently to the Grantee.</w:t>
      </w:r>
    </w:p>
    <w:p>
      <w:pPr>
        <w:spacing w:after="0" w:line="206" w:lineRule="exact"/>
        <w:rPr>
          <w:rFonts w:ascii="Times New Roman" w:cs="Times New Roman" w:eastAsia="Times New Roman" w:hAnsi="Times New Roman"/>
          <w:sz w:val="22"/>
          <w:szCs w:val="22"/>
          <w:color w:val="auto"/>
        </w:rPr>
      </w:pPr>
    </w:p>
    <w:p>
      <w:pPr>
        <w:ind w:left="300" w:right="319" w:firstLine="640"/>
        <w:spacing w:after="0" w:line="255" w:lineRule="auto"/>
        <w:tabs>
          <w:tab w:leader="none" w:pos="118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xml:space="preserve">. Notwithstanding anything herein to the contrary, this Award shall be subject to and governed by all the terms and conditions of the Plan, including the powers of the Administrator set forth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of the Plan. Capitalized terms in this Agreement shall have the meaning specified in the Plan, unless a different meaning is specified herein.</w:t>
      </w:r>
    </w:p>
    <w:p>
      <w:pPr>
        <w:spacing w:after="0" w:line="161" w:lineRule="exact"/>
        <w:rPr>
          <w:rFonts w:ascii="Times New Roman" w:cs="Times New Roman" w:eastAsia="Times New Roman" w:hAnsi="Times New Roman"/>
          <w:sz w:val="21"/>
          <w:szCs w:val="21"/>
          <w:color w:val="auto"/>
        </w:rPr>
      </w:pPr>
    </w:p>
    <w:p>
      <w:pPr>
        <w:ind w:left="300" w:right="519" w:firstLine="640"/>
        <w:spacing w:after="0" w:line="244"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Grantee, is non-assignable and is not transferable in any manner, by operation of law or otherwise, other than by will or the laws of descent and distribution.</w:t>
      </w:r>
    </w:p>
    <w:p>
      <w:pPr>
        <w:spacing w:after="0" w:line="173" w:lineRule="exact"/>
        <w:rPr>
          <w:rFonts w:ascii="Times New Roman" w:cs="Times New Roman" w:eastAsia="Times New Roman" w:hAnsi="Times New Roman"/>
          <w:sz w:val="22"/>
          <w:szCs w:val="22"/>
          <w:color w:val="auto"/>
        </w:rPr>
      </w:pPr>
    </w:p>
    <w:p>
      <w:pPr>
        <w:ind w:left="300" w:right="379" w:firstLine="640"/>
        <w:spacing w:after="0" w:line="247" w:lineRule="auto"/>
        <w:tabs>
          <w:tab w:leader="none" w:pos="118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below, the Company shall have the authority to cause the required tax withholding obligation to be satisfied, in whole or in part, by withholding from Common Shares to be issued or released by the transfer agent a number of Common Shares with an aggregate Fair Market Value that would satisfy the withholding amount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1005205</wp:posOffset>
            </wp:positionV>
            <wp:extent cx="70377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8" w:name="page79"/>
    <w:bookmarkEnd w:id="78"/>
    <w:p>
      <w:pPr>
        <w:ind w:left="300" w:right="319" w:firstLine="640"/>
        <w:spacing w:after="0" w:line="235"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Under Section 83(b)</w:t>
      </w:r>
      <w:r>
        <w:rPr>
          <w:rFonts w:ascii="Times New Roman" w:cs="Times New Roman" w:eastAsia="Times New Roman" w:hAnsi="Times New Roman"/>
          <w:sz w:val="22"/>
          <w:szCs w:val="22"/>
          <w:color w:val="auto"/>
        </w:rPr>
        <w:t>. The Grantee and the Company hereby agree that the Grantee may, within 30 days following the Grant Date of this Award, file with the U.S. Internal Revenue Service and the Company an election under Section 83(b) of the US Tax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8" w:lineRule="exact"/>
        <w:rPr>
          <w:rFonts w:ascii="Times New Roman" w:cs="Times New Roman" w:eastAsia="Times New Roman" w:hAnsi="Times New Roman"/>
          <w:sz w:val="22"/>
          <w:szCs w:val="22"/>
          <w:color w:val="auto"/>
        </w:rPr>
      </w:pPr>
    </w:p>
    <w:p>
      <w:pPr>
        <w:ind w:left="300" w:right="339" w:firstLine="640"/>
        <w:spacing w:after="0" w:line="238"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Company nor any Affiliate thereof is obligated by or as a result of the Plan or this Agreement to maintain a Service Relationship with the Grantee, and neither the Plan nor this Agreement shall interfere in any way with the right of the Company or any Affiliate thereof to terminate any Service Relationship of the Grantee at any time.</w:t>
      </w:r>
    </w:p>
    <w:p>
      <w:pPr>
        <w:spacing w:after="0" w:line="177" w:lineRule="exact"/>
        <w:rPr>
          <w:sz w:val="20"/>
          <w:szCs w:val="20"/>
          <w:color w:val="auto"/>
        </w:rPr>
      </w:pPr>
    </w:p>
    <w:p>
      <w:pPr>
        <w:ind w:left="300" w:right="399" w:firstLine="648"/>
        <w:spacing w:after="0" w:line="24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73" w:lineRule="exact"/>
        <w:rPr>
          <w:sz w:val="20"/>
          <w:szCs w:val="20"/>
          <w:color w:val="auto"/>
        </w:rPr>
      </w:pPr>
    </w:p>
    <w:p>
      <w:pPr>
        <w:ind w:left="300" w:right="479" w:firstLine="648"/>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2"/>
          <w:szCs w:val="22"/>
          <w:b w:val="1"/>
          <w:bCs w:val="1"/>
          <w:color w:val="auto"/>
        </w:rPr>
        <w:t>Relevant Companies</w:t>
      </w:r>
      <w:r>
        <w:rPr>
          <w:rFonts w:ascii="Times New Roman" w:cs="Times New Roman" w:eastAsia="Times New Roman" w:hAnsi="Times New Roman"/>
          <w:sz w:val="22"/>
          <w:szCs w:val="22"/>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b w:val="1"/>
          <w:bCs w:val="1"/>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By entering into this Agreement, the Grantee (i) authorizes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0" w:lineRule="exact"/>
        <w:rPr>
          <w:sz w:val="20"/>
          <w:szCs w:val="20"/>
          <w:color w:val="auto"/>
        </w:rPr>
      </w:pPr>
    </w:p>
    <w:p>
      <w:pPr>
        <w:ind w:left="300" w:right="359" w:firstLine="648"/>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300" w:right="339" w:firstLine="648"/>
        <w:spacing w:after="0" w:line="247"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u w:val="single" w:color="auto"/>
          <w:color w:val="auto"/>
        </w:rPr>
        <w:t>Clawback Acknowledgement</w:t>
      </w:r>
      <w:r>
        <w:rPr>
          <w:rFonts w:ascii="Times New Roman" w:cs="Times New Roman" w:eastAsia="Times New Roman" w:hAnsi="Times New Roman"/>
          <w:sz w:val="21"/>
          <w:szCs w:val="21"/>
          <w:color w:val="auto"/>
        </w:rPr>
        <w:t>. The Grantee acknowledges that the Grantee may become subject to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1005205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9" w:name="page80"/>
    <w:bookmarkEnd w:id="79"/>
    <w:p>
      <w:pPr>
        <w:ind w:left="300" w:right="359"/>
        <w:spacing w:after="0" w:line="233" w:lineRule="auto"/>
        <w:rPr>
          <w:sz w:val="20"/>
          <w:szCs w:val="20"/>
          <w:color w:val="auto"/>
        </w:rPr>
      </w:pPr>
      <w:r>
        <w:rPr>
          <w:rFonts w:ascii="Times New Roman" w:cs="Times New Roman" w:eastAsia="Times New Roman" w:hAnsi="Times New Roman"/>
          <w:sz w:val="22"/>
          <w:szCs w:val="22"/>
          <w:color w:val="auto"/>
        </w:rPr>
        <w:t xml:space="preserve">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(to the extent applicable and as defined in any agreement between the Grantee and the Company or an Affiliate of the Company) or serve as a basis for a claim of constructive termination under any benefits or compensation arrangement applicable to the Grantee, or (ii) to constitute a breach of a contract or other arrangement to which the Grantee is a party.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is a material term of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1303655</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0" w:name="page81"/>
    <w:bookmarkEnd w:id="80"/>
    <w:p>
      <w:pPr>
        <w:ind w:left="450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-13970</wp:posOffset>
            </wp:positionV>
            <wp:extent cx="274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274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-13970</wp:posOffset>
            </wp:positionV>
            <wp:extent cx="274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1901190</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276860</wp:posOffset>
            </wp:positionV>
            <wp:extent cx="274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568325</wp:posOffset>
            </wp:positionV>
            <wp:extent cx="274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859790</wp:posOffset>
            </wp:positionV>
            <wp:extent cx="274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1" w:name="page82"/>
    <w:bookmarkEnd w:id="81"/>
    <w:p>
      <w:pPr>
        <w:ind w:left="7540"/>
        <w:spacing w:after="0"/>
        <w:rPr>
          <w:sz w:val="20"/>
          <w:szCs w:val="20"/>
          <w:color w:val="auto"/>
        </w:rPr>
      </w:pPr>
      <w:r>
        <w:rPr>
          <w:rFonts w:ascii="Times New Roman" w:cs="Times New Roman" w:eastAsia="Times New Roman" w:hAnsi="Times New Roman"/>
          <w:sz w:val="20"/>
          <w:szCs w:val="20"/>
          <w:color w:val="auto"/>
        </w:rPr>
        <w:t>Exhibit 10.6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COMPANY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CRISPR THERAPEUTICS AG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STOCK OPTION AND INCENTIVE PLAN</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Grant Date:</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Pursuant to the CRISPR Therapeutics AG 2026 Stock Option and Incentive Plan as</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amended and in effect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CRISPR Therapeutics AG (the</w:t>
      </w:r>
    </w:p>
    <w:p>
      <w:pPr>
        <w:ind w:left="30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an award of the number of Restricted Stock Units listed above (an</w:t>
      </w:r>
    </w:p>
    <w:p>
      <w:pPr>
        <w:ind w:left="30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the Grantee named above. Each Restricted Stock Unit shall relate to one common</w:t>
      </w:r>
    </w:p>
    <w:p>
      <w:pPr>
        <w:ind w:left="300"/>
        <w:spacing w:after="0" w:line="230" w:lineRule="auto"/>
        <w:rPr>
          <w:sz w:val="20"/>
          <w:szCs w:val="20"/>
          <w:color w:val="auto"/>
        </w:rPr>
      </w:pPr>
      <w:r>
        <w:rPr>
          <w:rFonts w:ascii="Times New Roman" w:cs="Times New Roman" w:eastAsia="Times New Roman" w:hAnsi="Times New Roman"/>
          <w:sz w:val="22"/>
          <w:szCs w:val="22"/>
          <w:color w:val="auto"/>
        </w:rPr>
        <w:t>share, nominal value CHF 0.03 per share of the Company (each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w:t>
      </w:r>
    </w:p>
    <w:p>
      <w:pPr>
        <w:ind w:left="300"/>
        <w:spacing w:after="0" w:line="231" w:lineRule="auto"/>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w:t>
      </w:r>
    </w:p>
    <w:p>
      <w:pPr>
        <w:ind w:left="300" w:right="439" w:firstLine="368"/>
        <w:spacing w:after="0" w:line="232"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xml:space="preserve">. This Award may not be sold, transferred, pledged, assigned or otherwise encumbered or disposed of by the Grantee, and any Common Shares issuable with respect to the Award may not be sold, transferred, pledged, assigned or otherwise encumbered or disposed of until (i) the Restricted Stock Units have vested as provided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and (ii) Common Shares have been issued to the Grantee in accordance with the terms of the Plan and this Agreement.</w:t>
      </w:r>
    </w:p>
    <w:p>
      <w:pPr>
        <w:spacing w:after="0" w:line="182" w:lineRule="exact"/>
        <w:rPr>
          <w:rFonts w:ascii="Times New Roman" w:cs="Times New Roman" w:eastAsia="Times New Roman" w:hAnsi="Times New Roman"/>
          <w:sz w:val="22"/>
          <w:szCs w:val="22"/>
          <w:color w:val="auto"/>
        </w:rPr>
      </w:pPr>
    </w:p>
    <w:p>
      <w:pPr>
        <w:ind w:left="300" w:right="319" w:firstLine="368"/>
        <w:spacing w:after="0" w:line="236"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xml:space="preserve">. The restrictions and conditions of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Agreement shall lapse on the Vesting Date or Dates specified in the following schedule so long as the Grantee maintains a continuous Service Relationship with the Company or any Affiliate thereof through and including such Dates. Subject to the foregoing, if a series of Vesting Dates is specified, then the restrictions and conditions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lapse only with respect to the number of Restricted Stock Units specified as vested on such date.</w:t>
      </w: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###VEST_SCHEDULE_TABLE###</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 xml:space="preserve">The Administrator may at any time accelerate the vesting schedule specified in this </w:t>
      </w:r>
      <w:r>
        <w:rPr>
          <w:rFonts w:ascii="Times New Roman" w:cs="Times New Roman" w:eastAsia="Times New Roman" w:hAnsi="Times New Roman"/>
          <w:sz w:val="21"/>
          <w:szCs w:val="21"/>
          <w:u w:val="single" w:color="auto"/>
          <w:color w:val="auto"/>
        </w:rPr>
        <w:t>Section</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300" w:right="459" w:firstLine="368"/>
        <w:spacing w:after="0" w:line="246" w:lineRule="auto"/>
        <w:tabs>
          <w:tab w:leader="none" w:pos="118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Relationship</w:t>
      </w:r>
      <w:r>
        <w:rPr>
          <w:rFonts w:ascii="Times New Roman" w:cs="Times New Roman" w:eastAsia="Times New Roman" w:hAnsi="Times New Roman"/>
          <w:sz w:val="21"/>
          <w:szCs w:val="21"/>
          <w:color w:val="auto"/>
        </w:rPr>
        <w:t xml:space="preserve">. If the Grantee’s Service Relationship with the Company or any Affiliate thereof terminates for any reason (including death or disability) prior to the satisfaction of the vesting conditions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Notwithstanding the foregoing and subject to applicable law, if the Grantee’s Service Relationship is terminated for Cause (as hereinafter defined) by the Company or any Affiliate thereof or the Grantee violates any continuing obligation or other post-employment or post-termination obligation Grantee may owe to the Company or any Affiliate thereof,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1004570</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82" w:name="page83"/>
    <w:bookmarkEnd w:id="82"/>
    <w:p>
      <w:pPr>
        <w:spacing w:after="0" w:line="185" w:lineRule="exact"/>
        <w:rPr>
          <w:sz w:val="20"/>
          <w:szCs w:val="20"/>
          <w:color w:val="auto"/>
        </w:rPr>
      </w:pPr>
    </w:p>
    <w:p>
      <w:pPr>
        <w:jc w:val="both"/>
        <w:ind w:left="300" w:right="399"/>
        <w:spacing w:after="0" w:line="244" w:lineRule="auto"/>
        <w:rPr>
          <w:sz w:val="20"/>
          <w:szCs w:val="20"/>
          <w:color w:val="auto"/>
        </w:rPr>
      </w:pPr>
      <w:r>
        <w:rPr>
          <w:rFonts w:ascii="Times New Roman" w:cs="Times New Roman" w:eastAsia="Times New Roman" w:hAnsi="Times New Roman"/>
          <w:sz w:val="22"/>
          <w:szCs w:val="22"/>
          <w:color w:val="auto"/>
        </w:rPr>
        <w:t>Company, in the Administrator’s sole discretion, may cause the forfeiture or cancellation of any Award granted to Grantee, whether now existing or hereafter formed, and regardless of the form of such Award.</w:t>
      </w:r>
    </w:p>
    <w:p>
      <w:pPr>
        <w:spacing w:after="0" w:line="173" w:lineRule="exact"/>
        <w:rPr>
          <w:sz w:val="20"/>
          <w:szCs w:val="20"/>
          <w:color w:val="auto"/>
        </w:rPr>
      </w:pPr>
    </w:p>
    <w:p>
      <w:pPr>
        <w:ind w:left="300" w:right="319" w:firstLine="368"/>
        <w:spacing w:after="0" w:line="236"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Common Shares</w:t>
      </w:r>
      <w:r>
        <w:rPr>
          <w:rFonts w:ascii="Times New Roman" w:cs="Times New Roman" w:eastAsia="Times New Roman" w:hAnsi="Times New Roman"/>
          <w:sz w:val="22"/>
          <w:szCs w:val="22"/>
          <w:color w:val="auto"/>
        </w:rPr>
        <w:t xml:space="preserve">. As soon as practicable following each Vesting Date (but in no event later than two and one-half months after the end of the year in which the Vesting Date occurs), the Company shall issue to the Grantee the number of Common Shares equal to the aggregate number of Restricted Stock Units that have vested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on such date and the Grantee shall thereafter have all the rights of a shareholder of the Company with respect to such shares.</w:t>
      </w:r>
    </w:p>
    <w:p>
      <w:pPr>
        <w:spacing w:after="0" w:line="181" w:lineRule="exact"/>
        <w:rPr>
          <w:rFonts w:ascii="Times New Roman" w:cs="Times New Roman" w:eastAsia="Times New Roman" w:hAnsi="Times New Roman"/>
          <w:sz w:val="22"/>
          <w:szCs w:val="22"/>
          <w:color w:val="auto"/>
        </w:rPr>
      </w:pPr>
    </w:p>
    <w:p>
      <w:pPr>
        <w:ind w:left="300" w:right="319" w:firstLine="368"/>
        <w:spacing w:after="0" w:line="255" w:lineRule="auto"/>
        <w:tabs>
          <w:tab w:leader="none" w:pos="118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rFonts w:ascii="Times New Roman" w:cs="Times New Roman" w:eastAsia="Times New Roman" w:hAnsi="Times New Roman"/>
          <w:sz w:val="21"/>
          <w:szCs w:val="21"/>
          <w:color w:val="auto"/>
        </w:rPr>
      </w:pPr>
    </w:p>
    <w:p>
      <w:pPr>
        <w:ind w:left="300" w:right="299" w:firstLine="368"/>
        <w:spacing w:after="0" w:line="243" w:lineRule="auto"/>
        <w:tabs>
          <w:tab w:leader="none" w:pos="118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xml:space="preserve">. In connection with the settlement of vested Restricted Stock Units, the Company shall issue the number of Common Shares referred to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above to a broker designated by the Company and acting on behalf and for the account of the Grantee with irrevocable instructions to (i) sell a number of Common Shares sufficient to satisfy the applicable withholding taxes which arise in connection with such settlement;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amount sold does not exceed the maximum statutory tax rate or such lesser amount as is necessary to avoid liability accounting treatment, along with any applicable third-party commission (“</w:t>
      </w:r>
      <w:r>
        <w:rPr>
          <w:rFonts w:ascii="Times New Roman" w:cs="Times New Roman" w:eastAsia="Times New Roman" w:hAnsi="Times New Roman"/>
          <w:sz w:val="21"/>
          <w:szCs w:val="21"/>
          <w:b w:val="1"/>
          <w:bCs w:val="1"/>
          <w:color w:val="auto"/>
        </w:rPr>
        <w:t>Sale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Cover</w:t>
      </w:r>
      <w:r>
        <w:rPr>
          <w:rFonts w:ascii="Times New Roman" w:cs="Times New Roman" w:eastAsia="Times New Roman" w:hAnsi="Times New Roman"/>
          <w:sz w:val="21"/>
          <w:szCs w:val="21"/>
          <w:color w:val="auto"/>
        </w:rPr>
        <w:t>”) and (ii) remit the proceeds of such Sale to Cover to the Company. In the event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proceeds from the Sale to Cover are insufficient to fully satisfy the applicable withholding taxes, the Grantee authorizes withholding from payroll and any other amounts payable to the Grantee, in the same calendar year, and otherwise agrees to make adequate provision through the submission of cash, a check or its equivalent for any sums required to satisfy the remaining applicable withholding taxes. Given that the Sale to Cover is both mandatory and non-discretionary, it is the intent of the parties that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comply with the requirements of Rule 10b5-1(c)(1)(i)(B) under the US Exchange Act, and the Agreement will be interpreted to comply with the requirements of Rule 10b5-1(c) under the US Exchange Act. Unless the withholding tax obligations of the Company and/or any Affiliate thereof are satisfied by the Grantee in accordance with this provision, the Company shall have no obligation to issue any Common Shares on the Grantee’s behalf pursuant to the vesting of the Restricted Stock Units. The Company and the Grantee intend that the representations and requirements set forth in Rule 10b5-1(c)(1)(ii) under the US Exchange Act shall be deemed to have been made and satisfied by virtue of the mandatory and non-discretionary Sale to Cover requirement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ind w:left="300" w:right="819" w:firstLine="368"/>
        <w:spacing w:after="0" w:line="239"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US Tax Code</w:t>
      </w:r>
      <w:r>
        <w:rPr>
          <w:rFonts w:ascii="Times New Roman" w:cs="Times New Roman" w:eastAsia="Times New Roman" w:hAnsi="Times New Roman"/>
          <w:sz w:val="22"/>
          <w:szCs w:val="22"/>
          <w:color w:val="auto"/>
        </w:rPr>
        <w:t>. This Agreement shall be interpreted in such a manner that all provisions relating to the settlement of the Award are exempt from the requirements of Section 409A of the US Tax Code as “short-term deferrals” as described in Section 409A of the US Tax Code.</w:t>
      </w:r>
    </w:p>
    <w:p>
      <w:pPr>
        <w:spacing w:after="0" w:line="180" w:lineRule="exact"/>
        <w:rPr>
          <w:rFonts w:ascii="Times New Roman" w:cs="Times New Roman" w:eastAsia="Times New Roman" w:hAnsi="Times New Roman"/>
          <w:sz w:val="22"/>
          <w:szCs w:val="22"/>
          <w:color w:val="auto"/>
        </w:rPr>
      </w:pPr>
    </w:p>
    <w:p>
      <w:pPr>
        <w:ind w:left="300" w:right="339" w:firstLine="368"/>
        <w:spacing w:after="0" w:line="261" w:lineRule="auto"/>
        <w:tabs>
          <w:tab w:leader="none" w:pos="118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any Affiliate thereof is obligated by or as a result of the Plan or this Agreement to maintain a Service Relationship with the Grantee, and neither the Plan nor this Agreement shall interfere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996315</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ind w:left="300" w:right="519"/>
        <w:spacing w:after="0" w:line="258" w:lineRule="auto"/>
        <w:rPr>
          <w:sz w:val="20"/>
          <w:szCs w:val="20"/>
          <w:color w:val="auto"/>
        </w:rPr>
      </w:pPr>
      <w:r>
        <w:rPr>
          <w:rFonts w:ascii="Times New Roman" w:cs="Times New Roman" w:eastAsia="Times New Roman" w:hAnsi="Times New Roman"/>
          <w:sz w:val="22"/>
          <w:szCs w:val="22"/>
          <w:color w:val="auto"/>
        </w:rPr>
        <w:t>with the right of the Company or any Affiliate thereof to terminate any Service Relationship of the Grantee at any time.</w:t>
      </w:r>
    </w:p>
    <w:p>
      <w:pPr>
        <w:spacing w:after="0" w:line="158" w:lineRule="exact"/>
        <w:rPr>
          <w:sz w:val="20"/>
          <w:szCs w:val="20"/>
          <w:color w:val="auto"/>
        </w:rPr>
      </w:pPr>
    </w:p>
    <w:p>
      <w:pPr>
        <w:ind w:left="300" w:right="439" w:firstLine="368"/>
        <w:spacing w:after="0" w:line="244"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300" w:right="479" w:firstLine="368"/>
        <w:spacing w:after="0" w:line="233"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2"/>
          <w:szCs w:val="22"/>
          <w:b w:val="1"/>
          <w:bCs w:val="1"/>
          <w:color w:val="auto"/>
        </w:rPr>
        <w:t>Relevant Companies</w:t>
      </w:r>
      <w:r>
        <w:rPr>
          <w:rFonts w:ascii="Times New Roman" w:cs="Times New Roman" w:eastAsia="Times New Roman" w:hAnsi="Times New Roman"/>
          <w:sz w:val="22"/>
          <w:szCs w:val="22"/>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b w:val="1"/>
          <w:bCs w:val="1"/>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By entering into this Agreement, the Grantee (i) authorizes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ind w:left="300" w:right="319" w:firstLine="368"/>
        <w:spacing w:after="0" w:line="239"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0" w:lineRule="exact"/>
        <w:rPr>
          <w:rFonts w:ascii="Times New Roman" w:cs="Times New Roman" w:eastAsia="Times New Roman" w:hAnsi="Times New Roman"/>
          <w:sz w:val="22"/>
          <w:szCs w:val="22"/>
          <w:color w:val="auto"/>
        </w:rPr>
      </w:pPr>
    </w:p>
    <w:p>
      <w:pPr>
        <w:ind w:left="300" w:right="339" w:firstLine="368"/>
        <w:spacing w:after="0" w:line="243" w:lineRule="auto"/>
        <w:tabs>
          <w:tab w:leader="none" w:pos="1181"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Acknowledgement</w:t>
      </w:r>
      <w:r>
        <w:rPr>
          <w:rFonts w:ascii="Times New Roman" w:cs="Times New Roman" w:eastAsia="Times New Roman" w:hAnsi="Times New Roman"/>
          <w:sz w:val="21"/>
          <w:szCs w:val="21"/>
          <w:color w:val="auto"/>
        </w:rPr>
        <w:t>. The Grantee acknowledges that the Grantee may become subject to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(to the extent applicable and as defined in any agreement between the Grantee and the Company or an Affiliate of the Company) or serve as a basis for a claim of constructive termination under any benefits or compensation arrangement applicable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1015365</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4" w:name="page85"/>
    <w:bookmarkEnd w:id="84"/>
    <w:p>
      <w:pPr>
        <w:ind w:left="300" w:right="359"/>
        <w:spacing w:after="0" w:line="258" w:lineRule="auto"/>
        <w:rPr>
          <w:sz w:val="20"/>
          <w:szCs w:val="20"/>
          <w:color w:val="auto"/>
        </w:rPr>
      </w:pPr>
      <w:r>
        <w:rPr>
          <w:rFonts w:ascii="Times New Roman" w:cs="Times New Roman" w:eastAsia="Times New Roman" w:hAnsi="Times New Roman"/>
          <w:sz w:val="22"/>
          <w:szCs w:val="22"/>
          <w:color w:val="auto"/>
        </w:rPr>
        <w:t xml:space="preserve">the Grantee, or (ii) to constitute a breach of a contract or other arrangement to which the Grantee is a party.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is a material term of this Agreement.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892175</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5" w:name="page86"/>
    <w:bookmarkEnd w:id="85"/>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-13970</wp:posOffset>
            </wp:positionV>
            <wp:extent cx="274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274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-13970</wp:posOffset>
            </wp:positionV>
            <wp:extent cx="274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3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1986915</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276860</wp:posOffset>
            </wp:positionV>
            <wp:extent cx="274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568325</wp:posOffset>
            </wp:positionV>
            <wp:extent cx="274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859790</wp:posOffset>
            </wp:positionV>
            <wp:extent cx="274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jc w:val="right"/>
        <w:ind w:right="299"/>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RESTRICTED STOCK UNIT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NON-EMPLOYEE DIRECTORS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CRISPR THERAPEUTICS AG</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STOCK OPTION AND INCENTIVE PLAN</w:t>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Grant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Pursuant to the CRISPR Therapeutics AG 2026 Stock Option and Incentive Plan as</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amended and in effect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CRISPR Therapeutics AG (the</w:t>
      </w:r>
    </w:p>
    <w:p>
      <w:pPr>
        <w:ind w:left="30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an award of the number of Restricted Stock Units listed above (an</w:t>
      </w:r>
    </w:p>
    <w:p>
      <w:pPr>
        <w:ind w:left="30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the Grantee named above. Each Restricted Stock Unit shall relate to one common</w:t>
      </w:r>
    </w:p>
    <w:p>
      <w:pPr>
        <w:ind w:left="300"/>
        <w:spacing w:after="0" w:line="230" w:lineRule="auto"/>
        <w:rPr>
          <w:sz w:val="20"/>
          <w:szCs w:val="20"/>
          <w:color w:val="auto"/>
        </w:rPr>
      </w:pPr>
      <w:r>
        <w:rPr>
          <w:rFonts w:ascii="Times New Roman" w:cs="Times New Roman" w:eastAsia="Times New Roman" w:hAnsi="Times New Roman"/>
          <w:sz w:val="22"/>
          <w:szCs w:val="22"/>
          <w:color w:val="auto"/>
        </w:rPr>
        <w:t>share, nominal value CHF 0.03 per share of the Company (each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300" w:right="319" w:firstLine="640"/>
        <w:spacing w:after="0" w:line="236"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xml:space="preserve">. This Award may not be sold, transferred, pledged, assigned or otherwise encumbered or disposed of by the Grantee, and any Common Shares issuable with respect to the Award may not be sold, transferred, pledged, assigned or otherwise encumbered or disposed of until (i) the Restricted Stock Units have vested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of this Agreement and (ii) Common Shares have been issued to the Grantee in accordance with the terms of the Plan and this Agreement.</w:t>
      </w:r>
    </w:p>
    <w:p>
      <w:pPr>
        <w:spacing w:after="0" w:line="181" w:lineRule="exact"/>
        <w:rPr>
          <w:rFonts w:ascii="Times New Roman" w:cs="Times New Roman" w:eastAsia="Times New Roman" w:hAnsi="Times New Roman"/>
          <w:sz w:val="22"/>
          <w:szCs w:val="22"/>
          <w:color w:val="auto"/>
        </w:rPr>
      </w:pPr>
    </w:p>
    <w:p>
      <w:pPr>
        <w:ind w:left="300" w:right="319" w:firstLine="640"/>
        <w:spacing w:after="0" w:line="236"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xml:space="preserve">. The restrictions and conditions of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Agreement shall lapse on the Vesting Date or Dates specified in the following schedule so long as the Grantee maintains a continuous Service Relationship with the Company or any Affiliate thereof through and including such Dates. Subject to the foregoing, if a series of Vesting Dates is specified, then the restrictions and conditions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lapse only with respect to the number of Restricted Stock Units specified as vested on such date.</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253"/>
        </w:trPr>
        <w:tc>
          <w:tcPr>
            <w:tcW w:w="3300" w:type="dxa"/>
            <w:vAlign w:val="bottom"/>
            <w:gridSpan w:val="2"/>
          </w:tcPr>
          <w:p>
            <w:pPr>
              <w:jc w:val="center"/>
              <w:ind w:right="680"/>
              <w:spacing w:after="0"/>
              <w:rPr>
                <w:sz w:val="20"/>
                <w:szCs w:val="20"/>
                <w:color w:val="auto"/>
              </w:rPr>
            </w:pPr>
            <w:r>
              <w:rPr>
                <w:rFonts w:ascii="Times New Roman" w:cs="Times New Roman" w:eastAsia="Times New Roman" w:hAnsi="Times New Roman"/>
                <w:sz w:val="22"/>
                <w:szCs w:val="22"/>
                <w:color w:val="auto"/>
                <w:w w:val="97"/>
              </w:rPr>
              <w:t>Incremental Number of</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0"/>
        </w:trPr>
        <w:tc>
          <w:tcPr>
            <w:tcW w:w="3300" w:type="dxa"/>
            <w:vAlign w:val="bottom"/>
            <w:gridSpan w:val="2"/>
          </w:tcPr>
          <w:p>
            <w:pPr>
              <w:jc w:val="center"/>
              <w:ind w:right="700"/>
              <w:spacing w:after="0" w:line="230" w:lineRule="exact"/>
              <w:rPr>
                <w:sz w:val="20"/>
                <w:szCs w:val="20"/>
                <w:color w:val="auto"/>
              </w:rPr>
            </w:pPr>
            <w:r>
              <w:rPr>
                <w:rFonts w:ascii="Times New Roman" w:cs="Times New Roman" w:eastAsia="Times New Roman" w:hAnsi="Times New Roman"/>
                <w:sz w:val="22"/>
                <w:szCs w:val="22"/>
                <w:color w:val="auto"/>
                <w:w w:val="98"/>
              </w:rPr>
              <w:t>Restricted Stock Units Vested</w:t>
            </w:r>
          </w:p>
        </w:tc>
        <w:tc>
          <w:tcPr>
            <w:tcW w:w="2300" w:type="dxa"/>
            <w:vAlign w:val="bottom"/>
            <w:gridSpan w:val="3"/>
          </w:tcPr>
          <w:p>
            <w:pPr>
              <w:jc w:val="center"/>
              <w:ind w:left="572"/>
              <w:spacing w:after="0" w:line="230" w:lineRule="exact"/>
              <w:rPr>
                <w:sz w:val="20"/>
                <w:szCs w:val="20"/>
                <w:color w:val="auto"/>
              </w:rPr>
            </w:pPr>
            <w:r>
              <w:rPr>
                <w:rFonts w:ascii="Times New Roman" w:cs="Times New Roman" w:eastAsia="Times New Roman" w:hAnsi="Times New Roman"/>
                <w:sz w:val="22"/>
                <w:szCs w:val="22"/>
                <w:color w:val="auto"/>
                <w:w w:val="98"/>
              </w:rPr>
              <w:t>Vesting Date</w:t>
            </w:r>
          </w:p>
        </w:tc>
      </w:tr>
      <w:tr>
        <w:trPr>
          <w:trHeight w:val="20"/>
        </w:trPr>
        <w:tc>
          <w:tcPr>
            <w:tcW w:w="2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75"/>
        </w:trPr>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700" w:type="dxa"/>
            <w:vAlign w:val="bottom"/>
          </w:tcPr>
          <w:p>
            <w:pPr>
              <w:spacing w:after="0"/>
              <w:rPr>
                <w:sz w:val="24"/>
                <w:szCs w:val="24"/>
                <w:color w:val="auto"/>
              </w:rPr>
            </w:pPr>
          </w:p>
        </w:tc>
        <w:tc>
          <w:tcPr>
            <w:tcW w:w="2300" w:type="dxa"/>
            <w:vAlign w:val="bottom"/>
            <w:gridSpan w:val="3"/>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43"/>
        </w:trPr>
        <w:tc>
          <w:tcPr>
            <w:tcW w:w="2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700" w:type="dxa"/>
            <w:vAlign w:val="bottom"/>
          </w:tcPr>
          <w:p>
            <w:pPr>
              <w:spacing w:after="0"/>
              <w:rPr>
                <w:sz w:val="21"/>
                <w:szCs w:val="21"/>
                <w:color w:val="auto"/>
              </w:rPr>
            </w:pPr>
          </w:p>
        </w:tc>
        <w:tc>
          <w:tcPr>
            <w:tcW w:w="2300" w:type="dxa"/>
            <w:vAlign w:val="bottom"/>
            <w:gridSpan w:val="3"/>
          </w:tcPr>
          <w:p>
            <w:pPr>
              <w:jc w:val="center"/>
              <w:ind w:left="5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43"/>
        </w:trPr>
        <w:tc>
          <w:tcPr>
            <w:tcW w:w="2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_____________ (___%)</w:t>
            </w:r>
          </w:p>
        </w:tc>
        <w:tc>
          <w:tcPr>
            <w:tcW w:w="700" w:type="dxa"/>
            <w:vAlign w:val="bottom"/>
          </w:tcPr>
          <w:p>
            <w:pPr>
              <w:spacing w:after="0"/>
              <w:rPr>
                <w:sz w:val="21"/>
                <w:szCs w:val="21"/>
                <w:color w:val="auto"/>
              </w:rPr>
            </w:pPr>
          </w:p>
        </w:tc>
        <w:tc>
          <w:tcPr>
            <w:tcW w:w="2300" w:type="dxa"/>
            <w:vAlign w:val="bottom"/>
            <w:gridSpan w:val="3"/>
          </w:tcPr>
          <w:p>
            <w:pPr>
              <w:jc w:val="center"/>
              <w:ind w:left="5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_______________</w:t>
            </w:r>
          </w:p>
        </w:tc>
      </w:tr>
      <w:tr>
        <w:trPr>
          <w:trHeight w:val="286"/>
        </w:trPr>
        <w:tc>
          <w:tcPr>
            <w:tcW w:w="2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_____________ (___%)</w:t>
            </w:r>
          </w:p>
        </w:tc>
        <w:tc>
          <w:tcPr>
            <w:tcW w:w="700" w:type="dxa"/>
            <w:vAlign w:val="bottom"/>
          </w:tcPr>
          <w:p>
            <w:pPr>
              <w:spacing w:after="0"/>
              <w:rPr>
                <w:sz w:val="24"/>
                <w:szCs w:val="24"/>
                <w:color w:val="auto"/>
              </w:rPr>
            </w:pPr>
          </w:p>
        </w:tc>
        <w:tc>
          <w:tcPr>
            <w:tcW w:w="2300" w:type="dxa"/>
            <w:vAlign w:val="bottom"/>
            <w:gridSpan w:val="3"/>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8"/>
              </w:rPr>
              <w:t>_______________</w:t>
            </w:r>
          </w:p>
        </w:tc>
      </w:tr>
    </w:tbl>
    <w:p>
      <w:pPr>
        <w:spacing w:after="0" w:line="177" w:lineRule="exact"/>
        <w:rPr>
          <w:sz w:val="20"/>
          <w:szCs w:val="20"/>
          <w:color w:val="auto"/>
        </w:rPr>
      </w:pPr>
    </w:p>
    <w:p>
      <w:pPr>
        <w:ind w:left="300" w:right="8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Administrator may at any time accelerate the vesting schedule specified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Relationship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1026795</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87" w:name="page88"/>
    <w:bookmarkEnd w:id="87"/>
    <w:p>
      <w:pPr>
        <w:ind w:left="300" w:right="319"/>
        <w:spacing w:after="0" w:line="233" w:lineRule="auto"/>
        <w:rPr>
          <w:sz w:val="20"/>
          <w:szCs w:val="20"/>
          <w:color w:val="auto"/>
        </w:rPr>
      </w:pPr>
      <w:r>
        <w:rPr>
          <w:rFonts w:ascii="Times New Roman" w:cs="Times New Roman" w:eastAsia="Times New Roman" w:hAnsi="Times New Roman"/>
          <w:sz w:val="22"/>
          <w:szCs w:val="22"/>
          <w:color w:val="auto"/>
        </w:rPr>
        <w:t xml:space="preserve">the Company or any Affiliate thereof terminates for any reason (including death or disability) prior to the satisfaction of the vesting conditions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Notwithstanding the foregoing and subject to applicable law, if the Grantee’s Service Relationship is terminated for Cause (as hereinafter defined) by the Company or any Affiliate thereof or the Grantee violates any continuing obligation or other post-employment or post-termination obligation Grantee may owe to the Company or any Affiliate thereof, the Company, in the Administrator’s sole discretion, may cause the forfeiture or cancellation of any Award granted to Grantee, whether now existing or hereafter formed, and regardless of the form of such Award.</w:t>
      </w:r>
    </w:p>
    <w:p>
      <w:pPr>
        <w:spacing w:after="0" w:line="185" w:lineRule="exact"/>
        <w:rPr>
          <w:sz w:val="20"/>
          <w:szCs w:val="20"/>
          <w:color w:val="auto"/>
        </w:rPr>
      </w:pPr>
    </w:p>
    <w:p>
      <w:pPr>
        <w:ind w:left="300" w:right="319" w:firstLine="640"/>
        <w:spacing w:after="0" w:line="236"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Common Shares</w:t>
      </w:r>
      <w:r>
        <w:rPr>
          <w:rFonts w:ascii="Times New Roman" w:cs="Times New Roman" w:eastAsia="Times New Roman" w:hAnsi="Times New Roman"/>
          <w:sz w:val="22"/>
          <w:szCs w:val="22"/>
          <w:color w:val="auto"/>
        </w:rPr>
        <w:t xml:space="preserve">. As soon as practicable following each Vesting Date (but in no event later than two and one-half months after the end of the year in which the Vesting Date occurs), the Company shall issue to the Grantee the number of Common Shares equal to the aggregate number of Restricted Stock Units that have vested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on such date and the Grantee shall thereafter have all the rights of a shareholder of the Company with respect to such shares.</w:t>
      </w:r>
    </w:p>
    <w:p>
      <w:pPr>
        <w:spacing w:after="0" w:line="181" w:lineRule="exact"/>
        <w:rPr>
          <w:rFonts w:ascii="Times New Roman" w:cs="Times New Roman" w:eastAsia="Times New Roman" w:hAnsi="Times New Roman"/>
          <w:sz w:val="22"/>
          <w:szCs w:val="22"/>
          <w:color w:val="auto"/>
        </w:rPr>
      </w:pPr>
    </w:p>
    <w:p>
      <w:pPr>
        <w:ind w:left="300" w:right="319" w:firstLine="640"/>
        <w:spacing w:after="0" w:line="255" w:lineRule="auto"/>
        <w:tabs>
          <w:tab w:leader="none" w:pos="118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1" w:lineRule="exact"/>
        <w:rPr>
          <w:rFonts w:ascii="Times New Roman" w:cs="Times New Roman" w:eastAsia="Times New Roman" w:hAnsi="Times New Roman"/>
          <w:sz w:val="21"/>
          <w:szCs w:val="21"/>
          <w:color w:val="auto"/>
        </w:rPr>
      </w:pPr>
    </w:p>
    <w:p>
      <w:pPr>
        <w:ind w:left="300" w:right="819" w:firstLine="640"/>
        <w:spacing w:after="0" w:line="239"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US Tax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US Tax Code as “short-term deferrals” as described in Section 409A of the US Tax Code.</w:t>
      </w:r>
    </w:p>
    <w:p>
      <w:pPr>
        <w:spacing w:after="0" w:line="180" w:lineRule="exact"/>
        <w:rPr>
          <w:rFonts w:ascii="Times New Roman" w:cs="Times New Roman" w:eastAsia="Times New Roman" w:hAnsi="Times New Roman"/>
          <w:sz w:val="22"/>
          <w:szCs w:val="22"/>
          <w:color w:val="auto"/>
        </w:rPr>
      </w:pPr>
    </w:p>
    <w:p>
      <w:pPr>
        <w:ind w:left="300" w:right="299" w:firstLine="640"/>
        <w:spacing w:after="0" w:line="235"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as a member of the Board or Continue Service Relationship</w:t>
      </w:r>
      <w:r>
        <w:rPr>
          <w:rFonts w:ascii="Times New Roman" w:cs="Times New Roman" w:eastAsia="Times New Roman" w:hAnsi="Times New Roman"/>
          <w:sz w:val="22"/>
          <w:szCs w:val="22"/>
          <w:color w:val="auto"/>
        </w:rPr>
        <w:t>. Neither the Plan nor this Award confers upon the Grantee any rights with respect to continuance as a member of the Board. In addition, neither the Company nor any Affiliate thereof is obligated by or as a result of the Plan or this Agreement to maintain a Service Relationship with the Grantee, and neither the Plan nor this Agreement shall interfere in any way with the right of the Company or any Affiliate thereof to terminate any Service Relationship of the Grantee at any time.</w:t>
      </w:r>
    </w:p>
    <w:p>
      <w:pPr>
        <w:spacing w:after="0" w:line="183" w:lineRule="exact"/>
        <w:rPr>
          <w:rFonts w:ascii="Times New Roman" w:cs="Times New Roman" w:eastAsia="Times New Roman" w:hAnsi="Times New Roman"/>
          <w:sz w:val="22"/>
          <w:szCs w:val="22"/>
          <w:color w:val="auto"/>
        </w:rPr>
      </w:pPr>
    </w:p>
    <w:p>
      <w:pPr>
        <w:ind w:left="300" w:right="439" w:firstLine="640"/>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jc w:val="both"/>
        <w:ind w:left="300" w:right="479" w:firstLine="640"/>
        <w:spacing w:after="0" w:line="255" w:lineRule="auto"/>
        <w:tabs>
          <w:tab w:leader="none" w:pos="118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21"/>
          <w:szCs w:val="21"/>
          <w:b w:val="1"/>
          <w:bCs w:val="1"/>
          <w:color w:val="auto"/>
        </w:rPr>
        <w:t>Relevant Companies</w:t>
      </w:r>
      <w:r>
        <w:rPr>
          <w:rFonts w:ascii="Times New Roman" w:cs="Times New Roman" w:eastAsia="Times New Roman" w:hAnsi="Times New Roman"/>
          <w:sz w:val="21"/>
          <w:szCs w:val="21"/>
          <w:color w:val="auto"/>
        </w:rPr>
        <w:t>”) may process any and all personal or professional data, including but not limited to Social Security or other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998855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8" w:name="page89"/>
    <w:bookmarkEnd w:id="88"/>
    <w:p>
      <w:pPr>
        <w:ind w:left="300" w:right="579"/>
        <w:spacing w:after="0" w:line="234" w:lineRule="auto"/>
        <w:rPr>
          <w:sz w:val="20"/>
          <w:szCs w:val="20"/>
          <w:color w:val="auto"/>
        </w:rPr>
      </w:pPr>
      <w:r>
        <w:rPr>
          <w:rFonts w:ascii="Times New Roman" w:cs="Times New Roman" w:eastAsia="Times New Roman" w:hAnsi="Times New Roman"/>
          <w:sz w:val="22"/>
          <w:szCs w:val="22"/>
          <w:color w:val="auto"/>
        </w:rPr>
        <w:t>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b w:val="1"/>
          <w:bCs w:val="1"/>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By entering into this Agreement, the Grantee (i) authorizes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9" w:lineRule="exact"/>
        <w:rPr>
          <w:sz w:val="20"/>
          <w:szCs w:val="20"/>
          <w:color w:val="auto"/>
        </w:rPr>
      </w:pPr>
    </w:p>
    <w:p>
      <w:pPr>
        <w:ind w:left="300" w:right="359" w:firstLine="648"/>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1303655</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9" w:name="page90"/>
    <w:bookmarkEnd w:id="89"/>
    <w:p>
      <w:pPr>
        <w:ind w:left="450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-13970</wp:posOffset>
            </wp:positionV>
            <wp:extent cx="274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274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-13970</wp:posOffset>
            </wp:positionV>
            <wp:extent cx="274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1738630</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276860</wp:posOffset>
            </wp:positionV>
            <wp:extent cx="274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568325</wp:posOffset>
            </wp:positionV>
            <wp:extent cx="274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859790</wp:posOffset>
            </wp:positionV>
            <wp:extent cx="274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lvl w:ilvl="1">
      <w:lvlJc w:val="left"/>
      <w:lvlText w:val="%2"/>
      <w:numFmt w:val="decimal"/>
      <w:start w:val="104"/>
    </w:lvl>
  </w:abstractNum>
  <w:abstractNum w:abstractNumId="2">
    <w:nsid w:val="684A481A"/>
    <w:multiLevelType w:val="hybridMultilevel"/>
    <w:lvl w:ilvl="0">
      <w:lvlJc w:val="left"/>
      <w:lvlText w:val="%1."/>
      <w:numFmt w:val="upperLetter"/>
      <w:start w:val="9"/>
    </w:lvl>
  </w:abstractNum>
  <w:abstractNum w:abstractNumId="3">
    <w:nsid w:val="579478FE"/>
    <w:multiLevelType w:val="hybridMultilevel"/>
    <w:lvl w:ilvl="0">
      <w:lvlJc w:val="left"/>
      <w:lvlText w:val="%1."/>
      <w:numFmt w:val="upperLetter"/>
      <w:start w:val="9"/>
    </w:lvl>
  </w:abstractNum>
  <w:abstractNum w:abstractNumId="4">
    <w:nsid w:val="749ABB43"/>
    <w:multiLevelType w:val="hybridMultilevel"/>
    <w:lvl w:ilvl="0">
      <w:lvlJc w:val="left"/>
      <w:lvlText w:val="%1."/>
      <w:numFmt w:val="upperLetter"/>
      <w:start w:val="35"/>
    </w:lvl>
  </w:abstractNum>
  <w:abstractNum w:abstractNumId="5">
    <w:nsid w:val="3DC240FB"/>
    <w:multiLevelType w:val="hybridMultilevel"/>
    <w:lvl w:ilvl="0">
      <w:lvlJc w:val="left"/>
      <w:lvlText w:val="%1."/>
      <w:numFmt w:val="upperLetter"/>
      <w:start w:val="35"/>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lowerLetter"/>
      <w:start w:val="1"/>
    </w:lvl>
  </w:abstractNum>
  <w:abstractNum w:abstractNumId="8">
    <w:nsid w:val="75C6C33A"/>
    <w:multiLevelType w:val="hybridMultilevel"/>
    <w:lvl w:ilvl="0">
      <w:lvlJc w:val="left"/>
      <w:lvlText w:val="%1)"/>
      <w:numFmt w:val="lowerLetter"/>
      <w:start w:val="5"/>
    </w:lvl>
  </w:abstractNum>
  <w:abstractNum w:abstractNumId="9">
    <w:nsid w:val="12E685FB"/>
    <w:multiLevelType w:val="hybridMultilevel"/>
    <w:lvl w:ilvl="0">
      <w:lvlJc w:val="left"/>
      <w:lvlText w:val="%1)"/>
      <w:numFmt w:val="lowerLetter"/>
      <w:start w:val="6"/>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lowerRoman"/>
      <w:start w:val="1"/>
    </w:lvl>
  </w:abstractNum>
  <w:abstractNum w:abstractNumId="12">
    <w:nsid w:val="374A3FE6"/>
    <w:multiLevelType w:val="hybridMultilevel"/>
    <w:lvl w:ilvl="0">
      <w:lvlJc w:val="left"/>
      <w:lvlText w:val="%1"/>
      <w:numFmt w:val="lowerLetter"/>
      <w:start w:val="1"/>
    </w:lvl>
    <w:lvl w:ilvl="1">
      <w:lvlJc w:val="left"/>
      <w:lvlText w:val="(%2)"/>
      <w:numFmt w:val="lowerRoman"/>
      <w:start w:val="2"/>
    </w:lvl>
  </w:abstractNum>
  <w:abstractNum w:abstractNumId="13">
    <w:nsid w:val="4F4EF005"/>
    <w:multiLevelType w:val="hybridMultilevel"/>
    <w:lvl w:ilvl="0">
      <w:lvlJc w:val="left"/>
      <w:lvlText w:val="(%1)"/>
      <w:numFmt w:val="lowerLetter"/>
      <w:start w:val="2"/>
    </w:lvl>
    <w:lvl w:ilvl="1">
      <w:lvlJc w:val="left"/>
      <w:lvlText w:val="%2"/>
      <w:numFmt w:val="lowerRoman"/>
      <w:start w:val="1"/>
    </w:lvl>
  </w:abstractNum>
  <w:abstractNum w:abstractNumId="14">
    <w:nsid w:val="23F9C13C"/>
    <w:multiLevelType w:val="hybridMultilevel"/>
    <w:lvl w:ilvl="0">
      <w:lvlJc w:val="left"/>
      <w:lvlText w:val="(%1)"/>
      <w:numFmt w:val="upperLetter"/>
      <w:start w:val="9"/>
    </w:lvl>
    <w:lvl w:ilvl="1">
      <w:lvlJc w:val="left"/>
      <w:lvlText w:val="(%2)"/>
      <w:numFmt w:val="decimal"/>
      <w:start w:val="1"/>
    </w:lvl>
  </w:abstractNum>
  <w:abstractNum w:abstractNumId="15">
    <w:nsid w:val="649BB77C"/>
    <w:multiLevelType w:val="hybridMultilevel"/>
    <w:lvl w:ilvl="0">
      <w:lvlJc w:val="left"/>
      <w:lvlText w:val="(%1)"/>
      <w:numFmt w:val="lowerRoman"/>
      <w:start w:val="2"/>
    </w:lvl>
  </w:abstractNum>
  <w:abstractNum w:abstractNumId="16">
    <w:nsid w:val="275AC794"/>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7">
    <w:nsid w:val="3938657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8">
    <w:nsid w:val="1CF10FD8"/>
    <w:multiLevelType w:val="hybridMultilevel"/>
    <w:lvl w:ilvl="0">
      <w:lvlJc w:val="left"/>
      <w:lvlText w:val="(%1)"/>
      <w:numFmt w:val="lowerRoman"/>
      <w:start w:val="3"/>
    </w:lvl>
  </w:abstractNum>
  <w:abstractNum w:abstractNumId="19">
    <w:nsid w:val="180115BE"/>
    <w:multiLevelType w:val="hybridMultilevel"/>
    <w:lvl w:ilvl="0">
      <w:lvlJc w:val="left"/>
      <w:lvlText w:val="(%1)"/>
      <w:numFmt w:val="lowerRoman"/>
      <w:start w:val="3"/>
    </w:lvl>
    <w:lvl w:ilvl="1">
      <w:lvlJc w:val="left"/>
      <w:lvlText w:val="(%2)"/>
      <w:numFmt w:val="upperLetter"/>
      <w:start w:val="4"/>
    </w:lvl>
  </w:abstractNum>
  <w:abstractNum w:abstractNumId="20">
    <w:nsid w:val="235BA861"/>
    <w:multiLevelType w:val="hybridMultilevel"/>
    <w:lvl w:ilvl="0">
      <w:lvlJc w:val="left"/>
      <w:lvlText w:val="%1."/>
      <w:numFmt w:val="upperLetter"/>
      <w:start w:val="1"/>
    </w:lvl>
  </w:abstractNum>
  <w:abstractNum w:abstractNumId="21">
    <w:nsid w:val="47398C89"/>
    <w:multiLevelType w:val="hybridMultilevel"/>
    <w:lvl w:ilvl="0">
      <w:lvlJc w:val="left"/>
      <w:lvlText w:val="%1."/>
      <w:numFmt w:val="upperLetter"/>
      <w:start w:val="1"/>
    </w:lvl>
  </w:abstractNum>
  <w:abstractNum w:abstractNumId="22">
    <w:nsid w:val="354FE9F9"/>
    <w:multiLevelType w:val="hybridMultilevel"/>
    <w:lvl w:ilvl="0">
      <w:lvlJc w:val="left"/>
      <w:lvlText w:val="%1)"/>
      <w:numFmt w:val="lowerLetter"/>
      <w:start w:val="1"/>
    </w:lvl>
  </w:abstractNum>
  <w:abstractNum w:abstractNumId="23">
    <w:nsid w:val="15B5AF5C"/>
    <w:multiLevelType w:val="hybridMultilevel"/>
    <w:lvl w:ilvl="0">
      <w:lvlJc w:val="left"/>
      <w:lvlText w:val="%1)"/>
      <w:numFmt w:val="lowerLetter"/>
      <w:start w:val="1"/>
    </w:lvl>
  </w:abstractNum>
  <w:abstractNum w:abstractNumId="24">
    <w:nsid w:val="741226BB"/>
    <w:multiLevelType w:val="hybridMultilevel"/>
    <w:lvl w:ilvl="0">
      <w:lvlJc w:val="left"/>
      <w:lvlText w:val="(%1)"/>
      <w:numFmt w:val="lowerLetter"/>
      <w:start w:val="2"/>
    </w:lvl>
  </w:abstractNum>
  <w:abstractNum w:abstractNumId="25">
    <w:nsid w:val="D34B6A8"/>
    <w:multiLevelType w:val="hybridMultilevel"/>
    <w:lvl w:ilvl="0">
      <w:lvlJc w:val="left"/>
      <w:lvlText w:val="(%1)"/>
      <w:numFmt w:val="lowerRoman"/>
      <w:start w:val="3"/>
    </w:lvl>
  </w:abstractNum>
  <w:abstractNum w:abstractNumId="26">
    <w:nsid w:val="10233C99"/>
    <w:multiLevelType w:val="hybridMultilevel"/>
    <w:lvl w:ilvl="0">
      <w:lvlJc w:val="left"/>
      <w:lvlText w:val="(%1)"/>
      <w:numFmt w:val="lowerRoman"/>
      <w:start w:val="1"/>
    </w:lvl>
  </w:abstractNum>
  <w:abstractNum w:abstractNumId="27">
    <w:nsid w:val="3F6AB60F"/>
    <w:multiLevelType w:val="hybridMultilevel"/>
    <w:lvl w:ilvl="0">
      <w:lvlJc w:val="left"/>
      <w:lvlText w:val="%1)"/>
      <w:numFmt w:val="lowerLetter"/>
      <w:start w:val="1"/>
    </w:lvl>
    <w:lvl w:ilvl="1">
      <w:lvlJc w:val="left"/>
      <w:lvlText w:val="(%2)"/>
      <w:numFmt w:val="lowerRoman"/>
      <w:start w:val="1"/>
    </w:lvl>
  </w:abstractNum>
  <w:abstractNum w:abstractNumId="28">
    <w:nsid w:val="61574095"/>
    <w:multiLevelType w:val="hybridMultilevel"/>
    <w:lvl w:ilvl="0">
      <w:lvlJc w:val="left"/>
      <w:lvlText w:val="%1)"/>
      <w:numFmt w:val="lowerLetter"/>
      <w:start w:val="1"/>
    </w:lvl>
    <w:lvl w:ilvl="1">
      <w:lvlJc w:val="left"/>
      <w:lvlText w:val="(%2)"/>
      <w:numFmt w:val="lowerRoman"/>
      <w:start w:val="1"/>
    </w:lvl>
  </w:abstractNum>
  <w:abstractNum w:abstractNumId="29">
    <w:nsid w:val="7E0C57B1"/>
    <w:multiLevelType w:val="hybridMultilevel"/>
    <w:lvl w:ilvl="0">
      <w:lvlJc w:val="left"/>
      <w:lvlText w:val="%1"/>
      <w:numFmt w:val="lowerLetter"/>
      <w:start w:val="1"/>
    </w:lvl>
    <w:lvl w:ilvl="1">
      <w:lvlJc w:val="left"/>
      <w:lvlText w:val="(%2)"/>
      <w:numFmt w:val="lowerRoman"/>
      <w:start w:val="11"/>
    </w:lvl>
  </w:abstractNum>
  <w:abstractNum w:abstractNumId="30">
    <w:nsid w:val="77AE35EB"/>
    <w:multiLevelType w:val="hybridMultilevel"/>
    <w:lvl w:ilvl="0">
      <w:lvlJc w:val="left"/>
      <w:lvlText w:val="%1)"/>
      <w:numFmt w:val="lowerLetter"/>
      <w:start w:val="2"/>
    </w:lvl>
    <w:lvl w:ilvl="1">
      <w:lvlJc w:val="left"/>
      <w:lvlText w:val="%2"/>
      <w:numFmt w:val="lowerRoman"/>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lowerLetter"/>
      <w:start w:val="1"/>
    </w:lvl>
    <w:lvl w:ilvl="1">
      <w:lvlJc w:val="left"/>
      <w:lvlText w:val="(%2)"/>
      <w:numFmt w:val="lowerRoman"/>
      <w:start w:val="11"/>
    </w:lvl>
  </w:abstractNum>
  <w:abstractNum w:abstractNumId="33">
    <w:nsid w:val="5FF87E05"/>
    <w:multiLevelType w:val="hybridMultilevel"/>
    <w:lvl w:ilvl="0">
      <w:lvlJc w:val="left"/>
      <w:lvlText w:val="%1)"/>
      <w:numFmt w:val="lowerLetter"/>
      <w:start w:val="2"/>
    </w:lvl>
    <w:lvl w:ilvl="1">
      <w:lvlJc w:val="left"/>
      <w:lvlText w:val="%2"/>
      <w:numFmt w:val="lowerRoman"/>
      <w:start w:val="1"/>
    </w:lvl>
  </w:abstractNum>
  <w:abstractNum w:abstractNumId="34">
    <w:nsid w:val="2F305DEF"/>
    <w:multiLevelType w:val="hybridMultilevel"/>
    <w:lvl w:ilvl="0">
      <w:lvlJc w:val="left"/>
      <w:lvlText w:val="%1)"/>
      <w:numFmt w:val="lowerLetter"/>
      <w:start w:val="1"/>
    </w:lvl>
  </w:abstractNum>
  <w:abstractNum w:abstractNumId="35">
    <w:nsid w:val="25A70BF7"/>
    <w:multiLevelType w:val="hybridMultilevel"/>
    <w:lvl w:ilvl="0">
      <w:lvlJc w:val="left"/>
      <w:lvlText w:val="%1)"/>
      <w:numFmt w:val="lowerLetter"/>
      <w:start w:val="3"/>
    </w:lvl>
  </w:abstractNum>
  <w:abstractNum w:abstractNumId="36">
    <w:nsid w:val="1DBABF00"/>
    <w:multiLevelType w:val="hybridMultilevel"/>
    <w:lvl w:ilvl="0">
      <w:lvlJc w:val="left"/>
      <w:lvlText w:val="%1)"/>
      <w:numFmt w:val="lowerLetter"/>
      <w:start w:val="3"/>
    </w:lvl>
  </w:abstractNum>
  <w:abstractNum w:abstractNumId="37">
    <w:nsid w:val="4AD084E9"/>
    <w:multiLevelType w:val="hybridMultilevel"/>
    <w:lvl w:ilvl="0">
      <w:lvlJc w:val="left"/>
      <w:lvlText w:val="%1."/>
      <w:numFmt w:val="upperLetter"/>
      <w:start w:val="22"/>
    </w:lvl>
  </w:abstractNum>
  <w:abstractNum w:abstractNumId="38">
    <w:nsid w:val="1F48EAA1"/>
    <w:multiLevelType w:val="hybridMultilevel"/>
    <w:lvl w:ilvl="0">
      <w:lvlJc w:val="left"/>
      <w:lvlText w:val="%1."/>
      <w:numFmt w:val="upperLetter"/>
      <w:start w:val="22"/>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upperLetter"/>
      <w:start w:val="24"/>
    </w:lvl>
  </w:abstractNum>
  <w:abstractNum w:abstractNumId="56">
    <w:nsid w:val="613EFDC5"/>
    <w:multiLevelType w:val="hybridMultilevel"/>
    <w:lvl w:ilvl="0">
      <w:lvlJc w:val="left"/>
      <w:lvlText w:val="%1."/>
      <w:numFmt w:val="upperLetter"/>
      <w:start w:val="24"/>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lowerLetter"/>
      <w:start w:val="6"/>
    </w:lvl>
  </w:abstractNum>
  <w:abstractNum w:abstractNumId="59">
    <w:nsid w:val="42963E5A"/>
    <w:multiLevelType w:val="hybridMultilevel"/>
    <w:lvl w:ilvl="0">
      <w:lvlJc w:val="left"/>
      <w:lvlText w:val="(%1)"/>
      <w:numFmt w:val="lowerRoman"/>
      <w:start w:val="1"/>
    </w:lvl>
  </w:abstractNum>
  <w:abstractNum w:abstractNumId="60">
    <w:nsid w:val="A0382C5"/>
    <w:multiLevelType w:val="hybridMultilevel"/>
    <w:lvl w:ilvl="0">
      <w:lvlJc w:val="left"/>
      <w:lvlText w:val="(%1)"/>
      <w:numFmt w:val="lowerRoman"/>
      <w:start w:val="2"/>
    </w:lvl>
  </w:abstractNum>
  <w:abstractNum w:abstractNumId="61">
    <w:nsid w:val="8F2B15E"/>
    <w:multiLevelType w:val="hybridMultilevel"/>
    <w:lvl w:ilvl="0">
      <w:lvlJc w:val="left"/>
      <w:lvlText w:val="(%1)"/>
      <w:numFmt w:val="lowerRoman"/>
      <w:start w:val="3"/>
    </w:lvl>
  </w:abstractNum>
  <w:abstractNum w:abstractNumId="62">
    <w:nsid w:val="1A32234B"/>
    <w:multiLevelType w:val="hybridMultilevel"/>
    <w:lvl w:ilvl="0">
      <w:lvlJc w:val="left"/>
      <w:lvlText w:val="(%1)"/>
      <w:numFmt w:val="lowerLetter"/>
      <w:start w:val="6"/>
    </w:lvl>
  </w:abstractNum>
  <w:abstractNum w:abstractNumId="63">
    <w:nsid w:val="3B0FD379"/>
    <w:multiLevelType w:val="hybridMultilevel"/>
    <w:lvl w:ilvl="0">
      <w:lvlJc w:val="left"/>
      <w:lvlText w:val="(%1)"/>
      <w:numFmt w:val="lowerRoman"/>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2"/>
    </w:lvl>
    <w:lvl w:ilvl="1">
      <w:lvlJc w:val="left"/>
      <w:lvlText w:val="(%2)"/>
      <w:numFmt w:val="lowerLetter"/>
      <w:start w:val="1"/>
    </w:lvl>
  </w:abstractNum>
  <w:abstractNum w:abstractNumId="66">
    <w:nsid w:val="60B6DF70"/>
    <w:multiLevelType w:val="hybridMultilevel"/>
    <w:lvl w:ilvl="0">
      <w:lvlJc w:val="left"/>
      <w:lvlText w:val="(%1)"/>
      <w:numFmt w:val="lowerLetter"/>
      <w:start w:val="61"/>
    </w:lvl>
    <w:lvl w:ilvl="1">
      <w:lvlJc w:val="left"/>
      <w:lvlText w:val="(%2)"/>
      <w:numFmt w:val="lowerLetter"/>
      <w:start w:val="2"/>
    </w:lvl>
  </w:abstractNum>
  <w:abstractNum w:abstractNumId="67">
    <w:nsid w:val="6A5EE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8">
    <w:nsid w:val="1433062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9">
    <w:nsid w:val="7FFFCA11"/>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abstractNum>
  <w:abstractNum w:abstractNumId="70">
    <w:nsid w:val="1A27709E"/>
    <w:multiLevelType w:val="hybridMultilevel"/>
    <w:lvl w:ilvl="0">
      <w:lvlJc w:val="left"/>
      <w:lvlText w:val="%1."/>
      <w:numFmt w:val="decimal"/>
      <w:start w:val="4"/>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2"/>
    </w:lvl>
    <w:lvl w:ilvl="1">
      <w:lvlJc w:val="left"/>
      <w:lvlText w:val="(%2)"/>
      <w:numFmt w:val="lowerLetter"/>
      <w:start w:val="1"/>
    </w:lvl>
  </w:abstractNum>
  <w:abstractNum w:abstractNumId="73">
    <w:nsid w:val="7FB7E0AA"/>
    <w:multiLevelType w:val="hybridMultilevel"/>
    <w:lvl w:ilvl="0">
      <w:lvlJc w:val="left"/>
      <w:lvlText w:val="(%1)"/>
      <w:numFmt w:val="lowerLetter"/>
      <w:start w:val="61"/>
    </w:lvl>
    <w:lvl w:ilvl="1">
      <w:lvlJc w:val="left"/>
      <w:lvlText w:val="(%2)"/>
      <w:numFmt w:val="lowerLetter"/>
      <w:start w:val="2"/>
    </w:lvl>
  </w:abstractNum>
  <w:abstractNum w:abstractNumId="74">
    <w:nsid w:val="6EB5B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5">
    <w:nsid w:val="6F6DD9AC"/>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76">
    <w:nsid w:val="94211F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abstractNum>
  <w:abstractNum w:abstractNumId="77">
    <w:nsid w:val="885E1B"/>
    <w:multiLevelType w:val="hybridMultilevel"/>
    <w:lvl w:ilvl="0">
      <w:lvlJc w:val="left"/>
      <w:lvlText w:val="%1."/>
      <w:numFmt w:val="decimal"/>
      <w:start w:val="4"/>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2"/>
    </w:lvl>
    <w:lvl w:ilvl="1">
      <w:lvlJc w:val="left"/>
      <w:lvlText w:val="(%2)"/>
      <w:numFmt w:val="lowerLetter"/>
      <w:start w:val="1"/>
    </w:lvl>
  </w:abstractNum>
  <w:abstractNum w:abstractNumId="80">
    <w:nsid w:val="1716703B"/>
    <w:multiLevelType w:val="hybridMultilevel"/>
    <w:lvl w:ilvl="0">
      <w:lvlJc w:val="left"/>
      <w:lvlText w:val="(%1)"/>
      <w:numFmt w:val="lowerLetter"/>
      <w:start w:val="61"/>
    </w:lvl>
    <w:lvl w:ilvl="1">
      <w:lvlJc w:val="left"/>
      <w:lvlText w:val="(%2)"/>
      <w:numFmt w:val="lowerLetter"/>
      <w:start w:val="2"/>
    </w:lvl>
  </w:abstractNum>
  <w:abstractNum w:abstractNumId="81">
    <w:nsid w:val="14E17E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2">
    <w:nsid w:val="3222E7C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83">
    <w:nsid w:val="74DE0EE3"/>
    <w:multiLevelType w:val="hybridMultilevel"/>
    <w:lvl w:ilvl="0">
      <w:lvlJc w:val="left"/>
      <w:lvlText w:val="(%1)"/>
      <w:numFmt w:val="decimal"/>
      <w:start w:val="12"/>
    </w:lvl>
    <w:lvl w:ilvl="1">
      <w:lvlJc w:val="left"/>
      <w:lvlText w:val="%2."/>
      <w:numFmt w:val="decimal"/>
      <w:start w:val="3"/>
    </w:lvl>
    <w:lvl w:ilvl="2">
      <w:lvlJc w:val="left"/>
      <w:lvlText w:val="(%3)"/>
      <w:numFmt w:val="lowerLetter"/>
      <w:start w:val="2"/>
    </w:lvl>
  </w:abstractNum>
  <w:abstractNum w:abstractNumId="84">
    <w:nsid w:val="68EBC550"/>
    <w:multiLevelType w:val="hybridMultilevel"/>
    <w:lvl w:ilvl="0">
      <w:lvlJc w:val="left"/>
      <w:lvlText w:val="%1."/>
      <w:numFmt w:val="decimal"/>
      <w:start w:val="7"/>
    </w:lvl>
  </w:abstractNum>
  <w:abstractNum w:abstractNumId="85">
    <w:nsid w:val="2DF6D648"/>
    <w:multiLevelType w:val="hybridMultilevel"/>
    <w:lvl w:ilvl="0">
      <w:lvlJc w:val="left"/>
      <w:lvlText w:val="%1."/>
      <w:numFmt w:val="decimal"/>
      <w:start w:val="1"/>
    </w:lvl>
    <w:lvl w:ilvl="1">
      <w:lvlJc w:val="left"/>
      <w:lvlText w:val="(%2)"/>
      <w:numFmt w:val="lowerLetter"/>
      <w:start w:val="1"/>
    </w:lvl>
  </w:abstractNum>
  <w:abstractNum w:abstractNumId="86">
    <w:nsid w:val="46B7D447"/>
    <w:multiLevelType w:val="hybridMultilevel"/>
    <w:lvl w:ilvl="0">
      <w:lvlJc w:val="left"/>
      <w:lvlText w:val="%1."/>
      <w:numFmt w:val="decimal"/>
      <w:start w:val="3"/>
    </w:lvl>
  </w:abstractNum>
  <w:abstractNum w:abstractNumId="87">
    <w:nsid w:val="4A2AC315"/>
    <w:multiLevelType w:val="hybridMultilevel"/>
    <w:lvl w:ilvl="0">
      <w:lvlJc w:val="left"/>
      <w:lvlText w:val="%1."/>
      <w:numFmt w:val="decimal"/>
      <w:start w:val="4"/>
    </w:lvl>
  </w:abstractNum>
  <w:abstractNum w:abstractNumId="88">
    <w:nsid w:val="39EE015C"/>
    <w:multiLevelType w:val="hybridMultilevel"/>
    <w:lvl w:ilvl="0">
      <w:lvlJc w:val="left"/>
      <w:lvlText w:val="%1."/>
      <w:numFmt w:val="decimal"/>
      <w:start w:val="8"/>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3"/>
    </w:lvl>
  </w:abstractNum>
  <w:abstractNum w:abstractNumId="91">
    <w:nsid w:val="43F18422"/>
    <w:multiLevelType w:val="hybridMultilevel"/>
    <w:lvl w:ilvl="0">
      <w:lvlJc w:val="left"/>
      <w:lvlText w:val="%1."/>
      <w:numFmt w:val="decimal"/>
      <w:start w:val="4"/>
    </w:lvl>
  </w:abstractNum>
  <w:abstractNum w:abstractNumId="92">
    <w:nsid w:val="60EF0119"/>
    <w:multiLevelType w:val="hybridMultilevel"/>
    <w:lvl w:ilvl="0">
      <w:lvlJc w:val="left"/>
      <w:lvlText w:val="%1."/>
      <w:numFmt w:val="decimal"/>
      <w:start w:val="9"/>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2026-06-04T15:52:39Z</dcterms:created>
  <dcterms:modified xsi:type="dcterms:W3CDTF">2026-06-04T15:52:39Z</dcterms:modified>
</cp:coreProperties>
</file>