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60" w:hanging="3899"/>
        <w:spacing w:after="0" w:line="303"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001-37923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CRISPR THERAPEUTICS AG</w:t>
      </w:r>
    </w:p>
    <w:p>
      <w:pPr>
        <w:sectPr>
          <w:pgSz w:w="11900" w:h="16838" w:orient="portrait"/>
          <w:cols w:equalWidth="0" w:num="1">
            <w:col w:w="11240"/>
          </w:cols>
          <w:pgMar w:left="320" w:top="1208"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(I.R.S. Employer</w:t>
      </w:r>
    </w:p>
    <w:p>
      <w:pPr>
        <w:ind w:left="80"/>
        <w:spacing w:after="0" w:line="226" w:lineRule="auto"/>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 w:lineRule="exact"/>
        <w:rPr>
          <w:sz w:val="24"/>
          <w:szCs w:val="24"/>
          <w:color w:val="auto"/>
        </w:rPr>
      </w:pPr>
    </w:p>
    <w:p>
      <w:pPr>
        <w:sectPr>
          <w:pgSz w:w="11900" w:h="16838" w:orient="portrait"/>
          <w:cols w:equalWidth="0" w:num="2">
            <w:col w:w="7600" w:space="260"/>
            <w:col w:w="3380"/>
          </w:cols>
          <w:pgMar w:left="320" w:top="1208" w:right="339" w:bottom="1440" w:gutter="0" w:footer="0" w:header="0"/>
          <w:type w:val="continuous"/>
        </w:sectPr>
      </w:pPr>
    </w:p>
    <w:tbl>
      <w:tblPr>
        <w:tblLayout w:type="fixed"/>
        <w:tblInd w:w="1780" w:type="dxa"/>
        <w:tblCellMar>
          <w:top w:w="0" w:type="dxa"/>
          <w:left w:w="0" w:type="dxa"/>
          <w:bottom w:w="0" w:type="dxa"/>
          <w:right w:w="0" w:type="dxa"/>
        </w:tblCellMar>
      </w:tblPr>
      <w:tr>
        <w:trPr>
          <w:trHeight w:val="206"/>
        </w:trPr>
        <w:tc>
          <w:tcPr>
            <w:tcW w:w="4080" w:type="dxa"/>
            <w:vAlign w:val="bottom"/>
          </w:tcPr>
          <w:p>
            <w:pPr>
              <w:jc w:val="center"/>
              <w:ind w:right="1919"/>
              <w:spacing w:after="0" w:line="206" w:lineRule="exact"/>
              <w:rPr>
                <w:sz w:val="20"/>
                <w:szCs w:val="20"/>
                <w:color w:val="auto"/>
              </w:rPr>
            </w:pPr>
            <w:r>
              <w:rPr>
                <w:rFonts w:ascii="Times New Roman" w:cs="Times New Roman" w:eastAsia="Times New Roman" w:hAnsi="Times New Roman"/>
                <w:sz w:val="18"/>
                <w:szCs w:val="18"/>
                <w:b w:val="1"/>
                <w:bCs w:val="1"/>
                <w:color w:val="auto"/>
                <w:w w:val="99"/>
              </w:rPr>
              <w:t>Baarerstrasse 14</w:t>
            </w:r>
          </w:p>
        </w:tc>
        <w:tc>
          <w:tcPr>
            <w:tcW w:w="3140" w:type="dxa"/>
            <w:vAlign w:val="bottom"/>
          </w:tcPr>
          <w:p>
            <w:pPr>
              <w:spacing w:after="0"/>
              <w:rPr>
                <w:sz w:val="17"/>
                <w:szCs w:val="17"/>
                <w:color w:val="auto"/>
              </w:rPr>
            </w:pPr>
          </w:p>
        </w:tc>
      </w:tr>
      <w:tr>
        <w:trPr>
          <w:trHeight w:val="232"/>
        </w:trPr>
        <w:tc>
          <w:tcPr>
            <w:tcW w:w="408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9"/>
              </w:rPr>
              <w:t>6300 Zug, Switzerland</w:t>
            </w:r>
          </w:p>
        </w:tc>
        <w:tc>
          <w:tcPr>
            <w:tcW w:w="3140" w:type="dxa"/>
            <w:vAlign w:val="bottom"/>
          </w:tcPr>
          <w:p>
            <w:pPr>
              <w:jc w:val="center"/>
              <w:ind w:left="1924"/>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66"/>
        </w:trPr>
        <w:tc>
          <w:tcPr>
            <w:tcW w:w="4080" w:type="dxa"/>
            <w:vAlign w:val="bottom"/>
          </w:tcPr>
          <w:p>
            <w:pPr>
              <w:jc w:val="center"/>
              <w:ind w:right="19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140" w:type="dxa"/>
            <w:vAlign w:val="bottom"/>
          </w:tcPr>
          <w:p>
            <w:pPr>
              <w:jc w:val="center"/>
              <w:ind w:left="19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ind w:left="28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 (0)41 561 32 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Shares, nominal value CHF 0.03</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CRSP</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c>
          <w:tcPr>
            <w:tcW w:w="0" w:type="dxa"/>
            <w:vAlign w:val="bottom"/>
          </w:tcPr>
          <w:p>
            <w:pPr>
              <w:spacing w:after="0"/>
              <w:rPr>
                <w:sz w:val="1"/>
                <w:szCs w:val="1"/>
                <w:color w:val="auto"/>
              </w:rPr>
            </w:pPr>
          </w:p>
        </w:tc>
      </w:tr>
      <w:tr>
        <w:trPr>
          <w:trHeight w:val="254"/>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right="262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3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type w:val="continuous"/>
        </w:sectPr>
      </w:pPr>
    </w:p>
    <w:bookmarkStart w:id="1" w:name="page2"/>
    <w:bookmarkEnd w:id="1"/>
    <w:p>
      <w:pPr>
        <w:ind w:right="1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shares held by non-affiliates of the Registrant was approximately $4.3 billion, based on the closing price on the Nasdaq Global Market of the Registrant’s common shares on June 28, 2024 (the last trading day of the Registrant’s second fiscal quarter of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the Registrant’s common shares outstanding as of February 7, 2025 was 85,774,474.</w:t>
      </w:r>
    </w:p>
    <w:p>
      <w:pPr>
        <w:spacing w:after="0" w:line="1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2025 Annual General Meeting of Shareholders, which the Registrant intends to file with the Securities and Exchange Commission pursuant to Regulation 14A within 120 days after the end of the Registrant’s fiscal year ended December 31, 2024,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751840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2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6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auto"/>
              </w:rPr>
              <w:t>Business</w:t>
            </w: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Risk Factors</w:t>
            </w:r>
          </w:p>
        </w:tc>
        <w:tc>
          <w:tcPr>
            <w:tcW w:w="806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Unresolved Staff Comments</w:t>
            </w:r>
          </w:p>
        </w:tc>
        <w:tc>
          <w:tcPr>
            <w:tcW w:w="692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Cybersecurity</w:t>
            </w:r>
          </w:p>
        </w:tc>
        <w:tc>
          <w:tcPr>
            <w:tcW w:w="796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Properties</w:t>
            </w:r>
          </w:p>
        </w:tc>
        <w:tc>
          <w:tcPr>
            <w:tcW w:w="8240" w:type="dxa"/>
            <w:vAlign w:val="bottom"/>
            <w:gridSpan w:val="1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340"/>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9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Reserved</w:t>
            </w:r>
          </w:p>
        </w:tc>
        <w:tc>
          <w:tcPr>
            <w:tcW w:w="7420" w:type="dxa"/>
            <w:vAlign w:val="bottom"/>
            <w:tcBorders>
              <w:top w:val="single" w:sz="8" w:color="0000EE"/>
            </w:tcBorders>
            <w:gridSpan w:val="18"/>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25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462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Controls and Procedures</w:t>
            </w:r>
          </w:p>
        </w:tc>
        <w:tc>
          <w:tcPr>
            <w:tcW w:w="4700" w:type="dxa"/>
            <w:vAlign w:val="bottom"/>
            <w:tcBorders>
              <w:top w:val="single" w:sz="8" w:color="0000EE"/>
            </w:tcBorders>
            <w:gridSpan w:val="10"/>
          </w:tcPr>
          <w:p>
            <w:pPr>
              <w:spacing w:after="0"/>
              <w:rPr>
                <w:sz w:val="17"/>
                <w:szCs w:val="17"/>
                <w:color w:val="auto"/>
              </w:rPr>
            </w:pPr>
          </w:p>
        </w:tc>
        <w:tc>
          <w:tcPr>
            <w:tcW w:w="25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340"/>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9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Executive Compensation</w:t>
            </w:r>
          </w:p>
        </w:tc>
        <w:tc>
          <w:tcPr>
            <w:tcW w:w="2280" w:type="dxa"/>
            <w:vAlign w:val="bottom"/>
            <w:tcBorders>
              <w:top w:val="single" w:sz="8" w:color="0000EE"/>
            </w:tcBorders>
            <w:gridSpan w:val="5"/>
          </w:tcPr>
          <w:p>
            <w:pPr>
              <w:spacing w:after="0"/>
              <w:rPr>
                <w:sz w:val="17"/>
                <w:szCs w:val="17"/>
                <w:color w:val="auto"/>
              </w:rPr>
            </w:pPr>
          </w:p>
        </w:tc>
        <w:tc>
          <w:tcPr>
            <w:tcW w:w="488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16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352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340"/>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9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1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Form 10-K Summary</w:t>
            </w:r>
          </w:p>
        </w:tc>
        <w:tc>
          <w:tcPr>
            <w:tcW w:w="1600" w:type="dxa"/>
            <w:vAlign w:val="bottom"/>
            <w:tcBorders>
              <w:top w:val="single" w:sz="8" w:color="0000EE"/>
            </w:tcBorders>
            <w:gridSpan w:val="5"/>
          </w:tcPr>
          <w:p>
            <w:pPr>
              <w:spacing w:after="0"/>
              <w:rPr>
                <w:sz w:val="17"/>
                <w:szCs w:val="17"/>
                <w:color w:val="auto"/>
              </w:rPr>
            </w:pPr>
          </w:p>
        </w:tc>
        <w:tc>
          <w:tcPr>
            <w:tcW w:w="582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of which you should be aware before making an investment decision in our business. These risks are discussed more fully in the “Risk Factors” section of this Annual Report on Form 10-K. These risks include, but are not limited to, the following:</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which will dilute our shareholders. If we are unable to raise capital when needed, we would be forced to delay, reduce or eliminate some of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advance our product candidates to clinical development, obtain regulatory approval and ultimately commercialize our product candidates,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CRISPR/Cas9 gene editing product candidates are based on a relatively new gene editing technology, which makes it difficult to predict the time and cost of development and of subsequently obtaining regulatory approval, if at all. There have only been a limited number of clinical trials of product candidates based on gene editing technology.</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or FDA, the National Institutes of Health, the Medicines and Healthcare products Regulatory Agency, or MHRA and the European Medicines Agency, or EMA, have demonstrated caution in their regulation of gene therapy treatments, and ethical and legal concerns about gene therapy and genetic testing may result in additional regulations or restrictions on the development and commercialization of our product candidates, which may be difficult to predict.</w:t>
      </w:r>
    </w:p>
    <w:p>
      <w:pPr>
        <w:spacing w:after="0" w:line="71"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product candidates we may develop or administration processes we rely on cause undesirable side effects, it could delay or prevent their regulatory approval, limit the commercial potential or result in significant negative consequences following any potential marketing approval.</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preclinical studies or preliminary results from clinical trials of our product candidates are not necessarily predictive of the results of later preclinical studies and any future clinical trials of our product candidates.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spacing w:after="0" w:line="7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 perception of gene editing and cellular therapy products may negatively impact demand for, or regulatory approval of, our product candidates.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of our products or product candidates will depend upon its degree of market acceptance by physicians, patients, third-party payors and others in the medical community.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the biotechnology and pharmaceutical industries.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partnered with Vertex Pharmaceuticals Incorporated, or Vertex, on our lead program CASGEVY; Vertex has significant control over the CASGEVY program.</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editing products are novel and may be complex and difficult to manufacture. We could experience manufacturing problems or regulatory requirements that result in delays in the development, approval or commercialization of our product candidates or otherwise harm our business.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or protect intellectual property rights related to our proprietary gene editing technology and product candidates, we may not be able to compete effectively in our markets.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landscape around gene editing technology, including CRISPR/Cas9, is highly dynamic, and third parties may initiate and prevail in legal proceedings alleging that the patents that we in-license or own are invalid or that we are infringing, misappropriating, or otherwise violating their intellectual property rights, the outcome of which would be uncertain and could have a material adverse effect on the success of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Throughout this Annual Report on Form 10-K, the “Company,” “CRISPR,” “CRISPR Therapeutics,” “we,” “us,” and “our,” except where the context requires otherwise, refer to CRISPR Therapeutics AG and its consolidated subsidiaries; “our board of directors” refers to the board of directors of CRISPR Therapeutics AG; and we generally refer to CASGEVY (exagamglogene autotemcel [exa-cel]), as “CASGEVY.”</w:t>
      </w:r>
    </w:p>
    <w:p>
      <w:pPr>
        <w:spacing w:after="0" w:line="75" w:lineRule="exact"/>
        <w:rPr>
          <w:sz w:val="20"/>
          <w:szCs w:val="20"/>
          <w:color w:val="auto"/>
        </w:rPr>
      </w:pPr>
    </w:p>
    <w:p>
      <w:pPr>
        <w:ind w:right="180" w:firstLine="509"/>
        <w:spacing w:after="0" w:line="234" w:lineRule="auto"/>
        <w:rPr>
          <w:sz w:val="20"/>
          <w:szCs w:val="20"/>
          <w:color w:val="auto"/>
        </w:rPr>
      </w:pPr>
      <w:r>
        <w:rPr>
          <w:rFonts w:ascii="Times New Roman" w:cs="Times New Roman" w:eastAsia="Times New Roman" w:hAnsi="Times New Roman"/>
          <w:sz w:val="17"/>
          <w:szCs w:val="17"/>
          <w:color w:val="212529"/>
        </w:rPr>
        <w:t>“CRISPR Therapeutics</w:t>
      </w:r>
      <w:r>
        <w:rPr>
          <w:rFonts w:ascii="Times New Roman" w:cs="Times New Roman" w:eastAsia="Times New Roman" w:hAnsi="Times New Roman"/>
          <w:sz w:val="23"/>
          <w:szCs w:val="23"/>
          <w:color w:val="212529"/>
          <w:vertAlign w:val="superscript"/>
        </w:rPr>
        <w:t>®</w:t>
      </w:r>
      <w:r>
        <w:rPr>
          <w:rFonts w:ascii="Times New Roman" w:cs="Times New Roman" w:eastAsia="Times New Roman" w:hAnsi="Times New Roman"/>
          <w:sz w:val="17"/>
          <w:szCs w:val="17"/>
          <w:color w:val="212529"/>
        </w:rPr>
        <w:t>” standard character mark and design logo, “CRISPRX</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“CRISPR TX</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“CTX112</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“CTX131</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“CTX211</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“CTX213</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“CTX310</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“CTX320</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“CTX330</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“CTX340</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and “CTX450</w:t>
      </w:r>
      <w:r>
        <w:rPr>
          <w:rFonts w:ascii="Times New Roman" w:cs="Times New Roman" w:eastAsia="Times New Roman" w:hAnsi="Times New Roman"/>
          <w:sz w:val="23"/>
          <w:szCs w:val="23"/>
          <w:color w:val="212529"/>
          <w:vertAlign w:val="superscript"/>
        </w:rPr>
        <w:t>TM</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are trademarks and registered trademarks of CRISPR</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Therapeutics AG. CASGEVY</w:t>
      </w: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7"/>
          <w:szCs w:val="17"/>
          <w:color w:val="000000"/>
        </w:rPr>
        <w:t xml:space="preserve"> and the CASGEVY logo are registered trademarks of Vertex Pharmaceuticals Incorporated, and Vertex Pharmaceuticals Incorporated is the manufacturer and exclusive license holder of CASGEVY. All other trademarks and registered trademarks </w:t>
      </w:r>
      <w:r>
        <w:rPr>
          <w:rFonts w:ascii="Times New Roman" w:cs="Times New Roman" w:eastAsia="Times New Roman" w:hAnsi="Times New Roman"/>
          <w:sz w:val="17"/>
          <w:szCs w:val="17"/>
          <w:color w:val="212529"/>
        </w:rPr>
        <w:t>contained in this Annual</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12529"/>
        </w:rPr>
        <w:t>Report on Form 10-K are the property of their respective owners</w:t>
      </w:r>
      <w:r>
        <w:rPr>
          <w:rFonts w:ascii="Times New Roman" w:cs="Times New Roman" w:eastAsia="Times New Roman" w:hAnsi="Times New Roman"/>
          <w:sz w:val="17"/>
          <w:szCs w:val="17"/>
          <w:color w:val="000000"/>
        </w:rPr>
        <w:t>. Solely for convenience, trademarks, service marks and trade names referred to in this</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Annual Report on Form 10-K may appear without the </w:t>
      </w:r>
      <w:r>
        <w:rPr>
          <w:rFonts w:ascii="Times New Roman" w:cs="Times New Roman" w:eastAsia="Times New Roman" w:hAnsi="Times New Roman"/>
          <w:sz w:val="11"/>
          <w:szCs w:val="11"/>
          <w:color w:val="000000"/>
        </w:rPr>
        <w:t>®</w:t>
      </w:r>
      <w:r>
        <w:rPr>
          <w:rFonts w:ascii="Times New Roman" w:cs="Times New Roman" w:eastAsia="Times New Roman" w:hAnsi="Times New Roman"/>
          <w:sz w:val="17"/>
          <w:szCs w:val="17"/>
          <w:color w:val="000000"/>
        </w:rPr>
        <w:t xml:space="preserve"> or </w:t>
      </w:r>
      <w:r>
        <w:rPr>
          <w:rFonts w:ascii="Times New Roman" w:cs="Times New Roman" w:eastAsia="Times New Roman" w:hAnsi="Times New Roman"/>
          <w:sz w:val="11"/>
          <w:szCs w:val="11"/>
          <w:color w:val="000000"/>
        </w:rPr>
        <w:t>™</w:t>
      </w:r>
      <w:r>
        <w:rPr>
          <w:rFonts w:ascii="Times New Roman" w:cs="Times New Roman" w:eastAsia="Times New Roman" w:hAnsi="Times New Roman"/>
          <w:sz w:val="17"/>
          <w:szCs w:val="17"/>
          <w:color w:val="000000"/>
        </w:rPr>
        <w:t xml:space="preserve"> symbols and any such omission is not intended to indicate waiver of any such rights.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These statements are often identified by the use of words such as “anticipate,” “believe,” “continue,” “could,” “estimate,” “expect,” “intend,” “may,” “plan,” “predict,” “project,” “potential,” “will,” “would” or the negative or plural of these words or similar expressions or variations, although not all forward-looking statements contain these identifying words. Forward-looking statements in this Annual Report on Form 10-K include, but are not limited to, statements about:</w:t>
      </w:r>
    </w:p>
    <w:p>
      <w:pPr>
        <w:spacing w:after="0" w:line="75" w:lineRule="exact"/>
        <w:rPr>
          <w:sz w:val="20"/>
          <w:szCs w:val="20"/>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strategic plans to develop and, if approved, subsequently commercialize any product candidates we may develop, including plans and expectations for the commercialization of, and anticipated benefits of, CASGEVY, including plans for patient access to CASGEVY;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safety, efficacy and clinical progress of various clinical programs, including those for CASGEVY, CTX112, CTX131, CTX211, CTX310 and CTX320;</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clinical trials, including development timelines and discussions with regulatory authorities related to product candidates under development by us and our collaborators;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results of our preclinical studies and clinical trials, including our ongoing clinical trials and any planned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benefits of regulatory designations, such as orphan drug, fast track and regenerative medicine advanced therapy in the United States or such European equivalents, including the PRIority MEdicines designation;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including our estimates regarding the addressable patient population and potential market opportunity for our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and the success of competing therapies that are or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manufacturing capabilities and operation of our cell therapy manufacturing facility;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coverage and positions, including those of our licensors and third parties as well as the status and potential outcome of proceedings involving any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goals, and anticipated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expenses, ability to obtain funding for our operations and the sufficiency of our cash resources;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value, development, and commercial potential of gene editing technologies and therapies, including CRISPR/Cas9, as well as other technologies we develop.</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Annual Report on Form 10-K. You should not rely upon forward-looking statements as predictions of future events. Such forward-looking statements speak only as of the date of this report. Our forward-looking statements do not reflect the potential impact of any future acquisitions, mergers, dispositions, joint ventures or investments we may make or enter into.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spacing w:after="0" w:line="72"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sources. While we believe our internal company research is reliable and the market definitions are appropriate, neither such research nor these definitions have been verified by any independent source.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mission is to create transformative gene-based medicines for serious human diseases. We are a leading gene editing company focused on the development of CRISPR-based therapeutics, including by using CRISPR/Cas9 technology. CRISPR/Cas9 is a revolutionary technology for gene editing, the process of precisely altering specific sequences of genomic DNA. We aim to apply this technology to disrupt, delete, correct and insert genes to treat genetic diseases and to engineer advanced cellular therapies. We have advanced this technology from discovery to an approved medicine with unparalleled speed, culminating in the landmark first approval of a CRISPR-based therapy, CASGEVY (exagamglogene autotemcel [exa-cel]), in 2023 with our collaborators at Vertex Pharmaceuticals Incorporated, or Vertex.</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use of CRISPR/Cas9 for gene editing was co-invented by one of our scientific founders, Dr. Emmanuelle Charpentier, the Acting and Founding Director of the Max Planck Unit for the Science of Pathogens in Berlin, Germany. Dr. Charpentier and her collaborators published work elucidating the mechanism by which the Cas9 endonuclease, a key component of CRISPR/Cas9, can be programmed to cut double-stranded DNA at specific locations. Dr. Charpentier and her collaborator, Dr. Jennifer Doudna of the University of California, Berkeley, shared the 2020 Nobel Prize in Chemistry for their groundbreaking work. We acquired exclusive rights to intellectual property encompassing CRISPR/Cas9 and related technologies from Dr. Charpentier and continue to strengthen our intellectual property estate through our own research and additional in-licensing efforts, furthering our leadership in gene editing therapeutics.</w:t>
      </w:r>
    </w:p>
    <w:p>
      <w:pPr>
        <w:spacing w:after="0" w:line="79"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have established a portfolio of therapeutic programs spanning four core franchises: hemoglobinopathies, CAR 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and type 1 diabetes. Depending on the program, we take either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in which we edit cells outside of the human body before administering them to the patient, or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approach, where we deliver the CRISPR-based therapeutic directly to target cells within the human body.</w:t>
      </w:r>
    </w:p>
    <w:p>
      <w:pPr>
        <w:spacing w:after="0" w:line="63" w:lineRule="exact"/>
        <w:rPr>
          <w:sz w:val="20"/>
          <w:szCs w:val="20"/>
          <w:color w:val="auto"/>
        </w:rPr>
      </w:pPr>
    </w:p>
    <w:p>
      <w:pPr>
        <w:ind w:left="1020" w:right="340" w:hanging="503"/>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Hemoglobinopathies</w:t>
      </w:r>
      <w:r>
        <w:rPr>
          <w:rFonts w:ascii="Times New Roman" w:cs="Times New Roman" w:eastAsia="Times New Roman" w:hAnsi="Times New Roman"/>
          <w:sz w:val="18"/>
          <w:szCs w:val="18"/>
          <w:color w:val="auto"/>
        </w:rPr>
        <w:t>: Our most advanced program, CASGEVY, has received approval in the United States and other countries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treatment of eligible patients with severe sickle cell disease, or SCD, or transfusion-dependent beta thalassemia, or TDT, two genetic disorders of hemoglobin, or hemoglobinopathies, with high unmet medical need. In addition, we have further research efforts on targeted conditioning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of hematopoietic stem cells that have the potential to expand the number of patients that could benefit significantly.</w:t>
      </w:r>
    </w:p>
    <w:p>
      <w:pPr>
        <w:spacing w:after="0" w:line="71" w:lineRule="exact"/>
        <w:rPr>
          <w:rFonts w:ascii="Times New Roman" w:cs="Times New Roman" w:eastAsia="Times New Roman" w:hAnsi="Times New Roman"/>
          <w:sz w:val="18"/>
          <w:szCs w:val="18"/>
          <w:color w:val="auto"/>
        </w:rPr>
      </w:pPr>
    </w:p>
    <w:p>
      <w:pPr>
        <w:ind w:left="1020" w:right="26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 T</w:t>
      </w:r>
      <w:r>
        <w:rPr>
          <w:rFonts w:ascii="Times New Roman" w:cs="Times New Roman" w:eastAsia="Times New Roman" w:hAnsi="Times New Roman"/>
          <w:sz w:val="18"/>
          <w:szCs w:val="18"/>
          <w:color w:val="auto"/>
        </w:rPr>
        <w:t>: We are progressing multiple next-generation gene-edited cell therapy programs, including allogeneic chimeric antigen receptor 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or CAR T, candidates for the treatment of hematological and solid tumor cancers and autoimmune diseases.</w:t>
      </w:r>
    </w:p>
    <w:p>
      <w:pPr>
        <w:spacing w:after="0" w:line="46"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 vivo </w:t>
      </w:r>
      <w:r>
        <w:rPr>
          <w:rFonts w:ascii="Times New Roman" w:cs="Times New Roman" w:eastAsia="Times New Roman" w:hAnsi="Times New Roman"/>
          <w:sz w:val="18"/>
          <w:szCs w:val="18"/>
          <w:b w:val="1"/>
          <w:bCs w:val="1"/>
          <w:color w:val="auto"/>
        </w:rPr>
        <w:t>approaches</w:t>
      </w:r>
      <w:r>
        <w:rPr>
          <w:rFonts w:ascii="Times New Roman" w:cs="Times New Roman" w:eastAsia="Times New Roman" w:hAnsi="Times New Roman"/>
          <w:sz w:val="18"/>
          <w:szCs w:val="18"/>
          <w:color w:val="auto"/>
        </w:rPr>
        <w:t>: We are advancing a portfolio of programs leveraging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editing for both common and rare diseases,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and prevention of cardiovascular disease.</w:t>
      </w:r>
    </w:p>
    <w:p>
      <w:pPr>
        <w:spacing w:after="0" w:line="46"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Type 1 diabetes</w:t>
      </w:r>
      <w:r>
        <w:rPr>
          <w:rFonts w:ascii="Times New Roman" w:cs="Times New Roman" w:eastAsia="Times New Roman" w:hAnsi="Times New Roman"/>
          <w:sz w:val="18"/>
          <w:szCs w:val="18"/>
          <w:color w:val="auto"/>
        </w:rPr>
        <w:t>: We have multiple parallel efforts using allogeneic, gene-edited, hypoimmune, stem cell-derived beta islet cell precursors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type 1 diabetes, or T1D, without the need for chronic immunosuppression, including both encapsulated and unencapsulated approaches.</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continue to innovate on our platform to develop next-generation technologies that can enable new therapies. Through these efforts, we aim to unlock the full potential of CRISPR-based therapeutics to create medicines that can transform people's lives. We believe that our innovative research, translational expertise, and clinical development experience, position us as a leader in the development of CRISPR-based therapeutics and may enable us to create an entirely new class of highly effective and potentially curative therapies for patients with both rare and common diseases for whom current biopharmaceutical approaches have had limited success.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Hemoglobinopathies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CASGEVY is a non-viral,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CRISPR/Cas9 gene-edited cell therapy, in which a patient’s own hematopoietic stem and progenitor cells are edited at the erythroid specific enhancer region of the </w:t>
      </w:r>
      <w:r>
        <w:rPr>
          <w:rFonts w:ascii="Times New Roman" w:cs="Times New Roman" w:eastAsia="Times New Roman" w:hAnsi="Times New Roman"/>
          <w:sz w:val="18"/>
          <w:szCs w:val="18"/>
          <w:i w:val="1"/>
          <w:iCs w:val="1"/>
          <w:color w:val="auto"/>
        </w:rPr>
        <w:t>BCL11A</w:t>
      </w:r>
      <w:r>
        <w:rPr>
          <w:rFonts w:ascii="Times New Roman" w:cs="Times New Roman" w:eastAsia="Times New Roman" w:hAnsi="Times New Roman"/>
          <w:sz w:val="18"/>
          <w:szCs w:val="18"/>
          <w:color w:val="auto"/>
        </w:rPr>
        <w:t xml:space="preserve"> gene through a precise double-strand break. This edit results in the production of high levels of fetal hemoglobin in red blood cells, which can compensate for the defective adult hemoglobin in patients with SCD and TDT. CASGEVY is the first therapy to emerge from our strategic partnership with Vertex and is being advanced under a joint development and commercialization agreement between us and Vertex and certain of its affiliates.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2023, CASGEVY became the first-ever approved CRISPR-based gene-editing therapy in the world. To date, CASGEVY has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60"/>
        <w:spacing w:after="0" w:line="266" w:lineRule="auto"/>
        <w:rPr>
          <w:sz w:val="20"/>
          <w:szCs w:val="20"/>
          <w:color w:val="auto"/>
        </w:rPr>
      </w:pPr>
      <w:r>
        <w:rPr>
          <w:rFonts w:ascii="Times New Roman" w:cs="Times New Roman" w:eastAsia="Times New Roman" w:hAnsi="Times New Roman"/>
          <w:sz w:val="18"/>
          <w:szCs w:val="18"/>
          <w:color w:val="auto"/>
        </w:rPr>
        <w:t>been approved in the United States, European Union, Great Britain, Canada, Switzerland, Kingdom of Saudi Arabia, Kingdom of Bahrain and the United Arab Emirates for the treatment of eligible patients 12 years and older with SCD or TDT. Efficacy data presented to date support the profile of this therapy as a potential one-time functional cure for people with severe SCD and TDT.</w:t>
      </w:r>
    </w:p>
    <w:p>
      <w:pPr>
        <w:spacing w:after="0" w:line="66"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continue to advance our internally developed targeted conditioning program,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hematopoietic stem cell editing approaches utilizing lipid nanoparticle-mediated delivery through preclinical studies. Both initiatives could significantly expand the addressable patient populations for SCD and TDT.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 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believe CRISPR/Cas9 has the potential to create the next generation of CAR T cell therapies that may have a superior product profile and allow broader patient access compared to current autologous therapies. We are advancing several cell therapy programs for oncology and/or autoimmune indications, including two next-generation allogeneic CAR T programs, CTX112 targeting Cluster of Differentiation 19, or CD19, and CTX131 targeting Cluster of Differentiation 70, or CD70. These product candidates incorporate edits designed to enhance CAR T potency, reduce CAR T exhaustion and evade the immune system. An additional edit in CTX131 is designed to prevent the CAR T cells from killing other CAR T cells. In addition, these next-generation candidates exhibit increased manufacturing robustness, with a higher and more consistent number of CAR T cells produced per batch.</w:t>
      </w:r>
    </w:p>
    <w:p>
      <w:pPr>
        <w:spacing w:after="0" w:line="7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CTX112 is being developed for both hematologic malignancies and autoimmune indications. It is being investigated in an ongoing clinical trial designed to assess the safety and efficacy of the product candidate in adult patients with relapsed or refractory B-cell malignancies who have received at least two prior lines of therapy, as well as an ongoing clinical trial in adult patients with systemic lupus erythematosus, systemic sclerosis, and inflammatory myositis.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CTX131 is being developed for both solid tumors and hematologic malignancies. It is being investigated in ongoing clinical trials designed to assess the safety and efficacy of the product candidate in adult patients with relapsed or refractory solid tumors and hematologic malignancies, including T cell lymphomas, or TCL.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producing CTX112 and CTX131 for clinical trials at our internal GMP manufacturing facility in Framingham, Massachusetts.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CRISPR/Cas9 platform enables us to innovate continuously by incorporating incremental edits into next-generation products. We are advancing several additional investigational CAR T programs, including an autologous, gene-edited CAR T program targeting glypican-3, or GPC3, for the potential treatment of solid tumors.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Vivo</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strategy focuses on gene disruption and whole gene correction – the two technologies required to address the vast majority of the most prevalent severe monogenic diseases as well as many common diseases. We have established a leading platform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and are rapidly advancing a broad portfolio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supported by an internal lipid nanoparticle, or LNP, team to enable liver-directed and extrahepatic programs with novel lipids, formulations, and targeting moieties. Our first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target the liver, taking advantage of validated LNP delivery technologies, and aim to treat diseases where we can produce a strong therapeutic effect by safely disrupting a gene with well-understood genetic association. For example, our first two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utilizing our proprietary LNP platform, CTX310 and CTX320, aim to address cardiovascular disease by disrupting the validated targets angiopoietin-like protein 3, or ANGPTL3, and lipoprotein (a), or Lp(a), respectively. Phase 1 clinical trials for both CTX310 and CTX320 are ongoing. We have a number of earlier stage investigational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leveraging gene disruption in the liver for both rare and common diseases. We also have programs focused on gene correction in the liver, including programs leveraging technologies developed by our CRISPR-X research team.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1 Diabetes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developing gene-edited stem cell-derived therapies for the treatment of T1D. We believe our gene editing capabilities have the potential to enable a beta-cell replacement product candidate that may deliver durable benefit to patients without the need for long-term immunosuppression. We have three parallel efforts to achieve this goal: (1) CTX211, an allogeneic, gene-edited, hypoimmune, stem cell derived product candidate in a device that is implanted into patients and intended to produce insulin in a glucose-dependent manner, and which is in an ongoing clinical trial; (2) CTX213, a research stage deviceless beta cell replacement product candidate consisting of unencapsulated precursor islet cells derived from edited stem cells; and (3) we have granted a non-exclusive license to certain of our CRISPR/Cas9 intellectual property to Vertex to accelerate Vertex’s development of hypoimmune cell therapies for T1D in exchange for certain milestones and royalties.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CRISPR-X</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While we have made significant progress with our current portfolio of programs, we recognize that we need to continue to innovate to unlock the full power of gene editing and bring potentially transformative therapies to even more patients. We have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t>dedicated early-stage research team called CRISPR-X that focuses on innovating next-generation editing modalities. CRISPR-X is developing technologies to enable whole gene correction and insertion via non-viral DNA delivery and all-RNA systems, without requiring homology-directed repair or viral delivery of DNA.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Given the numerous potential therapeutic applications for CRISPR/Cas9, we have partnered strategically to broaden the indications we can pursue and accelerate development of programs by accessing specific technologies and/or disease-area expertise. We maintain broad partnerships to develop gene editing-based therapeutics in specific disease areas. For additional information regarding certain of these partnerships, please see “</w:t>
      </w:r>
      <w:r>
        <w:rPr>
          <w:rFonts w:ascii="Times New Roman" w:cs="Times New Roman" w:eastAsia="Times New Roman" w:hAnsi="Times New Roman"/>
          <w:sz w:val="18"/>
          <w:szCs w:val="18"/>
          <w:i w:val="1"/>
          <w:iCs w:val="1"/>
          <w:color w:val="auto"/>
        </w:rPr>
        <w:t>Business—Strategic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Partnerships and Collaborations</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Hemoglobinopathies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2015, we partnered with Vertex and entered into a strategic collaboration, option and license agreement, which focused on the discovery and development of gene-based treatments for hemoglobinopathies and cystic fibrosis using CRISPR/Cas9 gene-editing technology. In 2017, Vertex exercised its option to co-develop and co-commercialize the hemoglobinopathies program and we entered into a joint development and commercialization agreement with Vertex, which we amended and restated in 2021, pursuant to which, among other things, we are co-developing and co-commercializing CASGEVY for TDT and SCD.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Diabetes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Beginning in 2018, we partnered with ViaCyte, Inc., or ViaCyte (now a wholly-owned subsidiary of Vertex), to pursue the discovery, development and commercialization of gene-edited allogeneic stem cell therapies for the treatment of diabetes. In 2023, ViaCyte elected to opt-out of the collaboration with us for the co-development and co-commercialization of gene-edited stem cell therapies for the treatment of diabetes. Per the opt-out terms, the on-going collaboration assets will be wholly owned by us, subject to a royalty on future sales owed to ViaCyte. Our product candidate, CTX211, being developed for the potential treatment of T1D, resulted from this collaboration, and which we are continuing to advance in a Phase 1 clinical trial. Additionally, in 2023, we entered into a non-exclusive license agreement with Vertex for Vertex to utilize certain of our gene-editing intellectual property to exploit certain products for the diagnosis, treatment or prevention of diabetes type 1, diabetes type 2 or insulin dependent/requiring diabetes throughout the world. To date, we have recognized revenue of $205 million in upfront and milestone payments and remain eligible to receive additional research and development milestones and royalties on future products under the license.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Partnerships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entered into a number of additional collaborations and license agreements in other therapeutic areas, including an additional agreement with Vertex for the treatment of Duchenne muscular dystrophy, or DMD, and myotonic dystrophy type 1, or DM1, and others to support and complement our hematopoietic stem cell, CAR 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T1D programs and platform, including agreements with: Nkarta, Inc., or Nkarta, to develop and commercialize products leveraging donor-derived, gene-edited CAR-NK cells; Capsida Biotherapeutics, Inc. to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therapies delivered with engineered adeno-associated virus, or AAV, vectors; Roswell Park Comprehensive Cancer Center to advance a gene-edited autologous CAR T program against a new target; MaxCyte, Inc. on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delivery for our hemoglobinopathy and CAR T programs; CureVac AG on optimized mRNA constructs and manufacturing for certain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and KSQ Therapeutics, Inc. on intellectual property for our allogeneic immuno-oncology programs.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 Editing Background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are thousands of diseases caused by aberrant DNA sequences. Traditional small molecule and biologic therapies have had limited success in treating many of these diseases because they fail to address the underlying genetic causes. Newer approaches, such as RNA therapeutics and viral gene therapy, more directly target the genes related to disease, but each has clear limitations. RNA-based therapies, such as mRNA and siRNA may provide clinical benefit in certain diseases, however, these approaches face challenges with repeat dosing and related toxicities. Non-integrating viral gene therapy platforms, such as AAV, may have limited durability because they do not permanently change the genome and have limited efficacy upon re-administration due to resulting immune responses. Integrating viral gene therapy platforms, such as lentivirus, permanently alter the genome but do so randomly, which leads to the potential for undesirable mutations. Additionally, cells may recognize the transduced genes as foreign and respond by reducing their expression, limiting their efficacy. Thus, while our understanding of genetic diseases has increased since the mapping of the human genome, our ability to treat them effectively has been limited.</w:t>
      </w:r>
    </w:p>
    <w:p>
      <w:pPr>
        <w:spacing w:after="0" w:line="8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believe gene editing has the potential to enable a next generation of therapeutics and provide potentially curative therapies to many genetic diseases through precise gene modification. Furthermore, the ability to alter DNA sequences precisely has applications beyond the treatment of genetic diseases. CRISPR/Cas9 gene editing could also enable the engineering of cell-based therapies to make them more efficacious, safer and available to a broader group of patients. Cell therapies have already begun to make a meaningful impact in certain diseases and gene editing could help accelerate that progress across diverse disease areas, including oncology, autoimmune diseases and diabetes.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process of gene editing involves precisely altering DNA sequences within the genomes of cells using enzymes to cut the DNA at specific locations. After a cut is made, natural cellular processes repair the DNA to either silence or correct undesirable sequences, potentially reversing their negative effects. Importantly, because the genome itself is modified in this process, the change is permanent in the patient. Earlier generations of gene editing technologies, such as zinc finger nucleases, or ZFNs, transcription-activator like effector nucleases, or TALENs, and meganucleases, rely on engineered protein-DNA interactions to govern the location of editing. While these systems were an important first step to demonstrate the potential of gene editing, their development has been challenging in practice due to the complexity of engineering protein-DNA interactions. In contrast, CRISPR/Cas nucleases are guided by RNA-DNA interactions, which are more predictable and straightforward to engineer and apply.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CRISPR/Cas9 Technology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CRISPR/Cas9 stands for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lustered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egularly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nterspaced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hort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alindromic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epeats (CRISPR)/</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RISPR-</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ssociated protein 9 (Cas9) and evolved as a naturally occurring defense mechanism that protects bacteria against viral infections. Dr. Charpentier and her collaborators elucidated this mechanism and developed ways to adapt and simplify it for use in gene editing. In recognition of this groundbreaking work, Dr. Charpentier was awarded the 2020 Nobel Prize in Chemistry along with her collaborator, Dr. Jennifer Doudna of the University of California, Berkeley. The CRISPR/Cas9 technology they described consists of three basic components: Cas9, CRISPR RNA, or crRNA, and trans-activating CRISPR RNA, or tracrRNA. Cas9, in combination with these two RNA molecules, is described as “molecular scissors” that can make specific cuts and edits in selected double-stranded DNA.</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Dr. Charpentier and her collaborators further simplified the system for use in gene editing by combining the crRNA and tracrRNA into a single RNA molecule called a guide RNA, or gRNA. The gRNA binds to Cas9 and can be programmed to direct the Cas9 enzyme to a specific DNA sequence based on Watson-Crick base pairing rules. The CRISPR/Cas9 technology can be used to make cuts in DNA at specific sites of targeted genes, providing a powerful tool for developing gene editing-based therapeutics.</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Once the DNA is cut, the cell uses naturally occurring DNA repair mechanisms to rejoin the cut ends. If a single cut is made, a process called non-homologous end joining can result in the addition or deletion of base pairs, disrupting the original DNA sequence and causing gene inactivation. A larger fragment of DNA can also be deleted by using two gRNAs that target separate sites. After cleavage at each site, non-homologous end joining unites the separate ends, deleting the intervening sequence. Alternatively, if a DNA template is added alongside the CRISPR/Cas9 machinery, the cell can correct a gene or even insert a new gene through a process called homology-directed repair.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CRISPR/Cas9 gene editing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88265</wp:posOffset>
            </wp:positionV>
            <wp:extent cx="3574415" cy="269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7441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Given the versatility of CRISPR/Cas systems, multiple groups have developed new technologies based on CRISPR/Cas9, such as base editing and reverse transcriptase editing. While still nascent, such new CRISPR-based technologies could have advantages in select disease applications. As a result, we have continued to invest in broadening our CRISPR platform so we can employ a variety of technologies as appropriate. We believe that CRISPR/Cas will form the basis of an entirely new class of therapeutics with the potential to treat both rare and common diseases. To turn this promise into reality, we have built a broad and diversified pipeline of product candidates leveraging CRISPR/Cas gene editing.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status of our product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85725</wp:posOffset>
            </wp:positionV>
            <wp:extent cx="6172200" cy="3086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Hemoglobinopathies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Hemoglobinopathies are a diverse group of inherited blood disorders that result from variations in the synthesis or structure of hemoglobin. Our lead program in hemoglobinopathies, CASGEVY, is the first-ever approved CRISPR-based gene-editing therapy in the world. It is the first therapy to emerge from our strategic partnership with Vertex and is being advanced under a joint development and commercialization agreement, with Vertex leading commercialization. CASGEVY has received approvals in the United States and multiple other countries worldwide for the treatment of eligible patients with SCD or TDT. SCD and TDT are caused by mutations in the gene encoding the beta globin protein. Beta globin is an essential component of hemoglobin, a protein in red blood cells that delivers oxygen and removes carbon dioxide throughout the body.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CASGEVY (exagamglogene autotemcel [exa-cel])</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CASGEVY is a non-viral,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CRISPR/Cas9 gene-edited cell therapy, in which a patient’s own hematopoietic stem and progenitor cells, or HSPCs, are edited at the erythroid specific enhancer region of the </w:t>
      </w:r>
      <w:r>
        <w:rPr>
          <w:rFonts w:ascii="Times New Roman" w:cs="Times New Roman" w:eastAsia="Times New Roman" w:hAnsi="Times New Roman"/>
          <w:sz w:val="18"/>
          <w:szCs w:val="18"/>
          <w:i w:val="1"/>
          <w:iCs w:val="1"/>
          <w:color w:val="auto"/>
        </w:rPr>
        <w:t>BCL11A</w:t>
      </w:r>
      <w:r>
        <w:rPr>
          <w:rFonts w:ascii="Times New Roman" w:cs="Times New Roman" w:eastAsia="Times New Roman" w:hAnsi="Times New Roman"/>
          <w:sz w:val="18"/>
          <w:szCs w:val="18"/>
          <w:color w:val="auto"/>
        </w:rPr>
        <w:t xml:space="preserve"> gene through a precise double-strand break. This edit results in the production of high levels of fetal hemoglobin, or HbF; hemoglobin F, in red blood cells. HbF is the form of the oxygen-carrying hemoglobin that is naturally present during fetal development, which then switches to the adult form of hemoglobin after birth.</w:t>
      </w:r>
    </w:p>
    <w:p>
      <w:pPr>
        <w:spacing w:after="0" w:line="7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This HbF upregulation approach mimics a phenomenon observed in natural human genetics. In most patients with SCD or TDT, HbF disappears in infancy, at which point the symptoms of the disease begin to manifest. However, some patients have elevated levels of HbF that persist into adulthood, a condition known as hereditary persistence of fetal hemoglobin, or HPFH. These patients are often asymptomatic or experience much milder forms of disease because elevated HbF compensates for the defective adult hemoglobin. This protective HPFH condition has been shown to result from specific changes to these individuals’ genomic DNA, including in regions associated with genetic regulatory elements that control the expression levels of the globin genes, such as BCL11A. We chose to pursue this HbF upregulation strategy—rather than directly correcting the mutated beta globin gene—given the efficiency and consistency of the editing approach involved, the ability of this approach to counteract a wide variety of different beta globin mutations, including patients with TDT, and the natural history data supporting absence of symptoms in patients with HPFH.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Relationship between level of HbF and morbidity in sickle cell disease and beta thalassemia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88265</wp:posOffset>
            </wp:positionV>
            <wp:extent cx="5297805" cy="184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9780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Patients treated with CASGEVY first undergo a treatment that mobilizes a population of HSPCs, from the bone marrow into the bloodstream. Blood cells are collected from the patient’s bloodstream and transferred to a manufacturing facility where the HSPCs are sorted and CRISPR/Cas9 gene-editing is performed. Following manufacturing, the edited cells, now called CASGEVY, are transferred back to the clinical site. Patients are preconditioned with a treatment that ablates their bone marrow prior to infusion of CASGEVY.</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and Vertex continue to investigate CASGEVY, including (1) three clinical trials designed to assess the safety and efficacy of a single dose of CASGEVY in patients ages 12 to 35 with severe SCD and TDT, respectively, (2) two clinical trials in patients 5 to 11 years of age, one in severe SCD and a second in TDT, and (3) long-term follow-up clinical trials designed to follow participants for up to 15 years after CASGEVY infusion. CASGEVY safety data presented to date is generally consistent with an autologous stem cell transplant and myeloablative conditioning. Efficacy data presented to date support the profile of CASGEVY as a potential one-time functional cure for people with severe SCD and TDT.</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SCD: Durable VOC-free with 93% achieved VF12 and Maintained for up to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88265</wp:posOffset>
            </wp:positionV>
            <wp:extent cx="4526280" cy="384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2628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TDT: Durable Transfusion Independence Achieved in 98% and Maintained for up to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88265</wp:posOffset>
            </wp:positionV>
            <wp:extent cx="4989195" cy="3728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919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To date, CASGEVY has been approved by regulatory authorities in the United States, European Union, Great Britain, Canada, Switzerland, Kingdom of Saudi Arabia, Kingdom of Bahrain and the United Arab Emirates for the treatment of eligible patients 12 years and older with SCD or TDT. We estimate that in the United States, Canada, Europe and parts of the Middle East, the total addressable patient population with severe SCD or TDT is approximately 60,000 individuals.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Beta Thalassemia</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Beta thalassemia is a blood disorder that is associated with a reduction in the production of hemoglobin. This disease is caused by mutations that give rise to the insufficient expression of the beta globin protein, which can lead to symptoms related not only to the lack of hemoglobin, but also to the buildup of unpaired alpha globin proteins in red blood cells. The severity of symptoms associated with beta thalassemia varies depending on the levels of functional beta globin present in the blood cells. The unpaired alpha globin chains are toxic to red blood cells and reduce red blood cell lifespan. In the most severe cases, described as beta thalassemia major, functional beta globin is either completely absent or reduced, resulting in severe anemia. In these patients, the bone marrow cannot keep pace with the destruction of red blood cells, and thus these patients require regular blood transfusions. While chronic blood transfusions can be effective at addressing symptoms, they often lead to iron overload, progressive heart and liver failure, and eventually early death. Patients with mild forms of beta thalassemia may experience some mild anemia or even be asymptomatic. The total worldwide incidence of beta thalassemia is estimated to be 60,000 births annually and there are over 200,000 people worldwide who are alive and registered as receiving treatment for the disease.</w:t>
      </w:r>
    </w:p>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most common treatment for beta thalassemia is chronic blood transfusions. Transfusion-dependent patients typically receive transfusions every two to four weeks and chronic administration of blood often leads to elevated levels of iron in the body, which can cause organ damage over a relatively short period of time. Patients often undergo phlebotomy or are given iron chelators, or medicines to reduce iron levels in the blood, which are associated with their own significant toxicities. In developing countries, where chronic transfusions are not available, most patients die in early childhood. Also, a disease-modifying therapy for beta thalassemia, Reblozyl (luspatercept-aamt), received FDA approval in 2019.</w:t>
      </w:r>
    </w:p>
    <w:p>
      <w:pPr>
        <w:spacing w:after="0" w:line="75"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 potentially curative therapy for beta thalassemia is allogeneic hematopoietic stem cell transplant, or allo-HSCT, but few patients elect to have this procedure given its associated morbidity and mortality and the lack of matched and willing donors. Another option is Zynteglo (betibeglogene autotemcel),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autologous lentiviral gene therapy developed by bluebird bio, which the FDA approved for the treatment of certain patients with TDT in August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i w:val="1"/>
          <w:iCs w:val="1"/>
          <w:color w:val="auto"/>
        </w:rPr>
        <w:t>Sickle Cell Disease</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SCD is an inherited disorder of red blood cells resulting from a specific mutation in the beta globin gene that causes abnormal red blood cell function. Under conditions of low oxygen concentration, the abnormal hemoglobin proteins aggregate within the red blood cells causing them to become sickled in shape and inflexible. These sickled cells obstruct blood vessels, restricting blood flow to organs, ultimately resulting in severe pain, infections, stroke, overall poor quality of life and early death. Patients also experience increased hemolysis, leading to anemia. The worldwide incidence of SCD is estimated to be 300,000 births annually and there are 20-25 million people worldwide with the disease.</w:t>
      </w:r>
    </w:p>
    <w:p>
      <w:pPr>
        <w:spacing w:after="0" w:line="7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with beta thalassemia, in regions where medical infrastructure can support it, standard treatment for patients with SCD who have high levels of hemolysis involves chronic blood transfusions, which has the same associated risks of iron overload and toxicities associated with chelation therapy. The FDA and/or EMA have approved several disease-modifying therapies for SCD as well, such as hydroxyurea. Prior to December 2023, the only curative option was Allo-HSCT which is often avoided given the significant risk of transplant-related morbidity and mortality in these patients and the lack of matched and willing donors. In December 2023, the FDA approved Lyfgenia (lovotibeglogene autotemcel),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autologous lentiviral gene therapy developed by bluebird bio, which carries a boxed warning for hematologic malignancy.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Next-generation Efforts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Building upon CASGEVY, we are pursuing next-generation efforts in targeted conditioning regimens with an anti-CD117 (cKit) antibody-drug conjugate, or ADC, for specific depletion of hematopoietic stem cells, which could offer benefits over the myeloablative conditioning regimen currently used with CASGEVY. In addition, we are pursuing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of hematopoietic stem cells. Either of these efforts could broaden the number of patients that can benefit from our therapies.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 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believe CRISPR/Cas9 has the potential to create the next generation of CAR T cell therapies that may have a superior product profile and allow broader patient access compared to current autologous therapies. Development across all our CAR T programs and product candidates is focused on immuno-oncology and autoimmune indications.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Interest in the oncology community has grown rapidly in the field of immuno-oncology, or treatments that harness the immune system to attack cancer cells. Engineered immune cell therapy is one such approach, in which immune system cells such as T cells are genetically modified to enable them to recognize and attack cancerous cells.</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Engineered cell therapy has demonstrated encouraging results leading to multiple approvals for autologous, or patient-derived, CAR T products. These cell therapies require unique products to be created for each patient treated, an approach that has in the past proven challenging and cost prohibitive in the field of oncology. This bespoke manufacturing process takes time during which a patient’s disease can progress and sometimes fails to produce a viable product at all. Additionally, these versions of engineered cell therapies appear limited in their ability to treat solid tumors and have demonstrated a high rate of toxicities that require complicated management protocols. In contrast, allogeneic, or donor-derived, engineered T-cell therapies can be manufactured ahead of time and administered “off-the-shelf,” enabling immediate availability, improved access and efficiency, simpler logistics, greater consistency, and re-dosing.</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the cellular engineering strategies that are ultimately successful in immuno-oncology will involve multiple genetic modifications, an application for which we believe CRISPR/Cas9 will play a central role. While other gene editing platforms could potentially be used for these purposes, CRISPR/Cas9 is particularly well-suited for multiplexed editing, which is the modification and/or insertion of multiple genes within a single cell. Gene editing techniques that require different protein enzymes for each genetic modification may be limited in the number of edits they can make concurrently due to efficiency, cytotoxicity and/or manufacturing challenges. In contrast, CRISPR/Cas9 has the potential to efficiently make multiple edits using a single Cas9 protein and multiple small gRNA molecules.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our immuno-oncology cell therapies, we are using the multiplexing ability of CRISPR/Cas9 both to enable allogeneic administration and to introduce additional genetic edits that aim to improve the efficacy profile of these product candidates. Furthermore, we are leveraging our CRISPR platform to enable a process of continuous innovation in which we incorporate incremental edits into next-generation products to try to increase treatment benefit further. We continue to expand our multiplexing capabilities to help us realize the full potential of engineered cell therapy in immuno-oncology across all tumor types, including solid tumors.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Autoimmune disease</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multiple groups have begun to demonstrate the utility of CAR T therapy for the treatment of various autoimmune diseases, including systemic lupus erythematosus, or SLE, progressive systemic sclerosis and idiopathic immune myositis.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4" w:name="page15"/>
    <w:bookmarkEnd w:id="14"/>
    <w:p>
      <w:pPr>
        <w:ind w:right="60"/>
        <w:spacing w:after="0" w:line="258" w:lineRule="auto"/>
        <w:rPr>
          <w:sz w:val="20"/>
          <w:szCs w:val="20"/>
          <w:color w:val="auto"/>
        </w:rPr>
      </w:pPr>
      <w:r>
        <w:rPr>
          <w:rFonts w:ascii="Times New Roman" w:cs="Times New Roman" w:eastAsia="Times New Roman" w:hAnsi="Times New Roman"/>
          <w:sz w:val="18"/>
          <w:szCs w:val="18"/>
          <w:color w:val="auto"/>
        </w:rPr>
        <w:t>Specifically, CD19-directed autologous CAR T cells have produced durable remissions in early clinical studies. Allogeneic CAR T therapy has the potential to provide similar results with several potential advantages, including increased scalability, dramatically decreased cost of goods, reduced risk of toxicities and an improved patient experience with no need for apheresis. In addition, removing the requirement for apheresis allows patients to continue to use concurrent medications, reducing risk of disease flares. Autoimmune disease could represent a large additional opportunity for our allogeneic CAR T cell programs.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Next-generation Allogeneic CAR T Candidates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advancing several cell therapy programs, including two next-generation, investigational, gene-edited, healthy donor-derived allogeneic CAR T product candidates in clinical trials: CTX112 targeting CD19 and CTX131 targeting CD70. These next-generation candidates build upon our first-generation programs, which provided important proof of concept that allogeneic CAR T cells can produce durable remissions following a standard lymphodepletion regimen and demonstrated a well-tolerated safety profile. Our CRISPR/Cas9 platform has enabled us to incorporate additional edits into our next-generation product candidates, and reflect our mission of innovating continuously to bring potentially transformative medicines to patients as quickly as possible. Preliminary data from ongoing clinical trials of CTX112 and CTX131, suggest that these candidates may improve upon the clinical profile of our first generation candidates.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CTX112 and CTX131 each incorporate two novel gene edits. These edits—knock-out of Regnase-1 and knock-out of transforming growth factor-beta receptor type 2, or TGFBR2—are designed to enhance CAR T potency and reduce CAR T exhaustion. Editing Regnase-1 removes an intrinsic “brake” on T cell function while editing TGFBR2 removes a key extrinsic “brake” on T cell anti-tumor activity. We identified this combination of edits through systematic screening of dozens of new and previously described genes. CTX131 has an additional edit, a knock-out of CD70 to prevent CAR T cell fratricide and further increase potency.</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total, to generate CTX112 and CTX131 we make five and six modifications, respectively, to T cells taken from healthy donors using our gene editing technology:</w:t>
      </w:r>
    </w:p>
    <w:p>
      <w:pPr>
        <w:spacing w:after="0" w:line="5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T-cell receptor, or TCR, to reduce the risk of Graft versus Host Disease, or GvHD.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Site-specific insertion of a CD19-directed CAR (for CTX112) or CD70-directed CAR (for CTX131) into the TRAC locus.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class I major histocompatibility complex, MHC I, from the cell surface to improve the persistence of the CAR T cells in an “off-the-shelf” setting.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Regnase-1 to increase functional persistence, cytokine secretion and sensitivity, and effector function.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TGFBR2 to reduce tumor microenvironment inhibition of multiple CAR T cell functions.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CTX131 only, knock-out of CD70 to prevent CAR T cells from killing other CAR T cells and further increase potency.</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Next-Generation CRISPR Gene-edited Allogeneic CAR T Chassis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88265</wp:posOffset>
            </wp:positionV>
            <wp:extent cx="6035040" cy="2468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50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believe this approach will have advantages over other allogeneic CAR T products in development that semi-randomly insert the CAR using an integrating virus and do not include edits to increase potency. Emerging clinical data from the ongoing clinical trial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line="261" w:lineRule="auto"/>
        <w:rPr>
          <w:sz w:val="20"/>
          <w:szCs w:val="20"/>
          <w:color w:val="auto"/>
        </w:rPr>
      </w:pPr>
      <w:r>
        <w:rPr>
          <w:rFonts w:ascii="Times New Roman" w:cs="Times New Roman" w:eastAsia="Times New Roman" w:hAnsi="Times New Roman"/>
          <w:sz w:val="18"/>
          <w:szCs w:val="18"/>
          <w:color w:val="auto"/>
        </w:rPr>
        <w:t>and pharmacology data, including pharmacokinetics, indicate that the novel potency gene edits in CTX112 and CTX131 lead to significantly higher CAR T cell expansion and functional persistence in patients compared to the first-generation candidates. In addition, the next-generation candidates exhibit increased manufacturing robustness, with a higher and more consistent number of CAR T cells produced per batch. We are producing CTX112 and CTX131 for clinical trials at our internal GMP manufacturing facility.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CTX112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19"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8"/>
          <w:szCs w:val="18"/>
          <w:color w:val="auto"/>
        </w:rPr>
        <w:t>We are investigating CTX112 in an ongoing clinical trial designed to assess the safety and efficacy of CTX112 in adult patients with relapsed or refractory B-cell malignancies who have received at least two prior lines of therapy. In this trial, we use a standard lymphodepletion regimen consisting of cyclophosphamide (500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fludarabine (30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for three days.</w:t>
      </w:r>
    </w:p>
    <w:p>
      <w:pPr>
        <w:spacing w:after="0" w:line="96"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As shown in the figure below, we presented initial data from our ongoing Phase 1/2 clinical trial of CTX112 in relapsed or refractory B-cell malignancies at the 2024 American Society of Hematology Annual meeting. This is an open-label, multicenter, study evaluating the safety and efficacy of CTX112 in a high-risk patient population (58% primary refractory disease; 67% &gt;3 prior therapies; 50% with tumor sum of the products of diameters &gt; 4000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CTX112 demonstrated tolerability with no Cytokine Release Syndrome, Immune Effector Cell-Associated Neurotoxicity Syndrome, or infections Grade ≥3. In addition, overall response rate across all dose levels was 67%, while complete response rate was 50%, which is consistent with approved autologous CAR T products. Based on this preliminary data, CTX112 has been granted Regenerative Medicine Advanced Therapy, or RMAT, designation by the FDA for the treatment of relapsed or refractory follicular lymphoma and marginal zone lymphoma.</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CTX112 Clinical Responses Across Patients (N=12)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88265</wp:posOffset>
            </wp:positionV>
            <wp:extent cx="4826000" cy="3385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2600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most recent CTX112 data demonstrates responses in patients who have received prior T-cell engager-based therapies, or TCEs, with responses observed in all six patients, including three large B-cell lymphoma patients, who either relapsed post-TCE treatment or were refractory to TCEs. In addition, pharmacokinetic data highlights dose-dependent cell expansion with Cmax comparable to approved autologous CAR T products.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CTX112 Cell Expansion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88265</wp:posOffset>
            </wp:positionV>
            <wp:extent cx="6172200" cy="2597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Autoimmune disease</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CTX112 is being investigated in an ongoing clinical trial designed to assess the safety and efficacy of the product candidate in adult patients with systemic lupus erythematosus, systemic sclerosis, and inflammatory myositis. The autologous CAR T cells used successfully in autoimmune diseases to date appear to cause a B cell “reset” following deep B cell depletion whereby reconstituted B cells do not express high levels of autoantibodies. We believe that CTX112 has the potential to produce a similar B cell “reset”.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CTX131</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are advancing CTX131 for the potential treatment of both solid tumors and certain hematologic malignancies. Several cancers express CD70, including renal cell carcinoma, mesothelioma, glioblastoma, pancreatic, lung and ovarian cancers, non-Hodgkin’s lymphoma and certain TCL, while normal tissues do not express or show extremely limited expression of CD70. We believe allogeneic CAR T approaches for TCL may have greater potential to meet the unmet need in this patient population given the patients’ own T cells are not suitable for autologous manufacturing.</w:t>
      </w:r>
    </w:p>
    <w:p>
      <w:pPr>
        <w:spacing w:after="0" w:line="72"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color w:val="auto"/>
        </w:rPr>
        <w:t>CTX131 is being investigated in ongoing clinical trials designed to assess the safety and efficacy of the product candidate in adult patients with relapsed or refractory solid tumors, as well as in hematologic malignancies, including TCLs. In this clinical trial, we use a standard lymphodepletion regimen consisting of cyclophosphamide (500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fludarabine (30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for three days.</w:t>
      </w:r>
    </w:p>
    <w:p>
      <w:pPr>
        <w:spacing w:after="0" w:line="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preclinical studies, CTX131 showed robust activity, eliminating xenograft models of lung and renal cell carcinoma in all mice treated, both initially and upon multiple re-challenges, as shown in the figure below.</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CTX131 Eliminates Three Different Xenograft Tumor Models in Succession without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88265</wp:posOffset>
            </wp:positionV>
            <wp:extent cx="4474845" cy="1748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7484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candidates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advancing several additional CAR T programs against new targets. For one such candidate, we have developed an innovative partnership model with a leading cancer center, Roswell Park Comprehensive Cancer Center, or Roswell Park, to validate the novel target GPC3 in the clinic. With Roswell Park, we are advancing a gene-edited, autologous CAR T candidate targeting GPC3, expressed in hepatocellular carcinoma. Roswell Park will conduct manufacturing and a first-in-human clinical trial, while we retain commercial rights. This structure will enable us to assess the safety and activity of this gene-edited product candidate rapidly. Based on the clinical results, we can choose to continue advancing the autologous program internally or develop an allogeneic version to expand the opportunity further.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Vivo Approaches</w:t>
      </w:r>
    </w:p>
    <w:p>
      <w:pPr>
        <w:spacing w:after="0" w:line="119"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have established a leading platform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and are rapidly advancing a broad portfolio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or delivery of a CRISPR/Cas9-based therapeutic directly to tissues within the human body, could enable the treatment of many rare and common diseases, including those difficult to address with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approaches.</w:t>
      </w:r>
    </w:p>
    <w:p>
      <w:pPr>
        <w:spacing w:after="0" w:line="6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target the liver and take advantage of the clinically established and validated lipid nanoparticle, or LNP, delivery technologies now available. LNPs have several advantages that make them well-suited for delivering CRISPR/Cas9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including efficient and safe delivery to the liver, large cargo size and transient cargo expression. Our first programs in the liver aim to treat diseases where we can produce a strong therapeutic effect by safely disrupting a gene with well-understood genetic association. For example, our two clinical programs, CTX310 and CTX320, aim to address cardiovascular disease by disrupting the validated targets ANGPTL3 and lipoprotein (a), or Lp(a), respectively.</w:t>
      </w:r>
    </w:p>
    <w:p>
      <w:pPr>
        <w:spacing w:after="0" w:line="7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Beyond the liver, for delivery to hematopoietic stem cells and other extrahepatic tissues, we are pursuing multiple delivery technologies, including LNPs. Through internal efforts and external collaborations, we are developing new delivery modalities to support future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Cardiovascular and Dyslipidemia Programs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Cardiovascular disease, or CVD, is the leading cause of death globally, accounting for close to one third of all deaths, or nearly 20.5 million people, in 2021. CVD includes heart failure, stroke, atherosclerotic cardiovascular disease, or ASCVD, aortic valve calcification and more. Dyslipidemias are a leading cause of CVD. Dyslipidemias are characterized by abnormally high levels of lipids, including cholesterol, lipoproteins and triglycerides, in the bloodstream. Three of the most common dyslipidemias are hypercholesterolemia, hypertriglyceridemia and elevated Lp(a). Today’s chronic care treatment model of CVD involves daily medication, weekly injection, multiple infusions annually and/or surgical interventions. This model places a heavy burden on patients and the healthcare system. Adherence to lipid-lowering therapy remains a major challenge, and over 80% of people with very high cardiovascular risk do not reach low density lipoprotein, cholesterol, or LDL-C target goal.</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aim to transform the treatment paradigm for CVD by developing one-time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therapies that can durably lower levels of atherogenic lipoproteins for a patient’s lifetime. To do so, we aim to disrupt genes like ANGPTL3 that when dysfunctional or inhibited result in lower levels of key lipoproteins and improved cardiovascular outcomes based on studies of natural human genetics and other therapeutic modalities. By recapitulating this benefit, we believe that our therapies have the potential to minimize or eliminate the need for additional treatments and improve long-term cardiovascular outcomes for both patients with severe genetic dyslipidemias and much larger ASCVD patient populations.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CTX310</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product candidate, CTX310, targets the gene encoding angiopoietin-related protein 3, or ANGPTL3, for the treatment and prevention of CVD. ANGPTL3 plays an important role in lipid metabolism by inhibiting an enzyme called lipoprotein lipase, or LPL. LPL is the main enzyme that breaks down triglyceride-enriched lipoproteins like chylomicrons, very low density lipoprotein, or VLDL, and LDL. By preventing LPL from hydrolyzing these lipoproteins, ANGPTL3 activity increases the level of circulating triglycerides. Reducing ANGPTL3 expression by disrupting the ANGPTL3 gene increases LPL expression and thereby reduces triglyceride-rich lipoproteins, as well as LDL-C. This mechanism has been validated through natural history studies, as individuals with natural loss-of-function variants of ANGPTL3 have lower triglyceride levels, lower LDL-C levels, and a lower risk of coronary artery disease. CTX310, which consists of messenger RNA encoding Cas9 and a gRNA targeting ANGPTL3 delivered via LNP, aims to recapitulate this effect by disrupting the ANGPTL3 gene. CTX310 has been shown to decrease ANGPTL3 protein levels by nearly 90% in non-human primates, or NHPs, leading to a greater than 50% reduction in serum triglycerides. CTX310 is currently in an ongoing Phase 1 clinical trial in patients with mixed dyslipidemia, homozygous familial hypercholesterolemia, or HoFH, heterozygous familial hypercholesterolemia, or HeFH, and severe hypertriglyceridemia, or sHTG.</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single dose of CTX310 durably reduced ANGPTL3 and triglycerides in NHPs out to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88265</wp:posOffset>
            </wp:positionV>
            <wp:extent cx="5383530" cy="2348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8353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Hypercholesterolemia</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Hypercholesterolemia is defined by levels of LDL-C above 130 mg/dL and is associated with increased risk of heart disease and stroke. In hypercholesterolemia, high levels of LDL-C accumulate in blood vessels, leading to atherosclerosis. Treatment aims to reduce LDL-C levels to below 100 mg/dL with 70 mg/dL as the ultimate goal, but some patients cannot achieve this level of reduction through existing means. Patients with LDL-C levels above 200 mg/dL are considered to have familial hypercholesterolemia (FH). Patients with FH have one or more genetic mutations that contribute to the disease in addition to diet and lifestyle. Patients with FH cannot metabolize LDL-C effectively, leading to high levels of circulating LDL-C, in some cases exceeding 1000 mg/dL. FH can be subcategorized by mutation status into HeFH, and HoFH. HoFH patients have the most severe phenotype, with LDL-C levels usually exceeding 400 mg/dL. HoFH patients often suffer from CVD early in life and have an average life expectancy of 33 years if untreated. HoFH has a prevalence of 1 in 200,000 to 1,000,000 adults.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Hypertriglyceridemia</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Hypertriglyceridemia is clinically defined as having triglyceride levels above l50 mg/dL. The most severe patients can have levels exceeding 2000 mg/dl. Hypertriglyceridemia is associated with CVD and acute pancreatitis. Like LDL-C, triglyceride levels can be affected by diet and lifestyle choices and treated with common therapies. However, over three million adults in the United States still have sHTG. Known genetic conditions can cause sHTG, including familial chylomicronemia syndrome, or FCS, and multifactorial chylomicronemia syndrome, or MCS. There are parallels between FCS/MCS and HoFH/HeFH. FCS is the only true monogenic form of hypertriglyceridemia and is associated with extreme levels of triglycerides exceeding 885 mg/dL. The prevalence of FCS is 1 in 200,000 to 300,000 individuals in the United States and EU. MCS is polygenic in nature, meaning that the genetic underpinnings causing the disease to vary among individuals, and is clinically defined as having triglyceride levels between 150 and 885 mg/dL. MCS has a prevalence of 1 in 600 to 1,000 individuals.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CTX320</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second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product candidate, CTX320, targets another protein associated with CVD: Lp(a). Lp(a) is a lipoprotein consisting of an LDL-like particle covalently bound to a protein called apolipoprotein(a), or apo(a). Lp(a) transports cholesterol in the blood and is highly atherogenic. It can infiltrate and bind to components of the extracellular matrix in the inner layers of the aortic valve and other areas of the circulatory system, resulting in increases in inflammation and fatty deposits that over time lead to a weakened aortic valve and other serious symptoms contributing to CVD. Lp(a) is its own independent risk factor for CVD. High concentrations of Lp(a), as well as genetic variants associated with high Lp(a) concentrations, are both associated with CVD. Elevated levels of Lp(a) above 50 mg/dL are directly associated with aortic valve calcification disease, or AVCD. Up to 20% of adults in the United States have Lp(a) levels above 50 mg/dL and over 1 million adults in the United States have AVCD. Additionally, 30% of patients with familial hypercholesterolemia have elevated Lp(a) levels. To date, there are no Lp(a) lowering therapies approved by the FDA. CTX320 consists of a gRNA targeting LPA, the gene encoding apo(a), and messenger RNA encoding Cas9 delivered via LNP. By reducing levels of apo(a), CTX320 should reduce plasma levels of Lp(a) substantially, as supported by preclinical data showing that treatment with CTX320 decreases Lp(a) levels by over 90% in NHPs. CTX320 is currently in an ongoing Phase 1 clinical trial in patients with elevated Lp(a).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single dose of CTX320 durably reduced Lp(a) in NHPs out to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88265</wp:posOffset>
            </wp:positionV>
            <wp:extent cx="3865880" cy="2322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658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Elevated Lp(a)</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Lp(a) is a lipoprotein consisting of an LDL-like particle covalently bound to a protein called apolipoprotein(a), or apo(a). Lp(a) transports cholesterol in the blood and is highly atherogenic. It can infiltrate and bind to components of the extracellular matrix in the inner layers of the aortic valve and other areas of the circulatory system, resulting in increases in inflammation and fatty deposits that over time lead to a weakened aortic valve and other serious symptoms contributing to CVD. Lp(a) is its own independent risk factor for CVD. High concentrations of Lp(a), as well as genetic variants associated with high Lp(a) concentrations, are both associated with CVD. Elevated levels of Lp(a) above 50 mg/dL are directly associated with aortic valve calcification disease, or AVCD. Up to 20% of adults in the United States have Lp(a) levels above 50 mg/dL and over 1 million adults in the United States have AVCD. Additionally, 30% of patients with familial hypercholesterolemia have elevated Lp(a) levels. To date, there are no Lp(a) lowering therapies approved by the FDA.</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In Vivo Programs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Building upon CTX310 and CTX320, we have a number of earlier stage investigational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leveraging gene disruption in the liver for both rare and common diseases. These include CTX340, targeting angiotensinogen for refractory hypertension, as well as CTX450, targeting 5’-aminolevulinate synthase 1 for acute hepatic porphyria, which we are progressing through preclinical studies. In addition, we have programs focused on gene correction in the liver, including the first programs leveraging technologies developed by our CRISPR-X group.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1 Diabetes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advancing a series of programs focused on the development of gene-edited stem cell-derived therapies for the treatment of type 1 diabetes, or T1D. We believe our gene editing capabilities have the potential to enable a beta-cell replacement product candidate that may deliver durable benefit to patients without the need for long-term immunosuppression.</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Clinical data with allogeneic islet transplants indicate that beta-cell replacement approaches may offer benefit to patients with insulin-requiring diabetes. However, this approach requires collecting islets from cadavers, which is not a scalable process. In addition, because a patient’s immune system will identify these cadaveric cells as foreign, patients require long-term immunosuppression to avoid rejection. The first challenge can be solved by using beta cells derived from stem cells. Multiple groups have advanced stem cell-derived beta-cell replacement product candidates into clinical studies, but these product candidates still require chronic immunosuppression.</w:t>
      </w:r>
    </w:p>
    <w:p>
      <w:pPr>
        <w:spacing w:after="0" w:line="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gene editing technology offers the potential to protect the transplanted cells from the patient’s immune system by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editing of immuno-modulatory genes within the stem cell line used to produce the pancreatic-lineage cells. We believe that the speed, specificity and multiplexing efficiency of CRISPR/Cas9 make our technology well suited to this task. Furthermore, our CRISPR platform enables a process of continuous innovation, with additional edits incorporated into next-generation product candidates with the aim of increasing treatment benefit further. This feature of the CRISPR/Cas9 platform has led us to pursue a multi-pronged product strategy:</w:t>
      </w:r>
    </w:p>
    <w:p>
      <w:pPr>
        <w:spacing w:after="0" w:line="77" w:lineRule="exact"/>
        <w:rPr>
          <w:sz w:val="20"/>
          <w:szCs w:val="20"/>
          <w:color w:val="auto"/>
        </w:rPr>
      </w:pPr>
    </w:p>
    <w:p>
      <w:pPr>
        <w:ind w:left="1020" w:right="4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CTX211, is an allogeneic, gene-edited, hypoimmune, stem cell derived product candidate in a device that is implanted into patients and intended to produce insulin in a glucose-dependent manner.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0" w:name="page21"/>
    <w:bookmarkEnd w:id="20"/>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research efforts focused on a deviceless beta cell replacement approach, CTX213, which consists of unencapsulated precursor islet cells derived from edited stem cells.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a non-exclusive license to certain of our CRISPR-Cas9 gene editing intellectual property to Vertex in March 2023 to accelerate Vertex’s development of hypoimmune cell therapies for T1D.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CTX211</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CTX211 is an investigational, allogeneic, gene-edited, hypoimmune, stem cell-derived beta cell replacement therapy developed by applying our gene editing technology to ViaCyte’s proprietary stem cell capabilities. CTX211 incorporates six gene edits designed to promote immune evasion and cell fitness: knock-out of B2M and TXNIP and knock-in of PD-L1, HLA-E, MANF and A20. CTX211 benefits from work on a precursor product candidate, which only had four of these edits. Collectively, the edits in CTX211 improve the ability of beta cells to evade the immune system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preclinical models, as shown below. In addition, CTX211 has been shown to reverse hyperglycemia in a diabetic rat model. CTX211 is being investigated in an ongoing Phase 1/2 clinical trial designed to assess the safety, tolerability and efficacy of CTX211 in adult patients with T1D.</w:t>
      </w:r>
    </w:p>
    <w:p>
      <w:pPr>
        <w:spacing w:after="0" w:line="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CTX211 Cells Evade Immunity </w:t>
      </w:r>
      <w:r>
        <w:rPr>
          <w:rFonts w:ascii="Times New Roman" w:cs="Times New Roman" w:eastAsia="Times New Roman" w:hAnsi="Times New Roman"/>
          <w:sz w:val="18"/>
          <w:szCs w:val="18"/>
          <w:b w:val="1"/>
          <w:bCs w:val="1"/>
          <w:i w:val="1"/>
          <w:iCs w:val="1"/>
          <w:color w:val="auto"/>
        </w:rPr>
        <w:t>In Vitro</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88265</wp:posOffset>
            </wp:positionV>
            <wp:extent cx="5803265" cy="2743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0326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CTX211 Reverses Hyperglycemia in a Diabetic Rat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88265</wp:posOffset>
            </wp:positionV>
            <wp:extent cx="4946015" cy="2271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4601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CRISPR-X: Further Unlocking the Potential of Our Gene Editing Platform</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While we have made significant progress with our current portfolio of programs, we recognize that we can bring transformative therapies to even more patients by continuing to innovate to unlock the full potential of gene editing. In late 2022, we launched a new early-stage research team known as CRISPR-X that focuses on innovative research to develop next-generation gene editing modalities. CRISPR-X is developing technologies to enable whole gene correction and insertion without requiring: (1) homology-directed repair, which occurs at low efficiency in many cells, or (2) viral delivery of a DNA template, which creates toxicity risks and technical challenges. These technologies include all-RNA gene correction, non-viral delivery of DNA and novel editing and insertion techniques. These efforts complement other core platform capabilities, such as gRNA selection, on- and off-target assessment, multiplexing and lipid nanoparticle discovery.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Vertex Partnered Programs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partnered with Vertex, a global leader in rare diseases, in several other disease areas beyond SCD and TDT. We have entered into license agreements with Vertex with respect to cystic fibrosis, or CF, where Vertex has extensive expertise, and DMD. In addition, we have entered into a collaboration agreement on DM1, in which we retain the option to co-develop and co-commercialize products. We believe that our CRISPR/Cas9 gene editing technology is well suited to address CF, DMD and DM1, all of which have significant patient populations with high unmet medical need.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Duchenne Muscular Dystrophy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DMD is an X-linked recessive genetic disease caused by mutations in the dystrophin gene, which results in a lack of the dystrophin protein. Because dystrophin plays a key structural role in muscle fiber function, the absence of this protein in muscle cells leads to significant cell damage and ultimately causes muscle cell death and fibrosis. Patients with the disease experience muscle degeneration, loss of mobility and premature death. DMD is among the most prevalent severe genetic diseases, occurring in one in 3,300 male births worldwide. There are currently several approved disease-modifying therapies in the United States for the treatment of DMD, including one for patients who have confirmed mutations of the dystrophin gene amenable to exon 51 skipping, two for patients who have confirmed mutations of the dystrophin gene amenable to exon 53 skipping, and one for patients who have confirmed mutations of the dystrophin gene amenable to exon 45 skipping. These mutations affect about 13%, 8% and 8% of the DMD population, respectively. In addition, in June 2023, the FDA granted accelerated approval for Elevidys (delandistrogene moxeparvovec), an AAV gene therapy carrying a micro-dystrophin gene for the treatment of ambulatory pediatric patients aged 4 through 5 years with DMD with a confirmed mutation in the DMD gene.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Myotonic Dystrophy Type 1</w:t>
      </w:r>
    </w:p>
    <w:p>
      <w:pPr>
        <w:spacing w:after="0" w:line="11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DM1 is an autosomal genetic disease caused by the expansion of a CTG trinucleotide repeat in the noncoding region of the </w:t>
      </w:r>
      <w:r>
        <w:rPr>
          <w:rFonts w:ascii="Times New Roman" w:cs="Times New Roman" w:eastAsia="Times New Roman" w:hAnsi="Times New Roman"/>
          <w:sz w:val="18"/>
          <w:szCs w:val="18"/>
          <w:i w:val="1"/>
          <w:iCs w:val="1"/>
          <w:color w:val="auto"/>
        </w:rPr>
        <w:t>DMPK</w:t>
      </w:r>
      <w:r>
        <w:rPr>
          <w:rFonts w:ascii="Times New Roman" w:cs="Times New Roman" w:eastAsia="Times New Roman" w:hAnsi="Times New Roman"/>
          <w:sz w:val="18"/>
          <w:szCs w:val="18"/>
          <w:color w:val="auto"/>
        </w:rPr>
        <w:t xml:space="preserve"> gene. The disease affects the skeletal and smooth muscle, as well as other organ systems, such as the eye, heart, endocrine system, and central nervous system. The clinical manifestations of DM1 span a continuum from mild to severe. Based on these phenotypes, DM1 is classified into three somewhat overlapping forms: mild, classic, and congenital. Patients with mild DM1 have normal lifespans and typically develop cataracts, and experience mild sustained muscle contractions, or myotonia. Those with classic DM1 tend to have muscle weakness and wasting, myotonia, cataracts and often abnormalities in cardiac conduction, and may become physically disabled and have shortened lifespans. Patients with congenital DM1 commonly have intellectual disability and typically have hypotonia and severe generalized weakness at birth, often with respiratory insufficiency and early death. DM1 affects around 1 in 8,000 people worldwide. No approved therapies exist to treat the underlying disease; instead, most interventions to date aim to address specific symptoms of the disease.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Cystic Fibrosis</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CF is a progressive disease caused by mutations in the cystic fibrosis transmembrane regulator, or CFTR, gene resulting in the loss or reduced function of the CFTR protein. Patients with CF develop thick mucus in vital organs, particularly in the lungs, pancreas and gastrointestinal tract. As a result, CF patients experience chronic severe respiratory infections, chronic lung inflammation, poor absorption of nutrients, progressive respiratory failure and early mortality. The median age of death from CF in the United States was 31 years in 2017, with most deaths resulting from respiratory failure. CF is an orphan disease that is estimated to affect more than 70,000 patients in the United States and Europe. CF patients require lifelong treatment with multiple daily medications and hours of self-care. They often require frequent hospitalizations and sometimes even lung transplantation, which can prolong survival but is not curative.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Partnerships and Collaborations</w:t>
      </w:r>
    </w:p>
    <w:p>
      <w:pPr>
        <w:spacing w:after="0" w:line="121" w:lineRule="exact"/>
        <w:rPr>
          <w:sz w:val="20"/>
          <w:szCs w:val="20"/>
          <w:color w:val="auto"/>
        </w:rPr>
      </w:pPr>
    </w:p>
    <w:p>
      <w:pPr>
        <w:ind w:right="220" w:firstLine="554"/>
        <w:spacing w:after="0" w:line="282" w:lineRule="auto"/>
        <w:rPr>
          <w:sz w:val="20"/>
          <w:szCs w:val="20"/>
          <w:color w:val="auto"/>
        </w:rPr>
      </w:pPr>
      <w:r>
        <w:rPr>
          <w:rFonts w:ascii="Times New Roman" w:cs="Times New Roman" w:eastAsia="Times New Roman" w:hAnsi="Times New Roman"/>
          <w:sz w:val="18"/>
          <w:szCs w:val="18"/>
          <w:color w:val="auto"/>
        </w:rPr>
        <w:t>We view strategic partnerships as a core component of our strategy, allowing us to access capabilities and resources in support of our therapeutic programs. We maintain broad strategic partnerships to develop gene editing-based therapeutics in specific disease areas.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and certain of our affiliates, have entered into a series of agreements with Vertex, and or affiliates of Vertex, that contemplate certain research, development, manufacturing and commercialization activities involving various targets. Since October 2015, we have entered into a Strategic Collaboration, Option and License Agreement, as amended in 2017 and 2019, or the 2015 Collaboration Agreement; a Joint Development and Commercialization Agreement, or the Vertex JDA, which was amended and restated in April 2021, or the A&amp;R Vertex JDCA, as amended in December 2023, or the Amended A&amp;R Vertex JDCA; and a Strategic Collaboration and License Agreement, as amended in April 2021, or the 2019 Collaboration Agreement. In addition, we and Vertex entered into a non-exclusive license agreement in March 2023, or the Non-Ex License Agreement, pursuant to which we agreed to license to Vertex, on a non-exclusive basis, certain of our gene editing intellectual property.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2015 Collaboration Agreement</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Pursuant to the 2015 Collaboration Agreement, we agreed to provide technology and options to obtain licenses relating to our CRISPR/Cas technology to Vertex in exchange for a $75.0 million upfront payment. In 2015, in connection with the initial entry into the 2015 Collaboration Agreement, Vertex also made a $30.0 million equity investment in us.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initial focus of the 2015 Vertex collaboration was to use CRISPR/Cas9 technology to discover and develop gene-based treatments for hemoglobinopathies and cystic fibrosis. In 2017, Vertex exercised its option to co-develop and co-commercialize the hemoglobinopathies program. Matters relating to hemoglobinopathies targets are governed by the Amended A&amp;R Vertex JDCA, as summarized below. Further discovery efforts focused on a specified number of other genetic targets. Under the 2015 Collaboration Agreement, Vertex had the option to exclusively license treatments for a specified number of collaboration targets that emerged from the four-year research collaboration under certain of our platform and background intellectual property to develop, manufacture, commercialize, sell and use therapeutics directed to each such collaboration target. We were responsible for discovery activities, and the related expenses were fully funded by Vertex.</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October 2019, Vertex exercised the remaining options granted to it under the 2015 Collaboration Agreement to exclusively in-license three additional targets for the development of gene-based treatments using CRISPR-based gene editing. The targets include the cystic fibrosis transmembrane conductance regulator gene and two undisclosed targets. Under the terms of the 2015 Collaboration Agreement, we received an upfront payment of $30.0 million in connection with the option exercise and have the potential to receive up to $410.0 million in development, regulatory and commercial milestones, as well as royalty payments in the single digits to low teens on net product sales for each of the three targets. The milestone and royalty payments are each subject to reduction under certain specified conditions set forth in the 2015 Collaboration Agreement. For these targets, Vertex is solely responsible for all research, development, manufacturing and global commercialization activities and Vertex received exclusive rights to develop and commercialize products related to these targets globally. The research term of the 2015 Collaboration Agreement has expired, and Vertex no longer holds rights to in-license additional targets under the 2015 Collaboration Agreement.</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Either party can terminate the 2015 Collaboration Agreement upon the other party’s material breach, subject to specified notice and cure provisions. Vertex also has the right to terminate the 2015 Collaboration Agreement for convenience at any time upon 90 days’ written notice prior to any product receiving marketing approval and upon 270 days’ notice after a product has received marketing approval. We may also terminate the 2015 Collaboration Agreement in the event Vertex challenges any of our patent rights.</w:t>
      </w:r>
    </w:p>
    <w:p>
      <w:pPr>
        <w:spacing w:after="0" w:line="7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Absent early termination, the 2015 Collaboration Agreement will continue until the expiration of Vertex’s payment obligations under the 2015 Collaboration Agreement.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Joint Development Agreement</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December 2017, we entered into the Vertex JDA with Vertex pursuant to which the parties agreed to, among other things, co-develop and co-commercialize CASGEVY and other product candidates specified in the Vertex JDA. In April 2021, we and Vertex agreed to amend and restate the Vertex JDA and entered into the A&amp;R Vertex JDCA, pursuant to which the parties agreed to, among other things, (a) adjust the governance structure for the collaboration and adjust the responsibilities of each party thereunder; (b) adjust the allocation of net profits and net losses between the parties with respect to CASGEVY only; and (c) exclusively license (subject to our reserved rights to conduct certain activities) certain intellectual property rights to Vertex relating to the specified product candidates and products (including CASGEVY) that may be researched, developed, manufactured and commercialized under such agreement. We and Vertex amended the A&amp;R Vertex JDCA in December 2023.</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A&amp;R Vertex JDCA, as amended, includes, among other things, provisions relating to the following:</w:t>
      </w:r>
    </w:p>
    <w:p>
      <w:pPr>
        <w:spacing w:after="0" w:line="11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Governance; Activities</w:t>
      </w:r>
      <w:r>
        <w:rPr>
          <w:rFonts w:ascii="Times New Roman" w:cs="Times New Roman" w:eastAsia="Times New Roman" w:hAnsi="Times New Roman"/>
          <w:sz w:val="18"/>
          <w:szCs w:val="18"/>
          <w:color w:val="auto"/>
        </w:rPr>
        <w:t>. We and Vertex disbanded the previously established collaboration strategy team and all working groups established by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and established a joint oversight committee to provide high-level oversight of the ongoing collaboration comprised of an equal number of representatives from each of CRISPR and Vertex. We and Vertex also formed a transition committee to provide for forum planning, discussing and sharing information regarding certain transition activities, which was disbanded following completion of such activities. The agreement provides that, subject to the terms and conditions of such agreement, Vertex has the right to conduct all research, development, manufacturing and commercialization activities relating to the specified product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ind w:right="580"/>
        <w:spacing w:after="0" w:line="282" w:lineRule="auto"/>
        <w:rPr>
          <w:sz w:val="20"/>
          <w:szCs w:val="20"/>
          <w:color w:val="auto"/>
        </w:rPr>
      </w:pPr>
      <w:r>
        <w:rPr>
          <w:rFonts w:ascii="Times New Roman" w:cs="Times New Roman" w:eastAsia="Times New Roman" w:hAnsi="Times New Roman"/>
          <w:sz w:val="18"/>
          <w:szCs w:val="18"/>
          <w:color w:val="auto"/>
        </w:rPr>
        <w:t>candidates and products (including CASGEVY) throughout the world subject to our reserved right to conduct certain activities. We will continue to participate in certain aspects of such activities in an observer capacity unless and to the extent otherwise agreed to by the parties.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Financial Terms</w:t>
      </w:r>
      <w:r>
        <w:rPr>
          <w:rFonts w:ascii="Times New Roman" w:cs="Times New Roman" w:eastAsia="Times New Roman" w:hAnsi="Times New Roman"/>
          <w:sz w:val="18"/>
          <w:szCs w:val="18"/>
          <w:color w:val="auto"/>
        </w:rPr>
        <w:t>. In the second quarter of 2021, in connection with the closing of the transaction contemplated by the amendment and restatement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Vertex JDA, we received a $900 million up-front payment from Vertex. Additionally, in connection with the FDA’s approval of CASGEVY on December 8, 2023 for the treatment of sickle cell disease in patients 12 years and older with recurrent vaso-occlusive crises, we received a $200.0 million milestone payment from Vertex in the first quarter of 2024. The net profits and net losses, as applicable, incurred under the Amended A&amp;R Vertex JDCA with respect to all product candidates and products specified in such agreement, other than CASGEVY, shall be shared equally between us and Vertex. With respect to CASGEVY only, the net profits and net losses, as applicable, incurred under the agreement through July 1, 2021 in connection with the initial shared product (i.e., CASGEVY) were shared equally between us and Vertex, and beginning July 1, 2021, the net profits and net losses, as applicable, incurred under the agreement are allocated 40% to CRISPR and 60% to Vertex. In addition, for the years ended December 31, 2022, 2023 and 2024, the agreement allows us to defer a portion of our share of costs under the arrangement if spending on the CASGEVY program exceeds $110.3 million annually. In December 2023, pursuant to the amendment, the parties agreed to (a) allocate certain costs arising from a license agreement with a third party, resulting in a current payment due to Vertex by CRISPR of $20 million upon an event specified in such amendment; and (b) adjust, under certain specified circumstances, the timing of and portion of CRISPR’s share of costs it is permitted to defer under the agreement. Any deferred amounts under the Amended A&amp;R Vertex JDCA are payable to Vertex only as an offset against future profitability of the CASGEVY program and the amounts payable are capped at a specified maximum amount per year.</w:t>
      </w:r>
    </w:p>
    <w:p>
      <w:pPr>
        <w:spacing w:after="0" w:line="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Either party can terminate the agreement upon the other party’s material breach, subject to specified notice and cure provisions,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case of Vertex, in the event that we become subject to specified bankruptcy, winding up or similar circumstances. Either party may terminate the agreement in the event the other party commences or participates in any action or proceeding challenging the validity or enforceability of any patent that is licensed to such challenging party pursuant to the agreement. Vertex also has the right to terminate the agreement for convenience at any time after giving prior written notice.</w:t>
      </w:r>
    </w:p>
    <w:p>
      <w:pPr>
        <w:spacing w:after="0" w:line="7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circumstances arise pursuant to which a party would have the right to terminate the agreement on account of an uncured material breach, such party may elect to keep the agreement in effect and cause such breaching party to be treated as if it had exercised its opt-out rights with respect to the products associated with such uncured material breach (described below) and the royalties payable to the breaching party would be reduced by a specified percentage.</w:t>
      </w:r>
    </w:p>
    <w:p>
      <w:pPr>
        <w:spacing w:after="0" w:line="7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Opt-Out Rights</w:t>
      </w:r>
      <w:r>
        <w:rPr>
          <w:rFonts w:ascii="Times New Roman" w:cs="Times New Roman" w:eastAsia="Times New Roman" w:hAnsi="Times New Roman"/>
          <w:sz w:val="18"/>
          <w:szCs w:val="18"/>
          <w:color w:val="auto"/>
        </w:rPr>
        <w:t>. Either party may opt out of the development of a product candidate under the agreement after predetermined points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the product candidate, on a candidate-by-candidate basis. In the event of such opt-out, the party opting out will no longer share in the net profits and net losses associated with such product candidate and, instead, the opting-out party will be entitled to high single to mid-teen percentage royalties on the net sales of such product, if commercialized.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2019 Collaboration Agreement</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June 2019, we and Vertex entered the 2019 Collaboration Agreement, pursuant to which we and Vertex agreed to collaborate to develop and commercialize products for the treatment of DMD and DM1. We and Vertex amended the 2019 Collaboration Agreement in April 2021.</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2019 Collaboration Agreement includes, among other things, provisions relating to the following:</w:t>
      </w:r>
    </w:p>
    <w:p>
      <w:pPr>
        <w:spacing w:after="0" w:line="115"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We and Vertex will form a joint advisory committee to provide high-level oversight and coordination of the activities covered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Collaboration Agreement.</w:t>
      </w:r>
    </w:p>
    <w:p>
      <w:pPr>
        <w:spacing w:after="0" w:line="50" w:lineRule="exact"/>
        <w:rPr>
          <w:sz w:val="20"/>
          <w:szCs w:val="20"/>
          <w:color w:val="auto"/>
        </w:rPr>
      </w:pPr>
    </w:p>
    <w:p>
      <w:pPr>
        <w:ind w:right="3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Development and Commercialization</w:t>
      </w:r>
      <w:r>
        <w:rPr>
          <w:rFonts w:ascii="Times New Roman" w:cs="Times New Roman" w:eastAsia="Times New Roman" w:hAnsi="Times New Roman"/>
          <w:sz w:val="18"/>
          <w:szCs w:val="18"/>
          <w:color w:val="auto"/>
        </w:rPr>
        <w:t>. The 2019 Collaboration Agreement provides that Vertex will be responsible for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activities, subject to our option, exercisable during a specified exercise period, to co-develop and co-commercialize products for the treatment of DM1.</w:t>
      </w:r>
    </w:p>
    <w:p>
      <w:pPr>
        <w:spacing w:after="0" w:line="6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Financial Terms</w:t>
      </w:r>
      <w:r>
        <w:rPr>
          <w:rFonts w:ascii="Times New Roman" w:cs="Times New Roman" w:eastAsia="Times New Roman" w:hAnsi="Times New Roman"/>
          <w:sz w:val="18"/>
          <w:szCs w:val="18"/>
          <w:color w:val="auto"/>
        </w:rPr>
        <w:t>. In connection with entering into the 2019 Collaboration Agreement, we received a $175.0 million up-front payment from Vertex.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eligible to receive milestone payments from Vertex of up to $775.0 million in the aggregate, depending on the numbers and types of products that achieve pre-determined development and commercial milestones. We are also eligible to receive royalties on the sales of products ranging from the low single digits to the low double digits.</w:t>
      </w:r>
    </w:p>
    <w:p>
      <w:pPr>
        <w:spacing w:after="0" w:line="72"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Co-Development and Co-Commercialization Option</w:t>
      </w:r>
      <w:r>
        <w:rPr>
          <w:rFonts w:ascii="Times New Roman" w:cs="Times New Roman" w:eastAsia="Times New Roman" w:hAnsi="Times New Roman"/>
          <w:sz w:val="18"/>
          <w:szCs w:val="18"/>
          <w:color w:val="auto"/>
        </w:rPr>
        <w:t>. If we elect to co-develop and co-commercialize products for the treatment of DM1, we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Vertex for fifty percent (50%) of the DM1 research and development costs incurred by Vertex and would be responsible for fifty percent (50%) of such costs going forward. We would receive, in lieu of further milestone or royalty payments associated with DM1 development and commercialization activities, fifty percent (50%) of all profits from sales of such products and would be responsible for fifty percent (50%) of all losses.</w:t>
      </w:r>
    </w:p>
    <w:p>
      <w:pPr>
        <w:spacing w:after="0" w:line="72"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Either party may terminate the 2019 Collaboration Agreement upon the other party’s material breach, subject to specified notice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cure provisions. We may also terminate the 2019 Collaboration Agreement in the event Vertex commences or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participates in any action or proceeding challenging the validity or enforceability of any patent that is licensed to Vertex pursuant to the 2019 Collaboration Agreement. Vertex may also terminate the 2019 Collaboration Agreement upon our bankruptcy or insolvency, or for convenience at any time, after giving written notice.</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circumstances arise pursuant to which Vertex would have the right to terminate the 2019 Collaboration Agreement on account of an uncured material breach, Vertex may elect to keep the 2019 Collaboration Agreement in effect and reduce by a specified percentage the applicable royalties payable in respect of the product(s) that are the subject of the breach.</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Non-Exclusive License Agreement</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March 2023, we and Vertex entered the Non-Ex License Agreement, pursuant to which we agreed to license to Vertex, on a non-exclusive basis, certain of our gene editing intellectual property to exploit certain products for the diagnosis, treatment or prevention of diabetes type 1, diabetes type 2 or insulin dependent/requiring diabetes throughout the world.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Non-Ex License Agreement includes, among other things, provisions relating to the following:</w:t>
      </w:r>
    </w:p>
    <w:p>
      <w:pPr>
        <w:spacing w:after="0" w:line="11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Financial Terms</w:t>
      </w:r>
      <w:r>
        <w:rPr>
          <w:rFonts w:ascii="Times New Roman" w:cs="Times New Roman" w:eastAsia="Times New Roman" w:hAnsi="Times New Roman"/>
          <w:sz w:val="18"/>
          <w:szCs w:val="18"/>
          <w:color w:val="auto"/>
        </w:rPr>
        <w:t>. In connection with entering into the Non-Ex License, we received a $100.0 million upfront payment from Vertex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received a $70.0 million research milestone achieved in the second quarter of 2023, a $10.0 million research milestone achieved in the fourth quarter of 2024, and have been notified by Vertex of its achievement of an additional $25.0 million research milestone in the fourth quarter of 2024. We are eligible to receive additional milestone payments from Vertex of up to $125.0 million in the aggregate. The milestones are dependent on the achievement of pre-determined research, development and commercial milestones for certain products utilizing the licensed intellectual property. We are also eligible to receive tiered royalties on the sales of certain products in the low to mid-single digits. In the event of any termination or expiration of the Non-Ex License Agreement, tiered royalties on the sales of certain products will continue in the low to mid-single digits.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Either party may terminate the Non-Ex License Agreement upon the other party’s material breach, subject to specified notice and 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We may also terminate the Non-Ex License Agreement in the event Vertex commences or participates in any action or proceeding challenging the validity or enforceability of any patent that is licensed to Vertex pursuant to the Non-Ex License Agreement. Vertex may also terminate the Non-Ex License Agreement upon our bankruptcy or insolvency, or for convenience upon the earlier of the achievement of certain milestone events or a specified period of time, after giving written notice.</w:t>
      </w:r>
    </w:p>
    <w:p>
      <w:pPr>
        <w:spacing w:after="0" w:line="200" w:lineRule="exact"/>
        <w:rPr>
          <w:sz w:val="20"/>
          <w:szCs w:val="20"/>
          <w:color w:val="auto"/>
        </w:rPr>
      </w:pPr>
    </w:p>
    <w:p>
      <w:pPr>
        <w:spacing w:after="0" w:line="20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descriptions of our strategic agreements are qualified in their entirety by reference to the full text of such agreements, copies of which are filed as exhibits to this Annual Report on Form 10-K.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know-how and improvements that we believe are commercially important to our business by seeking, maintaining, and defending patent rights, whether developed internally or licensed from third parties, that cover our gene editing technology and existing and planned therapeutic programs. We also rely on trade secret protection and confidentiality agreements to protect our proprietary technologies and know-how to protect aspects of our business that are not amenable to, or that we do not consider appropriate for, patent protection, as well as continuing technological innovation and seeking in-licensing opportunities to develop, strengthen and maintain our proprietary position in the field of gene editing. We additionally rely on trademark protection, copyright protection and regulatory protection available via orphan drug designations, data exclusivity, market exclusivity, and, if relevant, patent term extensions. Our success will depend significantly on our ability to obtain and maintain patent and other proprietary protection for our technology, our ability to defend and enforce our intellectual property rights and our ability to operate without infringing any valid and enforceable patents and proprietary rights of third parties. We also protect the integrity and confidentiality of our data, know-how and trade secrets by maintaining physical security of our premises and physical and electronic security of our information systems.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In-Licensed Intellectual Property from Dr. Charpentier</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April 2014, pursuant to an exclusive license with Dr. Charpentier, or the Charpentier License Agreement, we in-licensed certain rights to a worldwide patent portfolio which covers various aspects of our gene editing platform technology including, for example, compositions of matter (e.g., CRISPR/Cas9 systems) and methods of use, including the use of CRISPR/Cas9 systems for gene editing. Included in the in-licensed patent portfolio are more than one hundred (100) granted or allowed patents globally, including in the United States, United Kingdom, or the UK, Canada, Europe (including countries such as Germany, France and Italy), Japan, China, India, Ukraine, New Zealand, Singapore, Australia, Mexico, Hong Kong, Israel, the Philippines, and South Africa. The license from Dr. Charpentier is limited to therapeutic products, such as pharmaceuticals and biologics and any associated companion diagnostics, for the treatment or prevention of human diseases, disorders, or conditions. For further information about this license, please see “</w:t>
      </w:r>
      <w:r>
        <w:rPr>
          <w:rFonts w:ascii="Times New Roman" w:cs="Times New Roman" w:eastAsia="Times New Roman" w:hAnsi="Times New Roman"/>
          <w:sz w:val="18"/>
          <w:szCs w:val="18"/>
          <w:i w:val="1"/>
          <w:iCs w:val="1"/>
          <w:color w:val="auto"/>
        </w:rPr>
        <w:t>Business— License Agreements—CRISPR License with Dr. Charpentier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addition to Dr. Charpentier, the worldwide patent portfolio we have in-licensed from Dr. Charpentier has named inventors who assigned their rights either to the Regents of the University of California, or California, or the University of Vienna, or Vienna. California’s rights are subject to certain overriding obligations to the sponsors of its research, including the Howard Hughes Medical Institute and the U.S. Government. Caribou Biosciences, or Caribou, has reported that it had an exclusive license to patent rights from California and Vienna, subject to a retained right to allow non-profit entities to use the inventions for research and educational purposes. Intellia Therapeutics, Inc., or Intellia Therapeutics, has reported that it had an exclusive license to such rights from Caribou in certain fields. We refer collectively to Dr. Charpentier, California, and Vienna as the “CVC Group”. We are or have been subject to quasi-litigation,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administrative proceedings in the U.S. Patent and Trademark Office, or USPTO, the European Patent Office and patent offices in Australia, Japan, China and India involving the patent portfolio. For further information regarding risks regarding these proceedings, please see generally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December 15, 2016, we entered into a Consent to Assignments, Licensing and Common Ownership and Invention Management Agreement, or the IMA, with California, Vienna, Dr. Charpentier, Intellia Therapeutics, Caribou, ERS Genomics Ltd., or ERS, and our wholly-owned subsidiary TRACR Hematology Ltd., or TRACR. Under the IMA, California and Vienna retroactively consent to Dr. Charpentier’s licensing of her rights to the CRISPR/Cas9 intellectual property, pursuant to our license with Dr. Charpentier, to us, TRACR, and ERS, in the United States and globally. The IMA also provides retroactive consent of co-owners to sublicenses granted by us, TRACR and other licensees, prospective consent to sublicenses they may grant in future, retroactive approval of prior assignments by certain parties, and provides for, among other things, (i) good faith cooperation among the parties regarding patent maintenance, defense and prosecution, (ii) cost-sharing arrangements, and (iii) notice of and coordination in the event of third-party infringement of the subject patents and with respect to certain adverse claimants of the CRISPR/Cas9 intellectual property. Unless earlier terminated by the parties, the IMA will continue in effect until the later of the last expiration date of the patents underlying the gene editing technology, or the date on which the last underlying patent application is abandoned. For further information regarding the effects of joint ownership in the United States and in other jurisdictions worldwide,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Intellectual Property That Protects Our Core Gene Editing Technology Is Jointly Owned, And Our License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Only One Of The Joint Owners, Materially Limiting Our Rights In The United States And In Other Jurisdictions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CRISPR-Owned Intellectual Property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worldwide patent portfolio we in-license from Dr. Charpentier, we have a broad intellectual property estate intended to provide multiple layers of protection, including numerous patent families covering key aspects of our gene-editing technology, including CRISPR/Cas9 platform technology, and other technologies, including delivery, as well as our product candidates. These patent families encompass filings covering our development programs (such as composition of matter, method of use, manufacturing processes, dosing and formulations), the use and improvement modifications of CRISPR/Cas9 systems for gene editing and next generation editing systems (such as improvements to component systems including nucleases and single or modified gRNAs),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targets, technologies for delivering protein/nucleic acid complexes and RNA into cells (such as improved viral vector systems), and technology relevant to stem cell-based therapies and cancer therapies.</w:t>
      </w:r>
    </w:p>
    <w:p>
      <w:pPr>
        <w:spacing w:after="0" w:line="8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Overall, our wholly-owned intellectual property estate includes over one hundred (100) active patent families and over seventy (70) granted or allowed patents, including in the United States, China, Europe, South Africa, Australia, Canada, China, Japan, Mexico and other selected countries in South America, the Middle East and Asia. In addition, we have patent applications pending throughout the world, including in the United States, Europe, Australia, China, Canada and Japan. The granted patents and any other patents that may ultimately issue from these patent families are expected to expire starting in 2033, not including any applicable patent term extensions.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U.S. trademark estate consists of eighteen (18) pending applications, including, for example, for CRISPR-X, CRISPR THERAPEUTICS, CTX112, CTX131, CTX310 and CTX320, as well as seven U.S. registrations, including for CRISPR THERAPEUTICS and the CRISPR THERAPEUTICS logo. Our international trademark estate consists of multiple pending applications and registrations, including pending applications for CRISPR THERAPEUTICS standard character mark in Germany and Switzerland, and registrations in Benelux, Italy, Spain, and UK. For the CRISPR THERAPEUTICS logo, we have pending applications in Germany, Korea and Switzerland, and registrations in Benelux, Brazil, Canada, EU, Hong Kong, Italy, Japan, Mexico, Singapore, South Africa, Spain, and the UK. We have registrations for CTX112 in the EU, Switzerland, and the UK. We have registrations for CTX131 in the EU, Switzerland, and the UK. We have a pending application for CTX213 in Canada. We have registrations for CTX310 in Australia, New Zealand and Switzerland, and a pending application in Canada. We have registrations for CTX320 in Australia, New Zealand and Switzerland. We have a registration for CTX330 in Switzerland.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Assignment Agreement</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November 2014, we entered into a patent assignment agreement with Dr. Charpentier, Dr. Ines Fonfara and Vienna, or the Patent Assignment Agreement. Under the Patent Assignment Agreement, Dr. Charpentier, Dr. Fonfara and Vienna assigned to us all rights to a family of patent applications relating to certain compositions of matter, including additional CRISPR/TRACR/Cas9 complexes, and methods of use, including their use in targeting or cutting DNA.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consideration for the patent rights assigned to us, we agreed to pay an upfront payment, milestone payments beginning with the filing of a U.S. Investigational New Drug application or its equivalent in another country, a minimum annual royalty, a low single-digit royalty on net sales of products whose manufacture, use, sale, or importation is covered by the assigned patent rights, and a low single-digit percentage of licensing revenues.</w:t>
      </w:r>
    </w:p>
    <w:p>
      <w:pPr>
        <w:spacing w:after="0" w:line="68"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obtain regulatory approval to market a product whose manufacture, use, sale, or importation is covered by the assigned patent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CRISPR License With Dr. Charpentier</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April 2014, we entered into the Charpentier License Agreement with Dr. Charpentier pursuant to which we received an exclusive license under Dr. Charpentier’s joint ownership interest in the intellectual property subject to such license agreement, to research, develop and commercialize therapeutic products such as pharmaceuticals or biological preparations, and any associated companion diagnostics, for the treatment or prevention of human diseases, disorders, or conditions, other than hemoglobinopathies, which we refer to as the CRISPR Field. The license is exclusive, even as to Dr. Charpentier, except that she retains a non-transferable right to use the technology for her own research purposes and in research collaborations with academic and non-profit partners. The exclusive license is granted only under Dr. Charpentier’s interest in the patent applications and the exclusivity is not granted under any other joint owner’s interest. Additionally, the Charpentier License Agreement granted us an exclusive, worldwide, royalty-free sublicense, including the right to sublicense, to research, develop, produce, commercialize and sell therapeutic products relating to the CRISPR Field which incorporate any intellectual property that TRACR develops under its license with Dr. Charpentier. In turn, we granted to Dr. Charpentier an exclusive license with the obligation to sublicense to TRACR any intellectual property we develop under the license with Dr. Charpentier for treatment and prevention of hemoglobinopathies in humans, including, without limitation, sickle cell disease and thalassemia.</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Charpentier License Agreement, as consideration for the license, Dr. Charpentier received a technology transfer fee, as well as the right to receive an immaterial annual maintenance fee, immaterial clinical and regulatory milestone payments that are due after the initiation of certain clinical trial and regulatory events, a low single digit percentage royalty on net sales of licensed products and a low single digit percentage royalty on sublicensing revenue. We are obligated to use commercially reasonable efforts to obtain regulatory approval to market a licensed therapeutic product.</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Unless terminated earlier, the term of the Charpentier License Agreement will expire on a country-by-country basis, upon the expiration of the last to expire valid claim of the patents in-licensed to us under the Charpentier License Agreement in such country. We have the right to terminate the agreement at will upon 60 days’ written notice to Dr. Charpentier. We and Dr. Charpentier may terminate the agreement upon 90 days’ notice in the event of a material breach by the other party, which is not cured during the 90-day notice period. Dr. Charpentier may terminate the license agreement immediately if we challenge the enforceability, validity, or scope of any in-licensed patent right under the Charpentier License Agreement.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TRACR License With Dr. Charpentier</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April 2014, concurrently with the Charpentier License Agreement, TRACR entered into a license agreement, or the TRACR License Agreement, with Dr. Charpentier, a minority shareholder of TRACR, under the same intellectual property rights subject to the Charpentier License Agreement. Pursuant to the TRACR License Agreement, TRACR was granted an exclusive, worldwide, royalty-bearing license, including the right to sublicense, to research, develop, produce, commercialize and sell therapeutic and diagnostic products for the treatment and prevention of hemoglobinopathies in humans, including sickle cell disease and thalassemia, or the TRACR Field. TRACR also received a non-exclusive, worldwide, royalty-free license, including the right to sublicense, to carry out internal pharmaceutical research for therapeutic products outside of the TRACR Field and an exclusive, worldwide, royalty-free sublicense, including the right to sublicense, to research, develop, produce, commercialize and sell therapeutic products relating to the TRACR Field which incorporate any intellectual property that CRISPR develops under its license with Dr. Charpentier. In turn, TRACR granted to Dr. Charpentier an exclusive license to sublicense to CRISPR any intellectual property that TRACR develops under the license with Dr. Charpentier for use in the CRISPR Field.</w:t>
      </w:r>
    </w:p>
    <w:p>
      <w:pPr>
        <w:spacing w:after="0" w:line="8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TRACR is obligated to use commercially reasonable efforts to research, develop, and commercialize at least one therapeutic product for the prevention or treatment of human disease under the TRACR License Agreement. TRACR is solely responsible for all clinical, regulatory and development costs.</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Under the TRACR License Agreement, Dr. Charpentier is entitled to receive immaterial clinical and regulatory milestone payments per product that TRACR commercializes. TRACR is also required to pay Dr. Charpentier a low single digit percentage royalty on the net sales of any approved therapeutic or diagnostic products, made by it, its affiliates, or its sublicensees and a low single-digit percentage royalty on sublicensing revenue.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terminated earlier, the term of the TRACR License Agreement will expire on a country-by-country basis, upon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160"/>
        <w:spacing w:after="0" w:line="261" w:lineRule="auto"/>
        <w:rPr>
          <w:sz w:val="20"/>
          <w:szCs w:val="20"/>
          <w:color w:val="auto"/>
        </w:rPr>
      </w:pPr>
      <w:r>
        <w:rPr>
          <w:rFonts w:ascii="Times New Roman" w:cs="Times New Roman" w:eastAsia="Times New Roman" w:hAnsi="Times New Roman"/>
          <w:sz w:val="18"/>
          <w:szCs w:val="18"/>
          <w:color w:val="auto"/>
        </w:rPr>
        <w:t>expiration of the last to expire valid claim of the patents in-licensed to us under the TRACR License Agreement in such country. TRACR has the right to terminate the agreement at will upon 60 days’ written notice to Dr. Charpentier. TRACR and Dr. Charpentier may terminate the agreement upon 90 days’ notice in the event of a material breach by the other party, which is not cured during the 90-day notice period. Dr. Charpentier may terminate the license agreement immediately if TRACR challenges the enforceability, validity, or scope of any in-licensed patent right under the TRACR License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Enabling Technologies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 number of additional collaborations and license agreements to support and complement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including agreements related to: technologies to deliver CRISPR/Cas9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additions to our hematopoietic stem cell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including two grants to advance gene editing therapies for HIV; and enhancements to our CAR T and regenerative medicine cell therapy programs and platform. For example, we have entered into agreements with Nkarta to develop and commercialize products leveraging donor-derived, gene-edited CAR-NK cells; Capsida Biotherapeutics, Inc. to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therapies delivered with engineered AAV vectors; Roswell Park Comprehensive Cancer Center to advance a gene-edited autologous CAR T program against new targets; MaxCyte, Inc. on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delivery for our hemoglobinopathy and CAR T programs; CureVac AG on optimized mRNA constructs and manufacturing for certain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and KSQ Therapeutics Incorporated on intellectual property for our allogeneic immuno-oncology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manufacturing processes for cell and genetic therapies are complex and require customized systems, equipment, facilities and expertise for each program and therapy. Due to the critical importance of high-quality manufacturing and control of production timing and know-how, we are establishing internal manufacturing capabilities and have established our own cell therapy manufacturing facility to support our multifaceted strategy to develop treatments and therapies for people suffering from serious diseases through transformative gene-based medicines.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an approximately 50,000 square foot manufacturing facility in Framingham, Massachusetts intended for clinical and commercial production of our product candidates and certain components thereof for certain of our programs. The facility was designed with flexibility and scalability in mind in order to accommodate manufacturing and supply for our product pipeline. We believe it has the capacity to support, in whole or in part, the manufacture and supply of product for certain of our current clinical programs with the capability to scale-up to support potential commercial supply. In addition, we believe our facility has the capacity and necessary technology to support additional programs we may advance in the future, including some of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as well as our T1D program, as well as the production of various critical components, such as mRNA, we may utilize in the future. Our operations at this facility are compliant with current Good Manufacturing Practice, or cGMP, and in 2023 we began manufacturing CTX112 and CTX131 at this facility for our clinical trials of these product candidates.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utilizing our internal manufacturing facility, we expect we will continue to rely on external manufacturing capabilities realized via contract manufacturing organization relationships in the United States and abroad. We have entered into certain manufacturing and supply arrangements with third-party suppliers to support production of our product candidates and their components. We plan to continue to rely on qualified third-party organizations to produce or process bulk compounds, formulated compounds, viral vectors or engineered cells for IND-supporting activities and early-stage clinical trials. We expect that commercial quantities of any compound, vector, or engineered cells that we may seek to develop will be manufactured in facilities and by processes that comply with FDA and other regulations. At the appropriate time in the product development process, we will determine whether to utilize our own manufacturing facility or continue to rely on third parties to manufacture commercial quantities of any products that we may successfully develop.</w:t>
      </w:r>
    </w:p>
    <w:p>
      <w:pPr>
        <w:spacing w:after="0" w:line="8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continue to expect to make significant investment in our manufacturing capabilities in Framingham, Massachusetts and in partnerships with third-party organizations for our gene editing programs in order to continue to advance and, in the future, commercialize these programs.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 Outside of the United States and Europe, where appropriate, we may elect in the future to utilize strategic partners, distributors or contract sales forces to assist in the commercialization of our products. In certain instances, we may consider building our own commercial infrastructure.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biotechnology and pharmaceutical industries, including in the gene editing, gene therapy and cell therapy fields, are characterized by rapidly advancing technologies, intense competition and a strong emphasis on intellectual property and proprietary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240"/>
        <w:spacing w:after="0" w:line="277" w:lineRule="auto"/>
        <w:rPr>
          <w:sz w:val="20"/>
          <w:szCs w:val="20"/>
          <w:color w:val="auto"/>
        </w:rPr>
      </w:pPr>
      <w:r>
        <w:rPr>
          <w:rFonts w:ascii="Times New Roman" w:cs="Times New Roman" w:eastAsia="Times New Roman" w:hAnsi="Times New Roman"/>
          <w:sz w:val="17"/>
          <w:szCs w:val="17"/>
          <w:color w:val="auto"/>
        </w:rPr>
        <w:t>products. While we believe that our technology, development experience and scientific knowledge provide us with competitive advantages, we currently face, and will continue to face, substantial competition from many different sources, including large pharmaceutical, specialty pharmaceutical and biotechnology companies; academic institutions and governmental agencies; and public and private research institutions, some or all of which may have greater access to capital or resources than we do.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6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compete in the segments of the pharmaceutical, biotechnology and other related markets that utilize technologies encompassing genomic medicines to create therapies, including gene editing, gene therapy and cell therapy. In addition, we compete with companies working to develop therapies in areas related to our specific research and development programs.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platform and product focus is on the development of therapies using CRISPR/Cas9 gene editing technology. We are aware of several companies focused on developing therapies in various indications using CRISPR/Cas9 gene editing technology, including Intellia Therapeutics and Editas Medicine. In addition, several academic groups have developed new gene editing technologies based on CRISPR/Cas9, such as base editing and reverse transcriptase editing, that may have utility in therapeutic development. Companies seeking to develop therapies based on these technologies include Beam Therapeutics and Prime Medicine.</w:t>
      </w:r>
    </w:p>
    <w:p>
      <w:pPr>
        <w:spacing w:after="0" w:line="75" w:lineRule="exact"/>
        <w:rPr>
          <w:sz w:val="20"/>
          <w:szCs w:val="20"/>
          <w:color w:val="auto"/>
        </w:rPr>
      </w:pPr>
    </w:p>
    <w:p>
      <w:pPr>
        <w:ind w:right="500" w:firstLine="509"/>
        <w:spacing w:after="0" w:line="313" w:lineRule="auto"/>
        <w:rPr>
          <w:sz w:val="20"/>
          <w:szCs w:val="20"/>
          <w:color w:val="auto"/>
        </w:rPr>
      </w:pPr>
      <w:r>
        <w:rPr>
          <w:rFonts w:ascii="Times New Roman" w:cs="Times New Roman" w:eastAsia="Times New Roman" w:hAnsi="Times New Roman"/>
          <w:sz w:val="18"/>
          <w:szCs w:val="18"/>
          <w:color w:val="auto"/>
        </w:rPr>
        <w:t>There are also companies developing therapies using additional gene editing technologies, such as TALENs, meganucleases and ZFNs. These companies include 2seventy bio, Allogene Therapeutics, Cellectis, Precision BioSciences and Sangamo Therapeutics.</w:t>
      </w:r>
    </w:p>
    <w:p>
      <w:pPr>
        <w:spacing w:after="0" w:line="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also aware of companies developing therapies in various areas related to our specific research and development programs. In hemoglobinopathies, these companies include Beam Therapeutics, bluebird bio, Editas Medicine, Merck, Novartis Pharmaceuticals and Pfizer. In immuno-oncology, these companies include 2seventy bio, Adicet Bio, Allogene Therapeutics, Bristol Myers Squibb, Caribou Biosciences, Cellectis, Century Therapeutics, Fate Therapeutics, Gilead Sciences, Legend Biotech, Novartis Pharmaceuticals and Poseida Therapeutics. In autoimmune disease, these companies include Allogene Therapeutics, AstraZeneca, Bristol Myers Squibb, Cabaletta Bio, Caribou Biosciences, Fate Therapeutics, Nkarta Inc., and Novartis. In regenerative medicine, these companies include BlueRock Therapeutics (acquired by Bayer in 2019), Sana Biotechnology and Semma Therapeutics (acquired by Vertex in 2019).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these companies include Alnylam Pharmaceuticals, Arrowhead Pharmaceuticals, Beam Therapeutics, Intellia Therapeutics, Ionis Pharmaceuticals, Prime Medicine, Regeneron Pharmaceuticals and Verve Therapeutics. Gene editing is a highly active field of research and new technologies, related or unrelated to CRISPR, may be discovered and create new competition. These new technologies could have advantages over CRISPR/Cas9 gene editing in some applications and there can be no certainty that other gene editing technologies will not be considered better or more attractive than our technology for the development of products. For example, Cas9 may be determined to be less attractive than other CRISPR proteins, such as Cas12a or novel Cas enzymes that have yet to be discovered, or other CRISPR-associated nuclease variants that can edit human DNA, such as base editors and reverse transcriptase editors.</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 editing is a highly active field of research and new technologies, related or unrelated to CRISPR, may be discovered and create new competition. These new technologies could have advantages over CRISPR/Cas9 gene editing in some applications and there can be no certainty that other gene editing technologies will not be considered better or more attractive than our technology for the development of products. For example, Cas9 may be determined to be less attractive than other CRISPR proteins, such as Cas12a or novel Cas enzymes that have yet to be discovered, or other CRISPR-associated nuclease variants that can edit human DNA, such as base editors and reverse transcriptase editors.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to competition from other gene editing therapies or gene or cell therapies, any product we may develop may also face competition from other types of therapies, such as small molecule, antibody or protein therapies. In addition, new scientific discoveries may cause CRISPR/Cas9 technology, or gene editing as a whole, to be considered an inferior form of therapy.</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and cell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have broader acceptance and higher rates of reimbursement by third-party payors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 The key competitive factors affecting the success of all of our programs are likely to be their efficacy, safety, convenience, and availability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reimbursement.</w:t>
      </w:r>
    </w:p>
    <w:p>
      <w:pPr>
        <w:spacing w:after="0" w:line="11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If our current programs are approved for the indications for which we are currently planning clinical trials, they may compete with other products currently under development, including gene editing, gene therapy, and cell therapy products. Competition with other related products currently under development may include competition for clinical trial sites, patient recruitment, and product sales. In addition, due to the intense research and development taking place in the gene editing field, including by us and our competitors, the intellectual property landscape is in flux and highly competitive. There may be significant intellectual property related litigation and proceedings relating to our owned and in-licensed, and other third-party, intellectual property and proprietary rights in the future. For example, see our discussion of the ‘048 interference, the ‘115 interference and European opposition proceedings in “</w:t>
      </w:r>
      <w:r>
        <w:rPr>
          <w:rFonts w:ascii="Times New Roman" w:cs="Times New Roman" w:eastAsia="Times New Roman" w:hAnsi="Times New Roman"/>
          <w:sz w:val="18"/>
          <w:szCs w:val="18"/>
          <w:i w:val="1"/>
          <w:iCs w:val="1"/>
          <w:color w:val="auto"/>
        </w:rPr>
        <w:t>Risk Factors—Risks Related to Intellectual Property—Third-party Claims Of Intellectual Property Infringement Against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Licensors Or Our Collaborators May Prevent Or Delay Our Product Discovery and Development Efforts.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Moreover, as a result of the expiration or successful challenge of our patent rights, we could face more litigation with respect to the validity and/or scope of patents relating to our competitors’ products and our patents may not be sufficient to prevent our competitors from commercializing competing products. The availability of our competitors’ products could limit the demand, and the price we are able to charge, for any products that we may develop and commercialize.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Some jurisdictions outside of the United States also regulate the pricing of such products. The processes for obtaining marketing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Licensure and Regulation of Biologics in the United States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our product candidates are regulated as biological products, or biologics, under the Public Health Service Act, or PHSA, and the Federal Food, Drug, and Cosmetic Act, or FDCA, and their implementing regulations. The failure to comply with the applicable U.S. requirements at any time during the product development process, including nonclinical testing, clinical testing, the approval process or post-approval process, may subject an applicant to delays in the conduct of a study,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untitled or warning letters, adverse publicity, product recalls, product seizures, total or partial suspension of production or distribution, injunctions, fines, and civil or criminal investigations and penalties brought by the FDA or the Department of Justice or other governmental entities.</w:t>
      </w:r>
    </w:p>
    <w:p>
      <w:pPr>
        <w:spacing w:after="0" w:line="8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biologic in the United States generally must satisfactorily complete each of the following steps:</w:t>
      </w:r>
    </w:p>
    <w:p>
      <w:pPr>
        <w:spacing w:after="0" w:line="54" w:lineRule="exact"/>
        <w:rPr>
          <w:sz w:val="20"/>
          <w:szCs w:val="20"/>
          <w:color w:val="auto"/>
        </w:rPr>
      </w:pPr>
    </w:p>
    <w:p>
      <w:pPr>
        <w:ind w:left="520" w:right="8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or GLP, regulations;</w:t>
      </w:r>
    </w:p>
    <w:p>
      <w:pPr>
        <w:spacing w:after="0" w:line="1" w:lineRule="exact"/>
        <w:rPr>
          <w:rFonts w:ascii="Times New Roman" w:cs="Times New Roman" w:eastAsia="Times New Roman" w:hAnsi="Times New Roman"/>
          <w:sz w:val="18"/>
          <w:szCs w:val="18"/>
          <w:color w:val="auto"/>
        </w:rPr>
      </w:pPr>
    </w:p>
    <w:p>
      <w:pPr>
        <w:ind w:left="520" w:right="4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for human clinical testing, which must become effective before human clinical trials may begin;</w:t>
      </w:r>
    </w:p>
    <w:p>
      <w:pPr>
        <w:spacing w:after="0" w:line="1"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 or by a central IRB if appropriate;</w:t>
      </w:r>
    </w:p>
    <w:p>
      <w:pPr>
        <w:spacing w:after="0" w:line="1" w:lineRule="exact"/>
        <w:rPr>
          <w:rFonts w:ascii="Times New Roman" w:cs="Times New Roman" w:eastAsia="Times New Roman" w:hAnsi="Times New Roman"/>
          <w:sz w:val="18"/>
          <w:szCs w:val="18"/>
          <w:color w:val="auto"/>
        </w:rPr>
      </w:pPr>
    </w:p>
    <w:p>
      <w:pPr>
        <w:ind w:left="520" w:right="42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the FDA’s Good Clinical Practice, or GCP, regulations;</w:t>
      </w:r>
    </w:p>
    <w:p>
      <w:pPr>
        <w:spacing w:after="0" w:line="1" w:lineRule="exact"/>
        <w:rPr>
          <w:rFonts w:ascii="Times New Roman" w:cs="Times New Roman" w:eastAsia="Times New Roman" w:hAnsi="Times New Roman"/>
          <w:sz w:val="18"/>
          <w:szCs w:val="18"/>
          <w:color w:val="auto"/>
        </w:rPr>
      </w:pPr>
    </w:p>
    <w:p>
      <w:pPr>
        <w:ind w:left="520" w:right="240" w:hanging="512"/>
        <w:spacing w:after="0" w:line="298"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and submission to the FDA of a Biologics License Application, or BLA, for a biologic product requesting marketing for one or more proposed indications, including submission of detailed information on the manufacture and composition of the product and proposed labeling;</w:t>
      </w: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63"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and, if applicable, the FDA’s current good tissue practice, or CGTP, for the use of human cellular and tissue products;</w:t>
      </w:r>
    </w:p>
    <w:p>
      <w:pPr>
        <w:spacing w:after="0" w:line="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study and clinical trial sites to assure compliance with GLPs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color w:val="auto"/>
        </w:rPr>
        <w:t>GCPs, respectively, and the integrity of clinical data in support of the BLA;</w:t>
      </w:r>
    </w:p>
    <w:p>
      <w:pPr>
        <w:spacing w:after="0" w:line="6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BLA; and</w:t>
      </w:r>
    </w:p>
    <w:p>
      <w:pPr>
        <w:spacing w:after="0" w:line="6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adverse event reporting, and compliance with any post-approval studies required by the FDA.</w:t>
      </w:r>
    </w:p>
    <w:p>
      <w:pPr>
        <w:spacing w:after="0" w:line="15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Before testing any biologic product candidate in humans, including a gene therapy product candidate, the product candidate must undergo preclinical testing. 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The IND automatically becomes effective 30 days after receipt by the FDA, unless before that time the FDA imposes a clinical hold based on concerns or questions about the product or conduct of the proposed clinical trial, including concerns that human research subjects would be exposed to unreasonable and significant health risks. In that case, the IND sponsor and the FDA must resolve any outstanding FDA concerns before the clinical trials can begin.</w:t>
      </w:r>
    </w:p>
    <w:p>
      <w:pPr>
        <w:spacing w:after="0" w:line="84"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trials to commence or not allowing the trial to commence on the terms originally specified by the sponsor in the IND. If the FDA raises concerns or questions either during this initial 30-day period, or at any time during the conduct of the IND study, including safety concerns or concerns due to non-compliance, it may impose a partial or complete clinical hold. This order issued by the FDA would either delay a proposed clinical study or cause suspension of an ongoing study, or in the case of a partial clinical hold limit a study, until all outstanding concerns have been adequately addressed and the FDA has notified the company that investigations may proceed or recommence but only under terms authorized by the FDA. This could cause significant delays or difficulties in completing planned clinical studies in a timely manner.</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and the effectiveness criteria to be evaluated. A protocol for each clinical trial and subsequent protocol amendments must be submitted to the FDA as part of the IND.</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If a non-U.S. clinical trial is not conducted under an IND, the sponsor may submit data from a well-designed and well-conducted clinical trial to the FDA in support of the BLA so long as the clinical trial is conducted in compliance with GCP and the FDA is able to validate the data from the study through an onsite inspection if the FDA deems it necessary.</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subject informed consent, ethical factors, and the safety of human subjects. An IRB must operate in compliance with FDA regulations. The FDA or the clinical trial sponsor may suspend or terminate a clinical trial at any time for various reasons, including a finding that the clinical trial is not being conducted in accordance with FDA requirements or the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Clinical testing also must satisfy extensive GCP rules and the requirements for informed consent. 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 points based on access to certain data from the study.</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NIH Guidelines for Research Involving Recombinant or Synthetic Nucleic Acid Molecules, or NIH Guidelines. Under the National Institutes of Health, or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spacing w:after="0" w:line="261" w:lineRule="auto"/>
        <w:rPr>
          <w:sz w:val="20"/>
          <w:szCs w:val="20"/>
          <w:color w:val="auto"/>
        </w:rPr>
      </w:pPr>
      <w:r>
        <w:rPr>
          <w:rFonts w:ascii="Times New Roman" w:cs="Times New Roman" w:eastAsia="Times New Roman" w:hAnsi="Times New Roman"/>
          <w:sz w:val="18"/>
          <w:szCs w:val="18"/>
          <w:color w:val="auto"/>
        </w:rPr>
        <w:t>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50" w:lineRule="exact"/>
        <w:rPr>
          <w:sz w:val="20"/>
          <w:szCs w:val="20"/>
          <w:color w:val="auto"/>
        </w:rPr>
      </w:pPr>
    </w:p>
    <w:p>
      <w:pPr>
        <w:ind w:left="520" w:right="320" w:hanging="512"/>
        <w:spacing w:after="0" w:line="26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patients, such as cancer patients.</w:t>
      </w:r>
    </w:p>
    <w:p>
      <w:pPr>
        <w:spacing w:after="0" w:line="8" w:lineRule="exact"/>
        <w:rPr>
          <w:rFonts w:ascii="Times New Roman" w:cs="Times New Roman" w:eastAsia="Times New Roman" w:hAnsi="Times New Roman"/>
          <w:sz w:val="18"/>
          <w:szCs w:val="18"/>
          <w:color w:val="auto"/>
        </w:rPr>
      </w:pPr>
    </w:p>
    <w:p>
      <w:pPr>
        <w:ind w:left="520" w:right="140" w:hanging="512"/>
        <w:spacing w:after="0" w:line="26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costlier Phase 3 clinical trials.</w:t>
      </w:r>
    </w:p>
    <w:p>
      <w:pPr>
        <w:spacing w:after="0" w:line="8" w:lineRule="exact"/>
        <w:rPr>
          <w:rFonts w:ascii="Times New Roman" w:cs="Times New Roman" w:eastAsia="Times New Roman" w:hAnsi="Times New Roman"/>
          <w:sz w:val="18"/>
          <w:szCs w:val="18"/>
          <w:color w:val="auto"/>
        </w:rPr>
      </w:pPr>
    </w:p>
    <w:p>
      <w:pPr>
        <w:ind w:left="520" w:right="160" w:hanging="512"/>
        <w:spacing w:after="0" w:line="268"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Phase 3 </w:t>
      </w:r>
      <w:r>
        <w:rPr>
          <w:rFonts w:ascii="Times New Roman" w:cs="Times New Roman" w:eastAsia="Times New Roman" w:hAnsi="Times New Roman"/>
          <w:sz w:val="18"/>
          <w:szCs w:val="18"/>
          <w:color w:val="auto"/>
        </w:rPr>
        <w:t>clinical trials are undertaken within an expanded patient population to further evaluate dosage and gather the additional information about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effectiveness and safety that is needed to evaluate the overall benefit-risk relationship of the drug and to provide an adequate basis for physician labeling.</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if known, of the clinical trials must be submitted at least annually to the FDA. Written IND safety reports must be submitted to the FDA and the investigators within 15 calendar days of receipt by the sponsor or its agents after determining that the information qualifies for such expedited reporting. IND safety reports are required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to humans exposed to the drug, and any clinically important increase in the rate of a serious suspected adverse reaction over that listed in the protocol or investigator brochure. Additionally, a sponsor must notify FDA within 7 calendar days after receiving information concerning any unexpected fatal or life-threatening suspected adverse reaction.</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products.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Guidance Governing Gene Therapy Products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FDA has defined a gene therapy product as one that mediates its effects by transcription and/or translation of transferred genetic material or by specifically altering host (human) genetic sequences. Examples of gene therapy products include nucleic acids (e.g., plasmids,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transcribed ribonucleic acid), genetically modified microorganisms (e.g., viruses, bacteria, fungi), engineered site specific nucleases used for human genome editing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genetically modified human cells. The products may be used to modify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transferred to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prior to administration to the recipient. Within the FDA, the Center for Biologics Evaluation and Research, or CBER, regulates gene therapy products. Within the CBER, the review of gene therapy and related products is consolidated in the Office of Therapeutic Products, and the FDA has established the Cellular, Tissue and Gene Therapies Advisory Committee to advise CBER on its reviews. The FDA and the NIH have published guidance documents with respect to the development and submission of gene therapy protocols.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the FDA has indicated that its guidance documents regarding gene therapies are not legally binding, we believe that our compliance with them is likely necessary to gain approval for any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Depending on the product type, long term follow up can be up to 15 years or as little as five years.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Compliance with cGMP and CGTP Requirements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ind w:firstLine="509"/>
        <w:spacing w:after="0" w:line="256" w:lineRule="auto"/>
        <w:rPr>
          <w:sz w:val="20"/>
          <w:szCs w:val="20"/>
          <w:color w:val="auto"/>
        </w:rPr>
      </w:pPr>
      <w:r>
        <w:rPr>
          <w:rFonts w:ascii="Times New Roman" w:cs="Times New Roman" w:eastAsia="Times New Roman" w:hAnsi="Times New Roman"/>
          <w:sz w:val="18"/>
          <w:szCs w:val="18"/>
          <w:color w:val="auto"/>
        </w:rPr>
        <w:t>For a gene therapy product, the FDA also will not approve the product if the manufacturer is not in compliance with CGTP. These requirements are found in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7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and those supplying products, ingredients, and components of them, must also register their establishments with the FDA and certain state agencies for products intended for the U.S. market, and with analogous health regulatory agencies for products intended for other markets globally. Both U.S. and non-U.S. manufacturing establishments must register and provide additional information to the FDA and/or other health regulatory agencies upon their initial participation in the manufacturing process. Any product manufactured by or imported from a facility that has not registered, whether U.S. or non-U.S., is deemed misbranded under the FDCA, and could be affected by similar as well as additional compliance issues in other jurisdictions. Establishments may be subject to periodic unannounced inspections by government authorities to ensure compliance with cGMPs and other laws. Manufacturers may also have to provide, on request, electronic or physical records regarding their establishments. Delaying, denying, limiting, or refusing inspection by the FDA or other governing health regulatory agency may lead to a product being deemed to be adulterated.</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Review and Approval of a BLA</w:t>
      </w:r>
    </w:p>
    <w:p>
      <w:pPr>
        <w:spacing w:after="0" w:line="11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a license to market the product. The BLA must contain extensive manufacturing information and detailed information on the composition of the product and proposed labeling as well as payment of a user fee.</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Prescription Drug User Fee Act, or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applicant otherwise provides through the submission of a major amendment additional information or clarification regarding information already provided in the submission within the last three months before the PDUFA goal date.</w:t>
      </w:r>
    </w:p>
    <w:p>
      <w:pPr>
        <w:spacing w:after="0" w:line="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and any FDA audits of nonclinical study and clinical trial sites to assure compliance with GLPs and GCPs, respectively,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 Alternatively, sponsors that receive a complete response letter may either withdraw the application or request a hearing.</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100"/>
        <w:spacing w:after="0" w:line="255" w:lineRule="auto"/>
        <w:rPr>
          <w:sz w:val="20"/>
          <w:szCs w:val="20"/>
          <w:color w:val="auto"/>
        </w:rPr>
      </w:pPr>
      <w:r>
        <w:rPr>
          <w:rFonts w:ascii="Times New Roman" w:cs="Times New Roman" w:eastAsia="Times New Roman" w:hAnsi="Times New Roman"/>
          <w:sz w:val="18"/>
          <w:szCs w:val="18"/>
          <w:color w:val="auto"/>
        </w:rPr>
        <w:t>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specific or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Expedited Programs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and regenerative medicine advanced therapy designation.</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if the designated drug development program is no longer being pursued.</w:t>
      </w:r>
    </w:p>
    <w:p>
      <w:pPr>
        <w:spacing w:after="0" w:line="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Second, FDA has a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Finally, the FDA can accelerate review and approval of products designated as regenerative medicine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medicine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under the Food and Drug Omnibus Reform Act of 2022, or FDORA, a platform technology incorporated within or utilized by a drug or biological product is eligible for designation as a designated platform technology if (1) the platform technology is incorporated in, or utilized by, a drug approved under a BLA;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Designated platform technology status does not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200"/>
        <w:spacing w:after="0" w:line="282" w:lineRule="auto"/>
        <w:rPr>
          <w:sz w:val="20"/>
          <w:szCs w:val="20"/>
          <w:color w:val="auto"/>
        </w:rPr>
      </w:pPr>
      <w:r>
        <w:rPr>
          <w:rFonts w:ascii="Times New Roman" w:cs="Times New Roman" w:eastAsia="Times New Roman" w:hAnsi="Times New Roman"/>
          <w:sz w:val="18"/>
          <w:szCs w:val="18"/>
          <w:color w:val="auto"/>
        </w:rPr>
        <w:t>ensure that a drug will be developed more quickly or receive FDA approval. In addition, the FDA may revoke a designation if the FDA determines that a designated platform technology no longer meets the criteria for such designation.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could support accelerated approval where a study demonstrates a relatively short-term clinical benefit in a chronic disease setting in which assessing durability of the clinical benefit is essential for traditional approval, but the short-term benefit is considered reasonably likely to predict long-term benefit.</w:t>
      </w:r>
    </w:p>
    <w:p>
      <w:pPr>
        <w:spacing w:after="0" w:line="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7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product’s clinical benefit, and the FDA is now permitted to require, as appropriate, that such trials be underway prior to approval or within a specific time period after the date of approval for a product granted accelerated approval.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has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are required to comply with applicable product tracking and tracing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consequences of a failure to comply with regulatory requirements include, among other things:</w:t>
      </w:r>
    </w:p>
    <w:p>
      <w:pPr>
        <w:spacing w:after="0" w:line="11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post-approval clinical trials;</w:t>
      </w:r>
    </w:p>
    <w:p>
      <w:pPr>
        <w:spacing w:after="0" w:line="63" w:lineRule="exact"/>
        <w:rPr>
          <w:rFonts w:ascii="Times New Roman" w:cs="Times New Roman" w:eastAsia="Times New Roman" w:hAnsi="Times New Roman"/>
          <w:sz w:val="18"/>
          <w:szCs w:val="18"/>
          <w:color w:val="auto"/>
        </w:rPr>
      </w:pPr>
    </w:p>
    <w:p>
      <w:pPr>
        <w:ind w:left="520" w:right="660" w:hanging="512"/>
        <w:spacing w:after="0" w:line="28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licensed and approved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or OOPD, at the FDA based on acceptable confidential requests made under the regulatory provisions. The product must then go through the review and approval process for commercial distribution like any other product.</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(PREA), as amended,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Unless otherwise required by regulation, the pediatric data requirements do not apply to products with orphan designation; however, they will apply to a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w:t>
      </w:r>
    </w:p>
    <w:p>
      <w:pPr>
        <w:spacing w:after="0" w:line="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This six-month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100"/>
        <w:spacing w:after="0" w:line="258" w:lineRule="auto"/>
        <w:rPr>
          <w:sz w:val="20"/>
          <w:szCs w:val="20"/>
          <w:color w:val="auto"/>
        </w:rPr>
      </w:pPr>
      <w:r>
        <w:rPr>
          <w:rFonts w:ascii="Times New Roman" w:cs="Times New Roman" w:eastAsia="Times New Roman" w:hAnsi="Times New Roman"/>
          <w:sz w:val="18"/>
          <w:szCs w:val="18"/>
          <w:color w:val="auto"/>
        </w:rPr>
        <w:t>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existing periods of regulatory exclusivity of each drug product containing the studied active moiety are extended by six months. This is not a patent term extension, but it effectively extends the regulatory period during which the FDA cannot approve another application.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or ACA, which was signed into law in March 2010, included a subtitle called the Biologics Price Competition and Innovation Act of 2009 or BPCIA. The BPCIA established a regulatory scheme authorizing the FDA to approve biosimilars and interchangeable biosimilars. The FDA has issued several guidance documents outlining an approach to review and approval of biosimilars.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7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and FDA may approve multiple “first” interchangeable products so long as they are all approved on the same first day of marketing. This exclusivity period, which may be shared amongst multiple first interchangeable products, lasts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 At this juncture, it is unclear whether products deemed “interchangeable” by the FDA will, in fact, be readily substituted by pharmacies, which are governed by state pharmacy law.</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biologic product may be eligible for a limited patent term extension under the Drug Price Competition and Patent Term Restoration Act of 1984, or Hatch-Waxman Amendments, which permits a patent restoration of up to five years for patent term lost during product development and FDA regulatory review. The restoration period granted on a patent covering a product is typically one-half the time between the effective date of an IND and the submission date of a marketing application, plus the time between the submission date of the marketing application and the ultimate approval date, less any time the applicant failed to act with due diligence.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Europe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health regulatory authorities before it can commence clinical trials or marketing of the product in those countries or jurisdictions. Specifically, the process governing approval of medicinal products in Europe generally follows the same lines as in the United States, although the approval of a medicinal product in the United States is no guarantee of approval of the same product in Europe, either at all or within the same timescale as approval may be granted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60"/>
        <w:spacing w:after="0" w:line="261" w:lineRule="auto"/>
        <w:rPr>
          <w:sz w:val="20"/>
          <w:szCs w:val="20"/>
          <w:color w:val="auto"/>
        </w:rPr>
      </w:pPr>
      <w:r>
        <w:rPr>
          <w:rFonts w:ascii="Times New Roman" w:cs="Times New Roman" w:eastAsia="Times New Roman" w:hAnsi="Times New Roman"/>
          <w:sz w:val="18"/>
          <w:szCs w:val="18"/>
          <w:color w:val="auto"/>
        </w:rPr>
        <w:t>in the United States. The process entails satisfactory completion of preclinical studies and adequate and well-controlled clinical trials to establish the safety and efficacy of the product for each proposed indication. It also requires the submission to the EMA, or the relevant competent authorities of a marketing authorization application, or MAA, and granting of a marketing authorization by the EMA or these authorities before the product can be marketed and sold in Europe.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 applicant for a clinical trial authorization in the EU must obtain approval from the national competent authority, or NCA, of an EU Member State in which the clinical trial is to be conducted, or in multiple Member States if the clinical trial is to be conducted in a number of Member States. Furthermore, the applicant may only start a clinical trial at a specific study site after the applicable ethics committee, or EC, has issued a favorable opinion in relation to the clinical trial.</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(EU) No 536/2014, which replaced the Clinical Trials Directive 2001/20/EC on 31 January 2022. It overhauls the current system of approvals for clinical trials in the EU. Specifically, the new legislation, which is directly applicable in all EU Member States (meaning that no national implementing legislation in each EU Member State is required), aims at simplifying and streamlining the approval of clinical trials in the EU. For instance, the Clinical Trials Regulation provides for a streamlined application procedure via a single-entry point and strictly defined deadlines for the assessment of clinical trial applications.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obtain a marketing authorization for a product in the EU, an applicant must submit an MAA, either under a centralized procedure administered by the EU or one of the procedures administered by competent authorities in the EU Member States (decentralized procedure, national procedure, or mutual recognition procedure). A marketing authorization may be granted only to an applicant established in the EEA (comprising the EU Member States plus Iceland, Norway and Liechtenstein).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79"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medicinal products, or ATMPs, and products with a new active substance indicated for the treatment of certain diseases, including products for the treatment of cancer, HIV or AIDS, diabetes, neurodegenerative disorders, auto-immune and other immune dysfunctions and viral diseases. For those products for which the use of the centralized procedure is not mandatory, applicants may elect to use the centralized procedure where either the product contains a new active substance indicated for the treatment of other diseases, or where the applicant can show that the product constitutes a significant therapeutic, scientific or technical innovation or for which a centralized process is in the interest of patients at an EU level.</w:t>
      </w:r>
    </w:p>
    <w:p>
      <w:pPr>
        <w:spacing w:after="0" w:line="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Specifically, the grant of a marketing authorization in the EU for products containing viable human tissues or cells such as gene therapy medicinal products is governed by Regulation (EC) No 1394/2007 on ATMPs, read in combination with Directive 2001/83/EC of the European Parliament and of the European Council, which is the EU Directive governing medicinal products for human use. Regulation (EC) No 1394/2007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Committee for Advanced Therapies, or CAT, at the EMA, which conducts a scientific assessment of the MAA and provides an opinion regarding the MAA for an ATMP. The European Commission grants or refuses marketing authorization in light of the opinion delivered by the EMA.</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Committee for Medicinal Products for Human Use, or the CHMP, established at the EMA is responsible for issuing a final opinion on whether an ATMP meets the required quality, safety and efficacy requirements, and whether a product has a positive benefit/risk profile. Under the centralized procedure in the EU, the maximum timeframe for the evaluation of an MAA by the EMA is 210 days from receipt of a valid MAA,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expected to be of major interest from the point of view of public health and, in particular, from the viewpoint of therapeutic innovation. If the CHMP accepts such a request, the time 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color w:val="auto"/>
        </w:rPr>
        <w:t>Now that the UK (which comprises Great Britain and Northern Ireland) has left the EU, Great Britain will no longer be covered by centralized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authorizations (under the Northern Ireland Protocol, centralized marketing authorizations will continue to be recognized in Northern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Ireland).However, on January 1, 2024, a new international recognition framework was put in place by MHRA under which the MHRA may have regard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decisions on the approval of marketing authorizations made by the EMA and certain other regulators.</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PRIME scheme</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by, amongst other things, offering early dialogue with, and regulatory support from, the EMA. The scheme is intended to stimulate innovation, optimize development and enable accelerated assessment of PRIority MEdicines, or PRIME, by building upon the scientific advice scheme and accelerated assessment procedure offered by EMA. The scheme is voluntary and eligibility criteria must be met for a medicine to qualify for PRIME.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PRIME scheme is open to medicines under development and for which the applicant intends to submit an initial marketing authorization application through the centralized procedure. Eligible products must target conditions for which there is an unmet medical need (meaning there is no satisfactory method of diagnosis, prevention or treatment in the EU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medicine is selected for the PRIME scheme, the EMA:</w:t>
      </w:r>
    </w:p>
    <w:p>
      <w:pPr>
        <w:spacing w:after="0" w:line="117" w:lineRule="exact"/>
        <w:rPr>
          <w:sz w:val="20"/>
          <w:szCs w:val="20"/>
          <w:color w:val="auto"/>
        </w:rPr>
      </w:pPr>
    </w:p>
    <w:p>
      <w:pPr>
        <w:ind w:left="520" w:right="6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CAT to provide continuous support and to build up knowledge of the medicine in advance of the filing of a marketing authorization application;</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dedicated EMA contact person; and</w:t>
      </w:r>
    </w:p>
    <w:p>
      <w:pPr>
        <w:spacing w:after="0" w:line="63"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54"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Medicines that are selected for the PRIME scheme are also expected to benefit from the EMA’s accelerated assessment procedure at the time of application for marketing authorization. Where, during the course of development, a medicine no longer meets the eligibility criteria, support under the PRIME scheme may be withdrawn.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EU, innovate medicinal products approved on the basis of a complete independent data package qualify for eight years of data exclusivity upon grant of a marketing authorization and an additional two years of market exclusivity pursuant to Regulation (EC) No 726/2004, as amended, and Directive 2001/83/EC, as amended. Data exclusivity prevents applicants for authorizations of generics or biosimilars from referencing the innovator’s preclinical and clinical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MAA can be submitted and the innovator’s data may be referenced, but no generic or biosimilar medicinal product can be marketed in the EU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There is no guarantee that a product will be considered by the EMA to be an innovative medicinal product, and products may qualify for data exclusivity. Even if a product is considered to be an innovative medicinal product so that the innovator gains the prescribed period of data exclusivity, another company nevertheless could also market another version of the product if such company obtained a marketing authorization based on an MAA with a complete independent data package of pharmaceutical tests, preclinical tests and clinical trials.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centralized marketing authorization is valid for five years, in principle, and it may be renewed after five years on the basis of a reevaluation of the risk-benefit balance by the EMA or by the competent authority of the authorizing EU Member State for a</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9" w:name="page40"/>
    <w:bookmarkEnd w:id="39"/>
    <w:p>
      <w:pPr>
        <w:ind w:right="200"/>
        <w:spacing w:after="0" w:line="261" w:lineRule="auto"/>
        <w:rPr>
          <w:sz w:val="20"/>
          <w:szCs w:val="20"/>
          <w:color w:val="auto"/>
        </w:rPr>
      </w:pPr>
      <w:r>
        <w:rPr>
          <w:rFonts w:ascii="Times New Roman" w:cs="Times New Roman" w:eastAsia="Times New Roman" w:hAnsi="Times New Roman"/>
          <w:sz w:val="18"/>
          <w:szCs w:val="18"/>
          <w:color w:val="auto"/>
        </w:rPr>
        <w:t>nationally authorized product.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actual placement of the drug on the EU market (in the case of the centralized procedure), or on the market of the authorizing EU Member State, within three years after authorization ceases, to be valid (the so-called sunset clause).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benefits derived from orphan status, would generate sufficient return in the EU to justify the necessary investment in its development; (3) there exists no satisfactory method of diagnosis, prevention, or treatment of such condition authorized for marketing in the EU or, if such method exists, the product will be of significant benefit to those affected by that condition.</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 orphan designation provides a number of benefits, including fee reductions, regulatory assistance, and the ability to apply for a centralized marketing authorization. The grant of a marketing authorization for an orphan medicinal product leads to a ten-year period of market exclusivity. During this market exclusivity period, neither the European Commission nor the EU Member States can accept an application or grant a marketing authorization in respect of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There are a few limited of derogations from the ten-year period of market exclusivity pursuant to which the European Commission may grant a marketing authorization for a similar medicinal product in the same therapeutic indication, which are:</w:t>
      </w:r>
    </w:p>
    <w:p>
      <w:pPr>
        <w:spacing w:after="0" w:line="80" w:lineRule="exact"/>
        <w:rPr>
          <w:sz w:val="20"/>
          <w:szCs w:val="20"/>
          <w:color w:val="auto"/>
        </w:rPr>
      </w:pPr>
    </w:p>
    <w:p>
      <w:pPr>
        <w:ind w:left="520" w:right="54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second applicant can establish that although their product is similar to the orphan medicinal product already authorized, the second product is safer, more effective or otherwise clinically superior;</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marketing authorization holder for the authorized orphan product consents to the second orphan medicinal product application; or</w:t>
      </w:r>
    </w:p>
    <w:p>
      <w:pPr>
        <w:spacing w:after="0" w:line="63" w:lineRule="exact"/>
        <w:rPr>
          <w:rFonts w:ascii="Times New Roman" w:cs="Times New Roman" w:eastAsia="Times New Roman" w:hAnsi="Times New Roman"/>
          <w:sz w:val="18"/>
          <w:szCs w:val="18"/>
          <w:color w:val="auto"/>
        </w:rPr>
      </w:pPr>
    </w:p>
    <w:p>
      <w:pPr>
        <w:ind w:left="520" w:right="1700" w:hanging="512"/>
        <w:spacing w:after="0" w:line="43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the marketing authorization holder for the authorized orphan product cannot supply enough orphan medicinal product. </w:t>
      </w:r>
      <w:r>
        <w:rPr>
          <w:rFonts w:ascii="Times New Roman" w:cs="Times New Roman" w:eastAsia="Times New Roman" w:hAnsi="Times New Roman"/>
          <w:sz w:val="18"/>
          <w:szCs w:val="18"/>
          <w:i w:val="1"/>
          <w:iCs w:val="1"/>
          <w:color w:val="auto"/>
        </w:rPr>
        <w:t>Regulatory Requirements after Marketing Authorization has been obtained</w:t>
      </w:r>
    </w:p>
    <w:p>
      <w:pPr>
        <w:spacing w:after="0" w:line="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 authorization for a medicinal product in the EU is obtained,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 Finally, the marketing and promotion of authorized products, including industry-sponsored continuing medical education and advertising directed toward the prescribers of drugs and/or the general public, are strictly regulated in the EU. The advertising of prescription-only medicines to the general public is not permitted in the EU.</w:t>
      </w:r>
    </w:p>
    <w:p>
      <w:pPr>
        <w:spacing w:after="0" w:line="86"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The aforementioned EU rules are generally applicable in the EEA. For other markets in which we might in the future seek to obtain marketing approval for the commercialization of products, there are other health regulatory regimes for seeking approval, and we would need to ensure ongoing compliance with applicable health regulatory procedures and standards, as well as other governing laws and regulations for each applicable jurisdiction.</w:t>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European Data Protection Regulation</w:t>
      </w:r>
    </w:p>
    <w:p>
      <w:pPr>
        <w:spacing w:after="0" w:line="121"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7"/>
          <w:szCs w:val="17"/>
          <w:color w:val="auto"/>
        </w:rPr>
        <w:t>The collection, use, disclosure, transfer, or other processing of personal data regarding individuals in the European Economic Area or EEA and the UK, including personal health data, is subject to the EU General Data Protection Regulation, or EU GDPR, with respect to the EEA, and the UK General Data Protection Regulation, or UK GDPR, with respect to the UK, and collectively with the EU GDPR referred to as the “GDPR” in this report unless specified otherwise. The GDPR applies to companies established in the EEA/UK, as well as to any company established outside the EEA/UK, if they collect and use personal data in connection with the offering of goods or services to individuals in the EEA/UK or the monitoring of their behavior in the EEA/ Switzerland/UK. The GDPR is wide-ranging in scope and imposes numerous requirements on companies that process personal data, including requirements relating to processing health and other sensitive data, obtaining consent of the individuals to whom the personal data relates, having legal bases and/or conditions for processing personal data, providing details to those individuals regarding the processing of their personal data, implementing safeguards to protect the security and confidentiality of personal data, having data processing agreements with third parties who process personal data, responding to individuals’ requests to exercise their rights in respect of their personal data, ensuring appropriate technical and organisational measures are in place and reporting security breaches involving personal data to the competent national data protection authority and affected individuals, appointing data protection officers, conducting data protection impact assessments, ensuring certain accountability measures are in place and record keeping. The GDPR also imposes strict rules on the transfer of personal data to countries outside the EEA, including the United States, and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7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Switzerland has adopted a data protection regime similar to the GDPR. Compliance with the GDPR and the Swiss data -protection regime remains a rigorous and time-intensive process that may increase the cost of doing business or require companies to change their business practices to ensure full compliance.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June 23, 2016, the electorate in the UK voted in favor of leaving the EU (commonly referred to as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The regulatory regime in Great Britain therefore aligns in many ways with EU regulations, however it is possible that these regimes will more significantly diverge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framework mentioned above which was put in place by the MHRA on January 1, 2024, the MHRA may take into account decisions on the approval of a marketing authorization from the EMA (and certain other regulators) when considering an application for a Great Britain marketing authorization.</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or product candidates for which we have received or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products or product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8"/>
          <w:szCs w:val="18"/>
          <w:color w:val="auto"/>
        </w:rPr>
        <w:t>candidates we may develop unless coverage is provided and reimbursement is adequate to cover a significant portion of the cost of such product candidates. Even if approved, sales of any product or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Factors a payor considers in determining reimbursement are based on whether the product is:</w:t>
      </w:r>
    </w:p>
    <w:p>
      <w:pPr>
        <w:spacing w:after="0" w:line="7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products or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various federal, state and/or local governments, as well as other payors, within the United States and in other countries globally, and the prices of pharmaceuticals have been a focus in these efforts. Governments and other payors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products or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75"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or HTAs)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level of discounting required in relation to the pricing of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w:t>
      </w:r>
    </w:p>
    <w:p>
      <w:pPr>
        <w:spacing w:after="0" w:line="8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20"/>
        <w:spacing w:after="0" w:line="256" w:lineRule="auto"/>
        <w:rPr>
          <w:sz w:val="20"/>
          <w:szCs w:val="20"/>
          <w:color w:val="auto"/>
        </w:rPr>
      </w:pPr>
      <w:r>
        <w:rPr>
          <w:rFonts w:ascii="Times New Roman" w:cs="Times New Roman" w:eastAsia="Times New Roman" w:hAnsi="Times New Roman"/>
          <w:sz w:val="18"/>
          <w:szCs w:val="18"/>
          <w:color w:val="auto"/>
        </w:rPr>
        <w:t>Member States), can further reduce prices. Special pricing and reimbursement rules may apply to orphan medicinal products. Inclusion of orphan medicinal products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75" w:lineRule="exact"/>
        <w:rPr>
          <w:sz w:val="20"/>
          <w:szCs w:val="20"/>
          <w:color w:val="auto"/>
        </w:rPr>
      </w:pPr>
    </w:p>
    <w:p>
      <w:pPr>
        <w:ind w:left="520" w:right="6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paying, or receiving remuneration, directly or indirectly, overtly or covertly, in cash or in kind, in exchange for or intended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7" w:lineRule="exact"/>
        <w:rPr>
          <w:rFonts w:ascii="Times New Roman" w:cs="Times New Roman" w:eastAsia="Times New Roman" w:hAnsi="Times New Roman"/>
          <w:sz w:val="18"/>
          <w:szCs w:val="18"/>
          <w:color w:val="auto"/>
        </w:rPr>
      </w:pPr>
    </w:p>
    <w:p>
      <w:pPr>
        <w:ind w:left="520" w:right="20" w:hanging="512"/>
        <w:spacing w:after="0" w:line="277" w:lineRule="auto"/>
        <w:tabs>
          <w:tab w:leader="none" w:pos="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civil U.S.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U.S. federal Anti-Kickback Statute constitutes a false or fraudulent claim for purposes of the U.S. False Claims Act;</w:t>
      </w:r>
    </w:p>
    <w:p>
      <w:pPr>
        <w:spacing w:after="0" w:line="5" w:lineRule="exact"/>
        <w:rPr>
          <w:rFonts w:ascii="Times New Roman" w:cs="Times New Roman" w:eastAsia="Times New Roman" w:hAnsi="Times New Roman"/>
          <w:sz w:val="17"/>
          <w:szCs w:val="17"/>
          <w:color w:val="auto"/>
        </w:rPr>
      </w:pPr>
    </w:p>
    <w:p>
      <w:pPr>
        <w:ind w:left="520" w:right="20" w:hanging="512"/>
        <w:spacing w:after="0" w:line="287" w:lineRule="auto"/>
        <w:tabs>
          <w:tab w:leader="none" w:pos="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ind w:left="520" w:right="10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 w:lineRule="exact"/>
        <w:rPr>
          <w:rFonts w:ascii="Times New Roman" w:cs="Times New Roman" w:eastAsia="Times New Roman" w:hAnsi="Times New Roman"/>
          <w:sz w:val="18"/>
          <w:szCs w:val="18"/>
          <w:color w:val="auto"/>
        </w:rPr>
      </w:pPr>
    </w:p>
    <w:p>
      <w:pPr>
        <w:ind w:left="520" w:right="20" w:hanging="512"/>
        <w:spacing w:after="0" w:line="255"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of 2009, or HITECH, and their respective implementing regulations, collectively HIPAA, which imposes criminal and civil liability for knowingly and willfully executing, or attempting to execute, a scheme to defraud any healthcare benefit program (including private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w:t>
      </w:r>
    </w:p>
    <w:p>
      <w:pPr>
        <w:spacing w:after="0" w:line="26"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 obligations with respect to safeguarding the privacy, security, and transmission of individually identifiable information that constitutes protected health information, including mandatory contractual terms and restrictions on the use and/or disclosure of such information without proper authorization;</w:t>
      </w:r>
    </w:p>
    <w:p>
      <w:pPr>
        <w:spacing w:after="0" w:line="13"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U.S. Physician Payments Sunshine Act, under the ACA, which requires certain manufacturers of drugs, devices, biologics and medical supplies to report annually to the Centers for Medicare &amp; Medicaid Services, or CMS, within the U.S. Department of Health and Human Services, or HHS, information related to payments and other transfers of value made by that entity to physicians (currently defined to include doctors, dentists, optometrists, podiatrists and chiropractors), certain non-physician providers such as physician assistants and nurse practitioners, and teaching hospitals, and requires certain manufacturers and applicable group purchasing organizations to report ownership and investment interests held by physicians or their immediate family members;</w:t>
      </w:r>
    </w:p>
    <w:p>
      <w:pPr>
        <w:spacing w:after="0" w:line="25" w:lineRule="exact"/>
        <w:rPr>
          <w:rFonts w:ascii="Times New Roman" w:cs="Times New Roman" w:eastAsia="Times New Roman" w:hAnsi="Times New Roman"/>
          <w:sz w:val="18"/>
          <w:szCs w:val="18"/>
          <w:color w:val="auto"/>
        </w:rPr>
      </w:pPr>
    </w:p>
    <w:p>
      <w:pPr>
        <w:ind w:left="520" w:right="480" w:hanging="512"/>
        <w:spacing w:after="0" w:line="28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1" w:lineRule="exact"/>
        <w:rPr>
          <w:rFonts w:ascii="Times New Roman" w:cs="Times New Roman" w:eastAsia="Times New Roman" w:hAnsi="Times New Roman"/>
          <w:sz w:val="18"/>
          <w:szCs w:val="18"/>
          <w:color w:val="auto"/>
        </w:rPr>
      </w:pPr>
    </w:p>
    <w:p>
      <w:pPr>
        <w:ind w:left="520" w:right="740" w:hanging="512"/>
        <w:spacing w:after="0" w:line="28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prohibits companies and their intermediaries from making, or offering or promising to make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color w:val="auto"/>
        </w:rPr>
        <w:t>improper payments to non-U.S. officials for the purpose of obtaining or retaining business or otherwise seeking favorable treatment; and</w:t>
      </w:r>
    </w:p>
    <w:p>
      <w:pPr>
        <w:spacing w:after="0" w:line="63" w:lineRule="exact"/>
        <w:rPr>
          <w:sz w:val="20"/>
          <w:szCs w:val="20"/>
          <w:color w:val="auto"/>
        </w:rPr>
      </w:pPr>
    </w:p>
    <w:p>
      <w:pPr>
        <w:ind w:left="520" w:right="46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laws and regulations in other national jurisdictions and states, such as state anti-kickback and false claims laws, which may apply to healthcare items or services that are reimbursed by non-governmental third-party payors, including private insurers.</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Some state and other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State and other laws also govern the privacy and security of health information in some circumstances, many of which differ from each other in significant ways and often are not preempted by HIPAA, thus complicating compliance efforts. For example, in California, the California Consumer Protection Act, or CCPA, established a comprehensive privacy framework for covered businesses by creating an expanded definition of personal information, establishing new data privacy rights for consumers in the State of California, imposing special rules on the collection of sensitive categories of data,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the CCPA, other personal information may be applicable and possible changes to the CCPA may broaden its scope. In addition, the California Privacy Rights Act, or CPRA, amended the CCPA and imposes additional obligations on companies covered by the legislation. The CPRA significantly modified the CCPA, including by expanding consumers’ rights with respect to certain sensitive personal information.</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laws have been passed in numerous other states and other states have proposed similar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United States would make our compliance obligations more complex and costly and may increase the likelihood that we may be subject to enforcement actions or otherwise incur liability for noncompliance. There are also states that are specifically regulating health information. For example, Washington state recently enacted a health privacy law that regulates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spacing w:after="0" w:line="8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 data privacy and security laws and regulations in foreign jurisdictions that may be more stringent than those in the United States (such as the European Union's GDPR).</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By way of example, the United States and state governments continue to propose and pass legislation designed to reduce the cost of healthcare. In March 2010, the United States Congress enacted the ACA, which, among other things, includes changes to the coverage and payment for products under government health care programs. Among the provisions of the ACA of importance to our potential product candidates are:</w:t>
      </w:r>
    </w:p>
    <w:p>
      <w:pPr>
        <w:spacing w:after="0" w:line="68" w:lineRule="exact"/>
        <w:rPr>
          <w:sz w:val="20"/>
          <w:szCs w:val="20"/>
          <w:color w:val="auto"/>
        </w:rPr>
      </w:pPr>
    </w:p>
    <w:p>
      <w:pPr>
        <w:ind w:left="5540" w:right="1940" w:hanging="5532"/>
        <w:spacing w:after="0" w:line="532" w:lineRule="auto"/>
        <w:tabs>
          <w:tab w:leader="none" w:pos="5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ind w:left="520" w:right="160"/>
        <w:spacing w:after="0" w:line="281" w:lineRule="auto"/>
        <w:rPr>
          <w:sz w:val="20"/>
          <w:szCs w:val="20"/>
          <w:color w:val="auto"/>
        </w:rPr>
      </w:pPr>
      <w:r>
        <w:rPr>
          <w:rFonts w:ascii="Times New Roman" w:cs="Times New Roman" w:eastAsia="Times New Roman" w:hAnsi="Times New Roman"/>
          <w:sz w:val="18"/>
          <w:szCs w:val="18"/>
          <w:color w:val="auto"/>
        </w:rPr>
        <w:t>products, apportioned among these entities according to their market share in certain government healthcare programs, although this fee would not apply to sales of certain products approved exclusively for orphan indications;</w:t>
      </w:r>
    </w:p>
    <w:p>
      <w:pPr>
        <w:spacing w:after="0" w:line="1" w:lineRule="exact"/>
        <w:rPr>
          <w:sz w:val="20"/>
          <w:szCs w:val="20"/>
          <w:color w:val="auto"/>
        </w:rPr>
      </w:pPr>
    </w:p>
    <w:p>
      <w:pPr>
        <w:ind w:left="520" w:hanging="512"/>
        <w:spacing w:after="0" w:line="28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13"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products that are inhaled, infused, instilled, implanted or injected;</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63" w:lineRule="exact"/>
        <w:rPr>
          <w:rFonts w:ascii="Times New Roman" w:cs="Times New Roman" w:eastAsia="Times New Roman" w:hAnsi="Times New Roman"/>
          <w:sz w:val="18"/>
          <w:szCs w:val="18"/>
          <w:color w:val="auto"/>
        </w:rPr>
      </w:pPr>
    </w:p>
    <w:p>
      <w:pPr>
        <w:ind w:left="520" w:right="340" w:hanging="512"/>
        <w:spacing w:after="0" w:line="287" w:lineRule="auto"/>
        <w:tabs>
          <w:tab w:leader="none" w:pos="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the Medicare Part D coverage gap discount program by requiring manufacturers to provide a 70% point-of-sale-discount off the negotiated price of applicable products to eligible beneficiaries during their coverage gap period as a condition for the manufacturers’ outpatient products to be covered under Medicare Part D, increased pursuant to the Bipartisan Budget Act of 2018 which became effective as of 2019;</w:t>
      </w:r>
    </w:p>
    <w:p>
      <w:pPr>
        <w:ind w:left="520" w:right="40" w:hanging="512"/>
        <w:spacing w:after="0" w:line="28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Center for Medicare and Medicaid Innovation within CMS to test innovative payment and service delivery models to lower Medicare and Medicaid spending, potentially including prescription product spending.</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For example, the Budget Control Act of 2011, among other things, included aggregate reductions of Medicare payments to providers of up to 2% per fiscal year, which will remain in effect through 2031. In addition, the Statutory Pay-As-You-Go Act of 2010, or PAYGO, requires that automatic payment cuts of 4% be applied to Medicare and affects certain providers. These cuts were slated to go into effect January 1, 2023, but the Consolidated Appropriations Act, 2023, further delayed these cuts until 2025.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 In addition, the American Rescue Plan Act of 2021 eliminates the statutory Medicaid drug rebate cap, currently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It is unclear how other healthcare reform measures of the Biden administration or other efforts, if any, to challenge, repeal or replace the ACA will impact our business.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the federal level, FDA released implementing regulations in 2020 for how states can build and submit importation plans for drugs from Canada. Also in 2020, CMS stated drugs imported by states under this rule will not be eligible for federal Medicaid drug rebates and manufacturers would not report these drugs for “best price” or Average Manufacturer Price purposes. Since imported drugs are not considered covered outpatient drugs, CMS further stated it will not publish a National Average Drug Acquisition Cost for these drugs. On January 5, 2024, Florida became the first state in the United States to receive the FDA's approval for its plan to import certain prescription drugs from Canada. Importation of drugs from Canada may materially and adversely affect the price we receive for any of our product candidates.</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created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further pushed back to January 1, 2027 by the Bipartisan Safer Communities Act and later to January 1, 2032 by the Inflation Reduction Act of 2022 ("IRA").</w:t>
      </w:r>
    </w:p>
    <w:p>
      <w:pPr>
        <w:spacing w:after="0" w:line="79"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There has also been heightened governmental scrutiny over the manner in which manufacturers set prices for their marketed products, which has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140"/>
        <w:spacing w:after="0" w:line="266" w:lineRule="auto"/>
        <w:rPr>
          <w:sz w:val="20"/>
          <w:szCs w:val="20"/>
          <w:color w:val="auto"/>
        </w:rPr>
      </w:pPr>
      <w:r>
        <w:rPr>
          <w:rFonts w:ascii="Times New Roman" w:cs="Times New Roman" w:eastAsia="Times New Roman" w:hAnsi="Times New Roman"/>
          <w:sz w:val="18"/>
          <w:szCs w:val="18"/>
          <w:color w:val="auto"/>
        </w:rPr>
        <w:t>increasingly active in enacting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IRA was signed into law in August 2022. The IRA includes several provisions that will impact our business to varying degrees, including provisions that allow the U.S. government to negotiate and set price caps for Medicare Part B and Part D pricing for certain high-cost, single-source drugs and biologics without generic or biosimilar competition; reduce the out-of-pocket cap 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Part D beneficiaries to $2,000 starting in 2025, effectively eliminating the so-called “donut hole” for Medicare Part</w:t>
      </w:r>
    </w:p>
    <w:p>
      <w:pPr>
        <w:spacing w:after="0" w:line="27" w:lineRule="exact"/>
        <w:rPr>
          <w:sz w:val="20"/>
          <w:szCs w:val="20"/>
          <w:color w:val="auto"/>
        </w:rPr>
      </w:pPr>
    </w:p>
    <w:p>
      <w:pPr>
        <w:jc w:val="both"/>
        <w:ind w:right="160" w:firstLine="45"/>
        <w:spacing w:after="0" w:line="260" w:lineRule="auto"/>
        <w:rPr>
          <w:sz w:val="20"/>
          <w:szCs w:val="20"/>
          <w:color w:val="auto"/>
        </w:rPr>
      </w:pPr>
      <w:r>
        <w:rPr>
          <w:rFonts w:ascii="Times New Roman" w:cs="Times New Roman" w:eastAsia="Times New Roman" w:hAnsi="Times New Roman"/>
          <w:sz w:val="18"/>
          <w:szCs w:val="18"/>
          <w:color w:val="auto"/>
        </w:rPr>
        <w:t>D; require companies to pay rebates to Medicare for drug prices that increase faster than inflation; and delay the rebate rule that would limit the fees that pharmacy benefit managers can charge, among other areas. The effect of the IRA on our business and the healthcare industry in general is not yet known.</w:t>
      </w:r>
    </w:p>
    <w:p>
      <w:pPr>
        <w:spacing w:after="0" w:line="7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national level in the United States and other jurisdictions globally, as well as at some regional, state and/or local levels within the United States or other jurisdictions,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third countries that impose similar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had 393 full-time employees. No employees were represented by labor unions or subject to collective bargaining agreements. The majority of employees were based in Boston, Massachusetts with additional employees based in Framingham, Massachusetts, Mission Bay, California and Switzerland. 68 employees held Ph.D., Pharm. D., or M.D. degrees, 342 engaged primarily in research and development or technical operations, and 51 engaged in business development, finance, information systems, facilities, human resources, legal functions, or administrative support. We consider our employee relations to be good.</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dedicated to conducting business with the highest standards of corporate responsibility. Our goal is to build a culture of diverse and passionate people striving to positively impact patients, our communities, and broader society. Our human capital resource priorities include attracting, recruiting, retaining, incentivizing and integrating our existing and new employees. We believe that a diverse, equitable, and inclusive workplace allows our company to best fulfill our mission. We are committed to continuing our efforts to increase diversity throughout our company and foster an inclusive work environment that supports our employees and the communities we serve. In all the countries in which we operate, it is our policy to fully comply with all applicable laws regarding discrimination in the workplace. We are committed to recruiting the best people for the job regardless of gender, race, ethnicity, age, disability, sexual orientation, gender identity, cultural background, or religious belief.</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principal purposes of our comprehensive equity and cash compensation and benefits programs are to attract, motivate, retain, and reward new and existing employees. We do this by using a mix of compensation elements that balance achievement of our short-term goals with our long-term performance. In addition, employees are eligible to participate in our standard employee benefit plans, such as our retirement, health and welfare benefits plans, including medical, dental, and life and disability insurance plans. We also offer our employees the opportunity to participate in a tax-qualified retirement plan, or the 401(k) Plan, and have the ability to make matching contributions under the 401(k) Plan, which is competitive with other companies in our industry.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consider our human capital resources strategy to be comprehensive and is built around our core way of working: collaborative, undaunted, entrepreneurial, and results-oriented. We foster a strong relationship with and among our employees with ongoing efforts such as employee surveys, training and development programs, and other programs, including skill development courses, manager training, leadership development opportunities, tuition reimbursement and robust online course training libraries for reference on a myriad of development topics. We also support cross-functional career development pathways, in addition to traditional promotions within functions in the organization. We plan to continue to evolve and add to our suite of human capital resources as we grow.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our investor relations website (https://crisprtx.gcs-web.com/), U.S. Securities and Exchange Commission, or SEC, filings, press releases, public conference calls and webcasts. We use these channels as well as social media to communicate with the public about our company, our business, our product candidates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Our Annual Reports on Form 10-K, Quarterly Reports on Form 10-Q, Current Reports on Form 8-K, including exhibits, proxy and information statements and amendments to those reports filed or furnished pursuant to Sections 13(a) and 15(d) of the Exchange Act are available on our website free of charge as soon as reasonably practicable after we electronically file such material with, or furnish it to, the SEC at its website (https://www.sec.gov).</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6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other information in this report, including our financial statements and notes thereto, and in our other filings with the U.S. Securities and Exchange Commission, or SEC.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shares could decline, and shareholders may lose all or part of their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7"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Have Incurred Significant Operating Losses Since Our Inception And Anticipate That We Will Incur Continued Losses For The Foreseeable Future.</w:t>
      </w:r>
    </w:p>
    <w:p>
      <w:pPr>
        <w:spacing w:after="0" w:line="5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funded our operations through public and private offerings of our equity securities, private placements of our preferred shares, convertible loans and collaboration agreements with strategic partners. While we were profitable for the year ended December 31, 2021 due to an upfront payment associated with our collaboration with Vertex, we do not expect to be profitable in future years. Our prior losses, combined with expected future losses, have had and will continue to have an adverse effect on our shareholders’ deficit and working capital. We anticipate that our expenses will increase substantially if and as we:</w:t>
      </w:r>
    </w:p>
    <w:p>
      <w:pPr>
        <w:spacing w:after="0" w:line="7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trials for our various programs;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programs and our preclinical and clinical development of product candidates;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to support U.S. Investigational New Drug, or IND, applications and initiate clinical trials for our product candidates;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other product candidates we identify and choose to develop;</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enforce and/or defend our intellectual property estate;</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gene editing and other proprietary technologies;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expand or contract for manufacturing capabilities;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candidate development;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technologies; and</w:t>
      </w:r>
    </w:p>
    <w:p>
      <w:pPr>
        <w:spacing w:after="0" w:line="63"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or our partners and collaborators, may obtain or have obtained marketing approval.</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and our partner, Vertex, have received marketing approval for CASGEVY in certain jurisdictions. Under the Amended A&amp;R Vertex JDCA, for the years ended December 31, 2022, 2023 and 2024, we had the option to defer and did defer costs on the CASGEVY program in excess of $110.3 million annually, subject to certain adjustments under certain circumstances. Beginning in 2025, we will no longer have the option to defer such costs on the CASGEVY program. We also expect increased development and commercialization expenses for the CASGEVY program and that such expenses will exceed our share of revenue for the foreseeable future.</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 result of all of the foregoing, we expect to continue to incur significant and increasing operating losses for the foreseeable future. Because of the numerous risks and uncertainties associated with developing gene editing product candidates, we are unable to predict the extent of any future losses or when we will become profitable, if at all. Even if we do become profitable, we may not be able to sustain or increase our profitability on a quarterly or annual basis.</w:t>
      </w:r>
    </w:p>
    <w:p>
      <w:pPr>
        <w:spacing w:after="0" w:line="178"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Will Need To Raise Substantial Additional Funding, Which Will Dilute Our Shareholders. If We Are Unable To Raise Capital When Needed, We Would Be Forced To Delay, Reduce Or Eliminate Some Of Our Product Development Programs Or Commercialization Efforts.</w:t>
      </w:r>
    </w:p>
    <w:p>
      <w:pPr>
        <w:spacing w:after="0" w:line="5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development of gene editing product candidates is capital intensive. We expect our expenses to increase in connection with our ongoing activities, particularly as we continue the research and development of, initiate preclinical studies and clinical trials for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8" w:name="page49"/>
    <w:bookmarkEnd w:id="48"/>
    <w:p>
      <w:pPr>
        <w:ind w:right="20"/>
        <w:spacing w:after="0" w:line="254" w:lineRule="auto"/>
        <w:rPr>
          <w:sz w:val="20"/>
          <w:szCs w:val="20"/>
          <w:color w:val="auto"/>
        </w:rPr>
      </w:pPr>
      <w:r>
        <w:rPr>
          <w:rFonts w:ascii="Times New Roman" w:cs="Times New Roman" w:eastAsia="Times New Roman" w:hAnsi="Times New Roman"/>
          <w:sz w:val="18"/>
          <w:szCs w:val="18"/>
          <w:color w:val="auto"/>
        </w:rPr>
        <w:t>and seek marketing approval for our product candidates, as well as incur significant commercialization expenses related to product sales, marketing, manufacturing and distribution to the extent that such sales, marketing, manufacturing and distribution are not the responsibility of our collaborators currently or in the future if we obtain marketing approval for any of our product candidates. For example, beginning in 2025, we will no longer have the option to defer certain costs on the CASGEVY program under the Amended A&amp;R Vertex JDCA and expect our share of expenses for the development and commercialization of CASGEVY to increase, and that such expenses will exceed our share of revenue for the foreseeable future. We may also need to raise additional funds sooner if we choose to pursue additional indications or geographies for our product candidates, investigate new technologies, including delivery modalities,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8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we had cash, cash equivalents and marketable securities of approximately $1,903.8 million and $1,695.7 million, respectively. With our cash, cash equivalents and marketable securities on hand as of December 31, 2024, we expect cash, cash equivalents and marketable securities to be sufficient to fund our current operating plan through at least the next 24 months.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17" w:lineRule="exact"/>
        <w:rPr>
          <w:sz w:val="20"/>
          <w:szCs w:val="20"/>
          <w:color w:val="auto"/>
        </w:rPr>
      </w:pPr>
    </w:p>
    <w:p>
      <w:pPr>
        <w:ind w:left="520" w:right="38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clinical trials, drug discovery, preclinical development and laboratory testing for our wholly owned and partnered product candidates;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a supply chain for the development and manufacture of our product candidates;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Vertex;</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63"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additional collaboration or license agreements we obtain;</w:t>
      </w:r>
    </w:p>
    <w:p>
      <w:pPr>
        <w:spacing w:after="0" w:line="1" w:lineRule="exact"/>
        <w:rPr>
          <w:rFonts w:ascii="Times New Roman" w:cs="Times New Roman" w:eastAsia="Times New Roman" w:hAnsi="Times New Roman"/>
          <w:sz w:val="18"/>
          <w:szCs w:val="18"/>
          <w:color w:val="auto"/>
        </w:rPr>
      </w:pPr>
    </w:p>
    <w:p>
      <w:pPr>
        <w:ind w:left="520" w:right="56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various expenses, including clinical trial, development and commercialization costs, under our current or future collaboration agreements, if any;</w:t>
      </w:r>
    </w:p>
    <w:p>
      <w:pPr>
        <w:spacing w:after="0" w:line="1" w:lineRule="exact"/>
        <w:rPr>
          <w:rFonts w:ascii="Times New Roman" w:cs="Times New Roman" w:eastAsia="Times New Roman" w:hAnsi="Times New Roman"/>
          <w:sz w:val="18"/>
          <w:szCs w:val="18"/>
          <w:color w:val="auto"/>
        </w:rPr>
      </w:pPr>
    </w:p>
    <w:p>
      <w:pPr>
        <w:ind w:left="520" w:right="80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 w:lineRule="exact"/>
        <w:rPr>
          <w:rFonts w:ascii="Times New Roman" w:cs="Times New Roman" w:eastAsia="Times New Roman" w:hAnsi="Times New Roman"/>
          <w:sz w:val="18"/>
          <w:szCs w:val="18"/>
          <w:color w:val="auto"/>
        </w:rPr>
      </w:pPr>
    </w:p>
    <w:p>
      <w:pPr>
        <w:ind w:left="520" w:right="6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fulfilling our obligations under the Consent to Assignments, Licensing and Common Ownership and Invention Management Agreement to reimburse other parties for costs incurred in connection with the prosecution and maintenance of associated patent rights;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intellectual property and technologies;</w:t>
      </w:r>
    </w:p>
    <w:p>
      <w:pPr>
        <w:spacing w:after="0" w:line="63" w:lineRule="exact"/>
        <w:rPr>
          <w:rFonts w:ascii="Times New Roman" w:cs="Times New Roman" w:eastAsia="Times New Roman" w:hAnsi="Times New Roman"/>
          <w:sz w:val="18"/>
          <w:szCs w:val="18"/>
          <w:color w:val="auto"/>
        </w:rPr>
      </w:pPr>
    </w:p>
    <w:p>
      <w:pPr>
        <w:ind w:left="520" w:right="46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expanding or contracting for manufacturing capabilities if we obtain regulatory approvals to manufacture our product candidates;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We cannot guarantee that future financing will be available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shareholders and the terms of these securities may include liquidation or other preferences that adversely affect your rights as a shareholder.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condition and results of operations.</w:t>
      </w:r>
    </w:p>
    <w:p>
      <w:pPr>
        <w:spacing w:after="0" w:line="223" w:lineRule="exact"/>
        <w:rPr>
          <w:sz w:val="20"/>
          <w:szCs w:val="20"/>
          <w:color w:val="auto"/>
        </w:rPr>
      </w:pPr>
    </w:p>
    <w:p>
      <w:pPr>
        <w:ind w:right="4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Have A Limited Operating History, Which May Make It Difficult To Evaluate Our Technology And Product Development Capabilities And Predict Our Future Performance.</w:t>
      </w:r>
    </w:p>
    <w:p>
      <w:pPr>
        <w:spacing w:after="0" w:line="5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overall development efforts are ongoing and the first clinical trial for any of our product candidates was initiated at the end of 2018. In general, our programs require preclinical and clinical development; regulatory and marketing approval in multiple jurisdictions; obtaining manufacturing supply, capacity, and expertise; building a commercial organization; substantial investment and significant marketing efforts before we generate any revenue from product sales. Our product candidates must be approved for marketing by the FDA or certain other regulatory agencies, including the EMA, before we may commercialize any product. Although we and our partner, Vertex, have received marketing approvals for CASGEVY in certain jurisdictions, we cannot guarantee we and Vertex will receive additional marketing approvals for CASGEVY or we will receive marketing approvals for our other product candidates in the future. For additional information, see also “</w:t>
      </w:r>
      <w:r>
        <w:rPr>
          <w:rFonts w:ascii="Times New Roman" w:cs="Times New Roman" w:eastAsia="Times New Roman" w:hAnsi="Times New Roman"/>
          <w:sz w:val="18"/>
          <w:szCs w:val="18"/>
          <w:i w:val="1"/>
          <w:iCs w:val="1"/>
          <w:color w:val="auto"/>
        </w:rPr>
        <w:t>Risk Factors —Risks Related to Our Relationships with Third Parties—We Have Partnered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Vertex On Our Lead Program CASGEVY; Vertex Has Significant Control Over The CASGEVY Program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—Risks Related to Our Business, Technology and Industry—If We Are Unable To Advance Our Product Candidates To Clinical Development, Obtain Regulatory Approval And Ultimately Commercialize Our Product Candidates, Or Experience Significant Delays In Doing So, Our Business Will Be Materially Harmed.</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limited operating history, particularly in light of the rapidly evolving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early stage companies in rapidly evolving fields. If we do not address these risks successfully, our business will suffer. Similarly, we expect that our financial condition and operating results will fluctuate significantly from quarter to quarter and year to year due to a variety of factors, many of which are beyond our control. As a result, our shareholders should not rely upon the results of any quarterly or annual period as an indicator of future operating performance.</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as a development stage company, we have encountered unforeseen expenses, difficulties, complications, delays and other known and unknown circumstances. As we advance our product candidates, we will need to continue to transition from a company with a research focus to a company focused on researching, developing, manufacturing and commercializing product candidates, as applicable. We may not be successful in such a transition.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Ability To Use Tax Loss Carryforwards In Switzerland May Be Limited.</w:t>
      </w:r>
    </w:p>
    <w:p>
      <w:pPr>
        <w:spacing w:after="0" w:line="119"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Under Swiss law, we are entitled to carry forward losses we incur for a period of seven years and we can offset future profits, if any, against such losses. Tax losses are only finally assessed by the tax authorities when offset with taxable profit (which will not be the case if we are loss making). If not used, these tax losses will expire seven years after the year in which they occurred. Due to our limited income, there is a high risk that the tax loss carry forwards will expire partly or entirely and as a result they would not be applied to reduce future cash tax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Technology and Industry</w:t>
      </w:r>
    </w:p>
    <w:p>
      <w:pPr>
        <w:spacing w:after="0" w:line="227"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Advance Our Product Candidates To Clinical Development, Obtain Regulatory Approval And Ultimately Commercialize Our Product Candidates, Or Experience Significant Delays In Doing So, Our Business Will Be Materially Harmed.</w:t>
      </w:r>
    </w:p>
    <w:p>
      <w:pPr>
        <w:spacing w:after="0" w:line="5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development efforts are ongoing and we have primarily focused our research and development efforts to date on gene editing and other technologies, including CRISPR/Cas9 technology, and our initial product candidates. Our future success depends heavily on the successful development of our next-generation product candidates and other future product candidates. We have invested substantially all of our efforts and financial resources in the development of our proprietary technologies and identification and development of our current product candidates. Our ability to generate product revenue will depend heavily on the successful development and eventual commercialization of our product candidates, which may never occur. For example, while we and our partner, Vertex, have received marketing approvals for CASGEVY in certain jurisdictions, we cannot guarantee we and Vertex will receive additional marketing approvals for CASGEVY or we will receive marketing approvals for our other product candidates in the future, and our research programs, including additional programs subject to current and future collaboration agreements with third parties, may fail to identify potential product candidates for clinical development for a number of reasons or may fail to successfully advance any product candidates through clinical development. Our potential product candidates may be shown to have harmful side effects or may have other characteristics or unforeseeable consequences that may make the product candidates impractical to manufacture, unmarketable, or unlikely to receive marketing approval, or that lead to product-related claims or litigation, including without limitation personal injury or product liability claims, adverse or serious adverse events, regulatory enforcement actions, or product recalls or market withdrawals. Our partner, Vertex, generates product sales from CASGEVY, of which we receive 40% through our collaboration arrangement with Vertex. This amount is currently insufficient to cover program expenses and as such, we are responsible for 40% of losses, subject to certain limitations. We currently generate no revenue from sales of any wholly-owned</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product and we may never be able to again research, develop or commercialize a marketable product.</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must file IND applications, clinical trial applications, or CTAs, or their equivalents with regulatory authorities to commence clinical trials. The filing of INDs, CTAs or their equivalents for any product candidate is subject to the identification and selection of one or more guide RNAs with acceptable efficiency, among other activities. In addition, commencing any future clinical trial is also subject to acceptance by the European regulatory authorities, or its equivalent, of our CTAs, or by the FDA of our INDs, and finalizing the trial design based on discussions with the applicable regulatory authorities. In the event that the European regulatory authorities, FDA or their equivalent require us to complete additional preclinical studies or we are required to satisfy other requests, our clinical trials may be delayed. Even after we receive and incorporate guidance from these regulatory authorities, they could disagree that we have satisfied their requirements to commence a clinical trial or change their position on the acceptability of our trial design or the clinical endpoints selected, which may require us to complete additional preclinical studies or clinical trials or impose stricter approval conditions than we currently expect. Regulatory authorities have limited experience with the clinical development of CRISPR/Cas9-based therapeutics, including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therapeutics, which may require additional significant testing or data compared to more traditional therapies or otherwise delay the development of our product candidates. There is no certainty that the FDA or other similar regulatory agencies will continue to apply to all our gene-editing product candidates, including CRISPR/Cas9 product candidates, the same regulatory pathway and requirements it applied to CASGEVY and is applying to other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engineered therapeutics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product candidates with significant market potential, which will require us to be successful in a range of challenging activities. In general, our product candidates require preclinical and clinical development; regulatory and marketing approval in multiple jurisdictions; obtaining manufacturing supply, capacity, and expertise; building a commercial organization; substantial investment and significant marketing efforts before we generate any revenue from product sales. In addition, our product development programs must be approved for marketing by the FDA, EMA or certain other health regulatory agencies before we may commercialize our product candidates. We may never succeed in any or all of these activities and, even if we do, we may never generate revenues that are significant or large enough to achieve profitability. Although we and our partner, Vertex, have received marketing approvals for CASGEVY in certain jurisdictions, we cannot guarantee we and Vertex will receive additional marketing approvals for CASGEVY or we will receive marketing approvals for our other product candidates in the future, or that CASGEVY, or any other future product candidate we develop, will be profitable. For additional information, see also “</w:t>
      </w:r>
      <w:r>
        <w:rPr>
          <w:rFonts w:ascii="Times New Roman" w:cs="Times New Roman" w:eastAsia="Times New Roman" w:hAnsi="Times New Roman"/>
          <w:sz w:val="18"/>
          <w:szCs w:val="18"/>
          <w:i w:val="1"/>
          <w:iCs w:val="1"/>
          <w:color w:val="auto"/>
        </w:rPr>
        <w:t>Risk Factors—Risks Related to Our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Third Parties—We Have Partnered With Vertex On Our Lead Program CASGEVY; Vertex Has Significant Control Over The CASGEVY Program</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also could cause shareholders to lose all or part of their investment.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 and preclinical studies;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clinical trials and preclinical studies;</w:t>
      </w:r>
    </w:p>
    <w:p>
      <w:pPr>
        <w:spacing w:after="0" w:line="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ability to develop safe and effective delivery mechanisms for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programs;</w:t>
      </w:r>
    </w:p>
    <w:p>
      <w:pPr>
        <w:spacing w:after="0" w:line="6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optimal RNA sequences to guide genomic editing;</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current, and entry into additional, collaborations to further the development of our product candidates;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INDs, CTAs or their equivalents for our product candidates to commence clinical trials;</w:t>
      </w:r>
    </w:p>
    <w:p>
      <w:pPr>
        <w:spacing w:after="0" w:line="63" w:lineRule="exact"/>
        <w:rPr>
          <w:rFonts w:ascii="Times New Roman" w:cs="Times New Roman" w:eastAsia="Times New Roman" w:hAnsi="Times New Roman"/>
          <w:sz w:val="18"/>
          <w:szCs w:val="18"/>
          <w:color w:val="auto"/>
        </w:rPr>
      </w:pPr>
    </w:p>
    <w:p>
      <w:pPr>
        <w:ind w:left="520" w:right="72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programs that support an acceptable risk-benefit profile of our product candidates for the intended patient populations;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and marketing approvals from applicable regulatory authorities;</w:t>
      </w:r>
    </w:p>
    <w:p>
      <w:pPr>
        <w:spacing w:after="0" w:line="63" w:lineRule="exact"/>
        <w:rPr>
          <w:rFonts w:ascii="Times New Roman" w:cs="Times New Roman" w:eastAsia="Times New Roman" w:hAnsi="Times New Roman"/>
          <w:sz w:val="18"/>
          <w:szCs w:val="18"/>
          <w:color w:val="auto"/>
        </w:rPr>
      </w:pPr>
    </w:p>
    <w:p>
      <w:pPr>
        <w:ind w:left="520" w:right="26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for clinical and commercial supply and, where applicable, commercial manufacturing capabilities;</w:t>
      </w:r>
    </w:p>
    <w:p>
      <w:pPr>
        <w:spacing w:after="0" w:line="1" w:lineRule="exact"/>
        <w:rPr>
          <w:rFonts w:ascii="Times New Roman" w:cs="Times New Roman" w:eastAsia="Times New Roman" w:hAnsi="Times New Roman"/>
          <w:sz w:val="18"/>
          <w:szCs w:val="18"/>
          <w:color w:val="auto"/>
        </w:rPr>
      </w:pPr>
    </w:p>
    <w:p>
      <w:pPr>
        <w:ind w:left="520" w:right="540" w:hanging="512"/>
        <w:spacing w:after="0" w:line="28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internal manufacturing processes and transfer to larger-scale facilities operated by either a third-party contract manufacturing organization or by us;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or regulatory exclusivity for our product candidates;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 and treatment options;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and defense of intellectual property rights and claims;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medicinal properties for the intended indications.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Additionally, because our technology involves gene editing across multiple cell and tissue types, we are subject to many of the challenges and risks that gene therapies face, including:</w:t>
      </w:r>
    </w:p>
    <w:p>
      <w:pPr>
        <w:spacing w:after="0" w:line="54" w:lineRule="exact"/>
        <w:rPr>
          <w:sz w:val="20"/>
          <w:szCs w:val="20"/>
          <w:color w:val="auto"/>
        </w:rPr>
      </w:pPr>
    </w:p>
    <w:p>
      <w:pPr>
        <w:jc w:val="both"/>
        <w:ind w:left="520" w:right="1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guidance governing gene and cell therapy products have changed frequently and may continue to change in the future, including, e.g., the final guidance document titled “Human Gene Therapy Products Incorporating Human Genome Editing” that the FDA issued in January 2024;</w:t>
      </w:r>
    </w:p>
    <w:p>
      <w:pPr>
        <w:spacing w:after="0" w:line="67" w:lineRule="exact"/>
        <w:rPr>
          <w:rFonts w:ascii="Times New Roman" w:cs="Times New Roman" w:eastAsia="Times New Roman" w:hAnsi="Times New Roman"/>
          <w:sz w:val="18"/>
          <w:szCs w:val="18"/>
          <w:color w:val="auto"/>
        </w:rPr>
      </w:pPr>
    </w:p>
    <w:p>
      <w:pPr>
        <w:ind w:left="520" w:right="62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only a limited number of products that involve the genetic modification of patient cells have been approved in the United States, the European Union, or EU, and globally;</w:t>
      </w:r>
    </w:p>
    <w:p>
      <w:pPr>
        <w:spacing w:after="0" w:line="1" w:lineRule="exact"/>
        <w:rPr>
          <w:rFonts w:ascii="Times New Roman" w:cs="Times New Roman" w:eastAsia="Times New Roman" w:hAnsi="Times New Roman"/>
          <w:sz w:val="18"/>
          <w:szCs w:val="18"/>
          <w:color w:val="auto"/>
        </w:rPr>
      </w:pPr>
    </w:p>
    <w:p>
      <w:pPr>
        <w:ind w:left="520" w:right="260" w:hanging="512"/>
        <w:spacing w:after="0" w:line="298" w:lineRule="auto"/>
        <w:tabs>
          <w:tab w:leader="none" w:pos="5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administration processes or related procedures for certain of our product candidates (e.g., treatment with myeloablative busulfan conditioning prior to receiving CASGEVY or undergoing a lymphodepletion regimen prior to receiving our immunotherapy product candidates);</w:t>
      </w:r>
    </w:p>
    <w:p>
      <w:pPr>
        <w:ind w:left="520" w:right="34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modulation of a gene sequence, including unintended editing events, insertion of a gene sequence into certain locations in a patient’s chromosome or other effects related to the technology underlying our product candidates could lead to lymphoma, leukemia or other cancers, or other aberrantly functioning cells, or other diseases, including death;</w:t>
      </w:r>
    </w:p>
    <w:p>
      <w:pPr>
        <w:spacing w:after="0" w:line="13" w:lineRule="exact"/>
        <w:rPr>
          <w:rFonts w:ascii="Times New Roman" w:cs="Times New Roman" w:eastAsia="Times New Roman" w:hAnsi="Times New Roman"/>
          <w:sz w:val="18"/>
          <w:szCs w:val="18"/>
          <w:color w:val="auto"/>
        </w:rPr>
      </w:pPr>
    </w:p>
    <w:p>
      <w:pPr>
        <w:ind w:left="520" w:right="96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transient expression of the Cas9 protein or other genome editing components of our product candidates could lead to patients having an immunological reaction towards those cells, which could be severe or life-threatening;</w:t>
      </w:r>
    </w:p>
    <w:p>
      <w:pPr>
        <w:spacing w:after="0" w:line="1" w:lineRule="exact"/>
        <w:rPr>
          <w:rFonts w:ascii="Times New Roman" w:cs="Times New Roman" w:eastAsia="Times New Roman" w:hAnsi="Times New Roman"/>
          <w:sz w:val="18"/>
          <w:szCs w:val="18"/>
          <w:color w:val="auto"/>
        </w:rPr>
      </w:pPr>
    </w:p>
    <w:p>
      <w:pPr>
        <w:ind w:left="520" w:right="820" w:hanging="512"/>
        <w:spacing w:after="0" w:line="281"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spacing w:after="0" w:line="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recommends a follow-up observation period of up to 15 years for all patients who receive treatment using gene therapies, and we may need to adopt and support, and have adopted and are supporting for certain of our trials, such an observation period for our product candidates.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Ultimately, if we do not receive regulatory approvals for our product candidates, we may not be able to continue our operations.</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addition, if any product candidates encounter safety or efficacy problems, development delays, regulatory issues or other problems, our development plans and business could be significantly harmed. For the reasons described above, among others, regulatory authorities, particularly the FDA, have requested, and may request in the future, additional preclinical studies for genome editing products, such as additional studies related to toxicology, biodistribution or reproductive health, and/or preclinical studies earlier in clinical development compared to other therapeutic modalities. Although to date the FDA has cleared the INDs that we have submitted for certain of our clinical trials, including CTX112 and CTX131, it is possible that the FDA may impose requirements that result in a delay of any of our programs or their regulatory approval. If we are unable to complete any required studies satisfactorily, the FDA or other regulatory authorities could require that we exclude certain patient populations from clinical studies, place our clinical studies on hold, or require us to cease further clinical studies or deny approval of such product candidates. Further, competitors that are developing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products with similar technology may experience problems with their product candidates or programs that could in turn cause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problems with our product candidates and programs, or cause the FDA or other regulatory authorities to impose additional requirements, that could cause us to delay or pause development of our product candidates. Any of these occurrences may harm our ability to identify and develop product candidates, and may harm our business, financial condition, results of operations and prospects significantly. We cannot guarantee that the FDA or other regulatory authorities will not change their requirements in the future or approve amendments to our INDs or equivalent regulatory filings on the timelines we expect.</w:t>
      </w:r>
    </w:p>
    <w:p>
      <w:pPr>
        <w:spacing w:after="0" w:line="195"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Our CRISPR/Cas9 Gene Editing Product Candidates Are Based On A Relatively New Gene Editing Technology, Which Makes It Difficult To Predict The Time And Cost Of Development And Of Subsequently Obtaining Regulatory Approval, If At All. There Have Only Been A Limited Number Of Clinical Trials Of Product Candidates Based On Gene Editing Technology.</w:t>
      </w:r>
    </w:p>
    <w:p>
      <w:pPr>
        <w:spacing w:after="0" w:line="6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aim to develop treatments and therapies for people suffering from serious diseases through transformative gene-based medicines, including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engineered cell therapies 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therapies. Although there have been significant advances in recent years in the fields of gene therapy and genome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editing, including CRISPR/Cas9 gene editing technology, such technologies, including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CRISPR-based genome editing technologies in particular, are relatively new and only a limited number of clinical trials of product candidates based on such gene editing technologies have been commenced and their therapeutic utility is largely unproven. As such it is difficult to accurately predict the developmental challenges we may incur for our product candidates as they proceed through product discovery or identification, preclinical studies and clinical trials. For example, no genome editing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therapy has been approved in the United States, EU or other key jurisdictions. While we and our partner, Vertex, have received marketing approvals for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2" w:name="page53"/>
    <w:bookmarkEnd w:id="52"/>
    <w:p>
      <w:pPr>
        <w:ind w:right="20"/>
        <w:spacing w:after="0" w:line="253" w:lineRule="auto"/>
        <w:rPr>
          <w:sz w:val="20"/>
          <w:szCs w:val="20"/>
          <w:color w:val="auto"/>
        </w:rPr>
      </w:pPr>
      <w:r>
        <w:rPr>
          <w:rFonts w:ascii="Times New Roman" w:cs="Times New Roman" w:eastAsia="Times New Roman" w:hAnsi="Times New Roman"/>
          <w:sz w:val="18"/>
          <w:szCs w:val="18"/>
          <w:color w:val="auto"/>
        </w:rPr>
        <w:t>CASGEVY in certain jurisdictions, we cannot guarantee we and Vertex will receive additional marketing approvals for CASGEVY or we will receive marketing approvals for our other product candidates in the future. In addition, because we have only recently commenced clinical trials for certain of our other product candidates, we have not yet been able to fully assess safety in humans. There may be long-term effects from treatment with any product candidates that we develop that we cannot predict at this time. Any product candidates we may develop will act at the level of DNA, and, because animal DNA differs from human DNA, testing of our product candidates in animal models may not be predictive of the results we observe in human clinical trials of our product candidates for either safety or efficacy. Also, animal models may not exist for some of the diseases we choose to pursue in our programs. As a result of these factors, it is more difficult for us to predict the time and cost of product candidate development, and we cannot predict whether the application of our gene editing technology, or any similar or competitive gene editing technologies, will result in the identification, development, and regulatory approval of any products. There can be no assurance that any development problems we experience in the future related to our gene editing technology or any of our research and development programs will not cause significant delays or unanticipated costs, or that such development problems can be solved. Any of these factors may prevent us from completing our preclinical studies or any clinical trials that we may initiate or commercializing any product candidates we may develop on a timely or profitable basis, if at all.</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Although we and our partner, Vertex, have received marketing approvals for CASGEVY in certain jurisdictions, we cannot guarantee we and Vertex will receive additional marketing approvals for CASGEVY or we will receive marketing approvals for our other product candidates in the future, and the regulatory approval process for product candidates such as ours remains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future product candidates in either the United States or the EU or how long it will take to commercialize our product candidates.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Engineered Allogeneic T cell Product Candidates Represent A Novel Approach To Cancer Treatment That Creates Significant Challenges For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9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our immuno-oncology programs, we are developing a pipeline of allogeneic T cell product candidates (including, for example, CTX112 and CTX131) that are engineered from healthy donor T cells to express chimeric antigen receptors, or CARs, and are intended for use in any patient with certain cancers. Unlike for autologous chimeric antigen receptor, or CAR T, therapies, for allogeneic CAR T therapies, we are reliant on receiving healthy donor material to manufacture our product candidates. Healthy donor T cells vary in type and quality, and this variation makes producing standardized allogeneic CAR T product candidates challenging and makes the development and commercialization pathway of those product candidates uncertain.</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developed screening processes designed to enhance the quality and consistency of T cells used in the manufacture of our CAR T cell product candidates, but our screening processes may fail to identify suitable donor material and we may discover failures with the material after production. We may also have to update our specifications for new risks that may emerge, such as to screen for new viruses.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in donor T cells, there may be inconsistencies in the product candidates we produce or we may be unable to initiate or continue ongoing clinical trials on the timelines we expect, which could harm our reputation and adversely impact our business and prospects.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approved autologous CAR T therapies and those under development have shown frequent rates of cytokine release syndrome, neurotoxicity, serious infections, prolonged cytopenia and hypogammaglobulinemia, and other serious adverse events that have resulted in patient deaths. We expect similar adverse events for our allogeneic CAR T product candidates. Moreover, patients eligible for allogeneic CAR T cell therapies but ineligible for autologous CAR T cell therapies due to aggressive cancer and inability to wait for autologous CAR T cell therapies may be at greater risk for complications and death from therapy. Our allogeneic CAR T cell product candidates may also cause unique adverse events related to the differences between the donor and patients, such as Graft versus Host Disease, or GvHD, or infusion reactions. GvHD results when allogeneic T cells start recognizing the patient’s normal tissue as foreign.</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have designed our CRISPR/Cas9 gene editing technology to eliminate the T-cell receptor from the healthy donor T cells to reduce the risk of GvHD from our product candidates, as well as to remove the class I major histocompatibility complex from the cell surface in order to limit the patient’s immune system from attacking the allogeneic T cells and to improve the persistence of the CAR T cells. However, the gene editing of our product candidates may not be successful in limiting the risk of GvHD or premature rejection by the patient. In addition, results of our immuno-oncology clinical trials could reveal a high and unacceptable severity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prevalence of side effects or unexpected characteristics.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significant GvHD or other adverse events are observed with the administration of our product candidates, or if any of the product candidates are viewed as less safe or effective than autologous therapies or other allogenic therapies, our ability to develop allogeneic therapies may be adversely affected.</w:t>
      </w:r>
    </w:p>
    <w:p>
      <w:pPr>
        <w:spacing w:after="0" w:line="5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Further, in November 2023, the FDA announced that it would be conducting an investigation into reports of T-cell malignancies following B-cell maturation antigen, or BCMA, directed or CD19-directed autologous CAR T cell immunotherapies following reports of T cell lymphoma in patients receiving these therapies. In January 2024, the FDA determined that new safety information related to T cell malignancies should be included in the labeling with boxed warning language on these malignancies for all BCMA- and CD19-directed genetically modified autologous T cell immunotherapies. FDA’s investigation into CAR T therapies and other similar actions could result in increased government regulation, unfavorable public perception and publicity, and, although we are developing allogeneic CAR T candidates, the FDA’s investigation could result in potential impacts on enrollment in our clinical trials, potential regulatory delays in the testing or approval of our product candidates, stricter labeling requirements for those product candidates that are approved and a decrease in demand for any such product candidates.</w:t>
      </w:r>
    </w:p>
    <w:p>
      <w:pPr>
        <w:spacing w:after="0" w:line="190"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FDA, MHRA And The EMA Have Demonstrated Caution In Their Regulation Of Gene Therapy Treatments, And Ethical And Legal Concerns About Gene Therapy And Genetic Testing May Result In Additional Regulations Or Restrictions On The Development And Commercialization Of Our Product Candidates, Which May Be Difficult To Predict.</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FDA, MHRA and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Regulatory requirements in the United States and in other jurisdictions governing gene therapy products have changed frequently and may continue to change in the future. The FDA has issued several guidance documents on gene therapy products. The FDA established the Office of Therapeutic Products within its Center for Biologics Evaluation and Research to consolidate the review of gene therapy and related products, and established the Cellular, Tissue and Gene Therapies Advisory Committee to advise this review. In addition to the government regulators, institutional biosafety committees and institutional review boards of each institution at which we conduct clinical trials of our product candidates, or a central institutional review board if appropriate, would need to review the proposed clinical trial to assess the safety of the trial. In addition, adverse developments in clinical trials of gene therapy product candidates conducted by others may cause the FDA or other oversight authorities to change the requirements for approval of any of our product candidates. Similarly, the EMA governs the development of gene therapies in the EU and may issue new guidelines concerning the development and marketing authorization for gene therapy products and require that we comply with these new guidelines.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and seek regulatory approval, we will be required to consult with these regulatory agencies and committees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or our collaborators’ ability to complete clinical trials and commercialize our current and future product candidates in a timely manner, if at all.</w:t>
      </w:r>
    </w:p>
    <w:p>
      <w:pPr>
        <w:spacing w:after="0" w:line="191"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If Any Of The Product Candidates We May Develop Or Administration Processes And Delivery Modalities We Rely On Cause Undesirable Side Effects, It Could Delay Or Prevent Their Regulatory Approval, Limit The Commercial Potential Or Result In Significant Negative Consequences Following Any Potential Marketing Approval.</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Product candidates we may develop may be associated with undesirable or unacceptable side effects, unexpected characteristics or other serious adverse events, including death or off-target cuts of DNA, or the introduction of cuts in DNA at locations other than the target sequence. These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 genomic element.</w:t>
      </w:r>
    </w:p>
    <w:p>
      <w:pPr>
        <w:spacing w:after="0" w:line="7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There also is the potential risk of delayed adverse events following exposure to gene editing therapy due to persistent biologic activity of the genetic material or other components of products used to carry the genetic material. Possible adverse side effects that could occur with treatment with gene editing products include an immunologic reaction after administration which could substantially limit the effectiveness of the treatment.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Immunotherapy, and its method of action of harnessing the body’s immune system, is powerful and could lead to serious side effects that we only discover in clinical trials. Unforeseen side effects could arise either during clinical development or, if such side effects are rare, after our product candidates have been approved by regulatory authorities and the approved product has been marketed, resulting in the exposure of additional patients. If our CRISPR/Cas9 gene editing technology or delivery modalities we utilize demonstrate a similar effect, we may decide or be required to halt or delay preclinical development, clinical development or commercialization of our product candidates. For example, through internal efforts and external collaborations, we are pursuing the development of multiple delivery technologies, including LNPs, to support our current and future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product candidates. Possible adverse side effects that could occur with treatment with a product or product candidate utilizing such delivery modalities could include an immunologic reaction early after administration which, while not necessarily adverse to the patient’s health, could substantially limit the effectiveness of the treatment. While we have designed our proprietary LNP platform to minimize any LNP vehicle-related toxicities with repeat administration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by engineering amino lipids to avoid the immune system and to be rapidly biodegradable relative to prior LNP formulations, we cannot provide assurances that our product candidates utilizing our proprietary LNP platform or similar other delivery modalities will not activate one or more immune responses giving rise to potential immune reaction related adverse events, like liver toxicities or enzyme elevations.</w:t>
      </w:r>
    </w:p>
    <w:p>
      <w:pPr>
        <w:spacing w:after="0" w:line="8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 addition to serious adverse events or side effects caused by any product candidate we may develop, the administration process or related procedures also can cause undesirable side effects. For example, patients who receive CASGEVY or enroll in the ongoing CASGEVY clinical trials have their own CRISPR/Cas9 edited-hematopoietic stem and progenitor cells, CASGEVY, infused back into the patient as part of a stem cell transplant, a process which involves, among other things, a patient being treated with myeloablative busulfan conditioning. Patients undergoing stem cell transplants may also encounter side effects (ranging from mild to severe) that are unrelated to the administration of a product candidate. Patients who enroll in our immunotherapy trials undergo a lymphodepletion regimen, which generally includes fludarabine and cyclophosphamide that may cause serious adverse events. Because these regimens will cause a transient and sometimes prolonged immune suppression, patients will have an increased risk of certain infections that may be unable to be cleared by the patient and could ultimately lead to death.</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side effects may not be appropriately recognized or managed by the treating medical staff. We or our collaborators expect to have to educate medical personnel using any product or product candidates we may develop to understand the side effect profiles for our clinical trials and upon any commercialization of such product or product candidates. Inadequate recognition or management of the potential side effects of such product or product candidates could result in patient injury or death. If any undesirable or unacceptable side effects, unexpected characteristics or other serious adverse events occur, our clinical trials or commercial distribution of any product candidates or products we develop alone or with collaborators could be suspended or terminated, and our business and reputation could suffer substantial harm.</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in the future we are unable to demonstrate that such adverse events were caused by factors other than our product candidate or approved products, the FDA, EMA or other comparable regulatory authorities could order us to cease further clinical studies of, or deny approval of, any product candidates we are able to develop for any or all targeted indications or cease the sale of approved products.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8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approved product or product candidate that we develop alone or with our collaborators, several potentially significant negative consequences could result, including:</w:t>
      </w:r>
    </w:p>
    <w:p>
      <w:pPr>
        <w:spacing w:after="0" w:line="79"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revoke licenses or suspend, vary or withdraw approvals of such product or product candidate;</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or product candidate is administered or conduct additional clinical trials;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Moreover, gene therapy product candidates investigated by other parties have resulted in serious adverse events, including deaths, and it is possible that the FDA or other regulatory authorities could impose a clinical hold on clinical trials of our product candidates after becoming aware of adverse events with products or product candidates in the same class as our products or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jc w:val="both"/>
        <w:ind w:right="140" w:firstLine="509"/>
        <w:spacing w:after="0" w:line="312"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our gene editing technology and any products or product candidates we may identify and develop and could have a material adverse effect on our business, financial condition, results of operations and prospects.</w:t>
      </w:r>
    </w:p>
    <w:p>
      <w:pPr>
        <w:spacing w:after="0" w:line="138"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We Experience Delays Or Difficulties In The Enrollment Of Patients In Clinical Trials, Our Receipt Of Necessary Regulatory Approvals Could Be Delayed Or Prevented.</w:t>
      </w:r>
    </w:p>
    <w:p>
      <w:pPr>
        <w:spacing w:after="0" w:line="5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or analogous regulatory authorities outside the United States, or as needed to provide appropriate statistical power for a given trial. Enrollment may be particularly challenging for any rare genetically defined diseases we may target in the future. In addition, if patients are unwilling to participate in our gene editing trials because of negative publicity from adverse events related to the biotechnology, gene therapy or gene editing fields, competitive clinical trials for similar patient populations, clinical trials with competing products, or for other reasons, the timeline for recruiting patients, conducting studies and obtaining regulatory approval of any product candidates we may develop may be delayed. Moreover, 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also affected by other factors, including:</w:t>
      </w:r>
    </w:p>
    <w:p>
      <w:pPr>
        <w:spacing w:after="0" w:line="63"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clinical trial participants;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eligible prospective patients that are otherwise eligible patients for competitive clinical trials;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clinical trial participant consent;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clinical trial participants will drop out before completion of the trial;</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gene editing and cellular therapies as therapeutic approaches;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any product candidates we may develop, which would cause our value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Positive Results From Early Preclinical Studies Or Preliminary Results from Clinical Trials Of Our Product Candidates Are Not Necessarily Predictive Of The Results Of Later Preclinical Or Clinical Studies And Any Future Clinical Trials Of Our Product Candidates. If We Cannot Replicate The Positive Results From Our Earlier Preclinical Or Clinical Studies Of Our Product Candidates In Our Later Preclinical Studies, Clinical Trials And Future Clinical Trials, We May Be Unable To Successfully Develop, Obtain Regulatory Approval For And Commercialize Our Product Candidates.</w:t>
      </w:r>
    </w:p>
    <w:p>
      <w:pPr>
        <w:spacing w:after="0" w:line="7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Any positive results from our preclinical studies or preliminary results from our clinical trials of our product candidates may not necessarily be predictive of the results from required later preclinical studies and clinical trials. For example, for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product candidates, our proposed delivery modalities combined with or separate from our product candidates, have a limited history of being evaluated in human clinical trials. Any of our product candidates, including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candidates CTX310 and CTX320 and our CAR T candidates, CTX112 and CTX131, may fail to show the desired safety and efficacy in later stages of clinical development despite having successfully advanced through initial clinical trials. Preliminary, interim and top-line data from clinical trials may change as more patient data become available. Preliminary, interim or top-line data from clinical trials are not necessarily predictive of final results, including the results submitted in support of approval in a BLA or equivalent submission outside the United States. Interim, top-line and preliminary data remain subject to audit and verification procedures that may result in the final data being materially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80"/>
        <w:spacing w:after="0" w:line="256" w:lineRule="auto"/>
        <w:rPr>
          <w:sz w:val="20"/>
          <w:szCs w:val="20"/>
          <w:color w:val="auto"/>
        </w:rPr>
      </w:pPr>
      <w:r>
        <w:rPr>
          <w:rFonts w:ascii="Times New Roman" w:cs="Times New Roman" w:eastAsia="Times New Roman" w:hAnsi="Times New Roman"/>
          <w:sz w:val="18"/>
          <w:szCs w:val="18"/>
          <w:color w:val="auto"/>
        </w:rPr>
        <w:t>different from the preliminary data we previously announced. As a result, preliminary, interim and top-line data should be viewed with caution until the final data are available. Material adverse changes in the final data compared to the interim data could significantly harm our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For example, consistent with the FDA's recommendation, certain of our clinical trials include a 15 year follow-up observation period in which we will continue to collect patient data.</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information we choose to publicly disclose regarding a particular study or clinical trial is based on what is typically more extensive information, and you or others may not agree with what we determine is material or otherwise appropriate information to include in our disclosure. Any information we determine not to disclose may ultimately be deemed significant with respect to future decisions, conclusions, views, activities or otherwise regarding a particular product candidate or our business.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Similarly, many companies in the pharmaceutical and biotechnology industries have failed to receive regulatory approval despite completing registration trials.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7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by EMA in the EU and by comparable authorities in other countries. Failure to obtain marketing approval for a product candidate will prevent us from commercializing the product candidate in a given jurisdiction. While CASGEVY has received approval or clearance to be marketed from certain regulatory authorities in certain jurisdictions, it is possible that none of our other product candidates or any product candidates we may seek to develop, alone or in conjunction with collaborators, in the future will ever obtain regulatory approval or clearance or that we and Vertex will receive additional marketing approvals for CASGEVY. For example, while we have multiple product candidates in clinical development and advanced preclinical development for a range of diseases, we have not yet submitted BLAs to the FDA or similar marketing applications to comparable foreign authorities for any of our other product candidates.</w:t>
      </w:r>
    </w:p>
    <w:p>
      <w:pPr>
        <w:spacing w:after="0" w:line="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in submitting and supporting the applications necessary to gain regulatory and marketing approvals. We expect to rely on third-party contract research organizations, or CROs, and/or regulatory consultants to assist us in this process for our wholly-owned product candidates and, pursuant to our Amended A&amp;R Vertex JDCA, we have relied on Vertex for submitting such applications for our hemoglobinopathies product candidates. Submission of a BLA or other similar marketing applications to comparable foreign authorities and securing regulatory approval requires the submission of extensive preclinical and clinical data and supporting information to the various regulatory authorities for each therapeutic indication to establish the biologic product candidate’s safety, purity, efficacy and potency, also known as safety and effectiveness, for each desired therapeutic indication. A BLA must also include significant information regarding the chemistry, manufacturing and controls for the product candidate. Securing regulatory approval also requires the submission of information about the product manufacturing process to, and inspection of manufacturing facilities by, the relevant regulatory authority.</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general, the FDA requires the successful completion of two pivotal trials to support approval of a BLA, but in certain circumstances, will approve a BLA based on only one pivotal trial; and our ability to submit and obtain approval of a BLA is ultimately an FDA review decision, which will be dependent upon the data available at such time, and the available data may not be sufficiently robust from a safety and/or efficacy perspective to support the submission or approval of a BLA. For example, there is no assurance that data obtained at the completion of any of our clinical trials, including for our ongoing wholly-owned product candidates, including CTX112 and CTX131, will indicate clinically meaningful benefit or support submission of a BLA, or will be sufficiently robust from a safety and/or efficacy perspective to support either accelerated or conditional approval or full approval. Moreover, there is no assurance that the data obtained to date in the ongoing clinical trials of CASGEVY and being submitted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100"/>
        <w:spacing w:after="0" w:line="254" w:lineRule="auto"/>
        <w:rPr>
          <w:sz w:val="20"/>
          <w:szCs w:val="20"/>
          <w:color w:val="auto"/>
        </w:rPr>
      </w:pPr>
      <w:r>
        <w:rPr>
          <w:rFonts w:ascii="Times New Roman" w:cs="Times New Roman" w:eastAsia="Times New Roman" w:hAnsi="Times New Roman"/>
          <w:sz w:val="18"/>
          <w:szCs w:val="18"/>
          <w:color w:val="auto"/>
        </w:rPr>
        <w:t>planned to be submitted is or will be sufficiently robust from a safety and/or efficacy perspective to support either accelerated or conditional approval or full approval of a BLA or a foreign equivalent in all jurisdictions for which regulatory applications are submitted. Depending on the outcome of these ongoing clinical trials and robustness of the data submitted, once submitted, the FDA may require that we conduct additional or larger pivotal trials before we can submit or obtain approval of a BLA. Furthermore, if any undesirable or unacceptable side effects, unexpected characteristics or other serious adverse events occur, and if we are unable to demonstrate such adverse events were caused by factors other than our product candidate, the FDA could suspend our clinical trial until we are able to gather sufficient information or order us to cease further clinical studies of our product candidate. If this were to occur this would likely result in delays in our ability to submit a BLA for regulatory approval. We may face similar challenges with foreign regulatory authorities.</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Furthermore, failure of one or more clinical trials can occur at any stage in the clinical trial process. Any product candidates we develop may not be effective, may be only moderately effective, or may prove to have undesirable or unintended side effects, toxicities or other characteristics that may preclude our obtaining marketing approval or prevent or limit commercial use. Accordingly, the regulatory pathway for our product candidates is still uncertain, complex, and lengthy, and ultimately, approval may not be obtained. Even if our product candidates demonstrate safety and efficacy in clinical studies, regulatory delays or rejections may be encountered as a result of many factors, including changes in regulatory policy during the period of product development.</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in other foreign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6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We May Never Obtain FDA Approval For Any Of Our Wholly-Owned Product Candidates In The United States, And Even If We Do, We May Never Obtain Approval For Or Commercialize Any Of Our Wholly-Owned Product Candidates In Any Other Jurisdiction, Which Would Limit Our Ability To Realize Their Full Market Potential.</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eventually market any of our product candidates in any particular jurisdiction, we must establish and comply with numerous and varying regulatory requirements on a jurisdiction-by-jurisdiction basis regarding safety and efficacy. Approval by the FDA in the United States, if obtained, does not ensure approval by regulatory authorities in other countries or jurisdictions. Similarly, approval by foreign regulatory authorities does not ensure approval by the FDA. In addition, data from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 Seeking regulatory approval in multiple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certain countries. Regulatory approval processes outside the United States involve all of the risks associated with FDA approval. We do not have any wholly-owned product candidates approved for sale in any jurisdiction, including international markets, and, as a company,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188"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Breakthrough Therapy Designation, Fast Track Designation, Regenerative Medicine Advanced Therapy Designation or Priority Review by the FDA, or PRIME Scheme by the EMA, Even If Granted for Any of Our Product Candidates, May Not Lead to a Faster Development, Regulatory Review or Approval Process, and It May Not Increase the Likelihood That Any of Our Product Candidates Will Receive Marking Approval.</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product candidates no longer meet the conditions for qualification or decide that the time period for FDA review or approval will not be shortened.</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obtained and may seek Fast Track Designation for some of our product candidates. For instance, CASGEVY was granted Fast Track Designation by the FDA for the treatment of TDT and SCD.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For Fast Track products, sponsors may have greater interactions with the FDA and the FDA may initiate review of sections of a Fast Track product's marketing application before the application is complete. However, the FDA's time period goal for reviewing an application does not begin until the last section of the application is submitted.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obtained and may seek RMAT designation for some of our product candidates. For instance, CASGEVY was granted RMAT designation by the FDA for the treatment of TDT and SCD, as well as CTX112 for the treatment of relapsed or refractory follicular lymphoma and marginal zone lymphoma. There is no assurance that we will be able to obtain RMAT designation for other of our product candidates. RMAT designation does not change the FDA's standards for product approval, and there is no assurance that such designation will result in expedited review or approval or that the approved indication will not be narrower than the indication covered by the designation. Additionally, RMAT designation can be revoked if the criteria for eligibility cease to be met as clinical data emerges.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Finally, we have obtained and may seek to qualify our product candidates under the PRIME scheme from the EMA. For instance, CASGEVY was granted PRIME designation for the treatment of TDT and SCD. There is no assurance that we will be able to obtain PRIME qualification for other of our product candidates. PRIME does not change the standards for product approval, and there is no assurance that such qualification will result in expedited review or approval. Moreover, where, during the course of development, a medicine no longer meets the eligibility criteria, support under the PRIME scheme may be withdrawn.</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Breakthrough Therapy Designation, Fast Track Designation, RMAT Designation and priority review by the FDA, see the section entitled, “Business—Government Regulation—Licensure and Regulation of Biologics in the United States – Expedited Programs.” For additional information regarding the PRIME scheme from the EMA, see the section entitled “Business—Government Regulation—Regulation and Procedures Governing Approval of Medicinal Products in Europe – PRIME scheme.”</w:t>
      </w:r>
    </w:p>
    <w:p>
      <w:pPr>
        <w:spacing w:after="0" w:line="178"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May Seek Designation For Our Platform Technology As A Designated Platform Technology, But We Might Not Receive Such Designation, And Even If We Do, Such Designation May Not Lead To A Faster Regulatory Review Or Approval Process.</w:t>
      </w:r>
    </w:p>
    <w:p>
      <w:pPr>
        <w:spacing w:after="0" w:line="5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seek designation for our platform technology as a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 BLA;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drug will be developed more quickly or receive FDA approval. Moreover, the FDA may revoke a designation if the FDA determines that a designated platform technology no longer meets the criteria for such designation.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6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received orphan drug designation in the United States from the FDA for certain of our programs and the European Commission for certain of our programs or partnered programs, including for CASGEVY for the treatment of TDT and SCD. We may in the future seek orphan drug designation for certain of our other product candidates, but we may be unable to maintain orphan drug designation or obtain any benefits associated with orphan drug designation, including market exclusivity.</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of our current product candidates and our future product candidates may target patient populations that are smaller than the numbers required for orphan drug designation. If we request orphan drug designation for our product candidates, there can be no assurances that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designation to product candidates of other companies that treat the same indications as our product candidates prior to our product candidates receiving exclusive marketing approval.</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extended by two years for medicines that have complied with an agreed pediatric investigation plan prior to authorization of the product. The exclusivity period in the European Union can also be reduced to six years if, at the end of the fifth year, it is established that the product no longer meets the criteria for orphan designation, because, for example,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including if it is clinically superior in that it is shown to be safer, more effective or makes a major contribution to patient care. In the European Union, marketing authorization may be granted to a similar medicinal product for the same orphan indication as an authorized orphan product if:</w:t>
      </w:r>
    </w:p>
    <w:p>
      <w:pPr>
        <w:spacing w:after="0" w:line="75" w:lineRule="exact"/>
        <w:rPr>
          <w:sz w:val="20"/>
          <w:szCs w:val="20"/>
          <w:color w:val="auto"/>
        </w:rPr>
      </w:pPr>
    </w:p>
    <w:p>
      <w:pPr>
        <w:ind w:left="520" w:right="1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medicinal product application;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is no assurance that we will be able to obtain orphan drug designation for other of our other product candidates. Orphan drug designation does not change the standards for product approval, and there is no assurance that such designation will result in expedited review or approval.</w:t>
      </w:r>
    </w:p>
    <w:p>
      <w:pPr>
        <w:spacing w:after="0" w:line="5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For additional information regarding orphan drug designation in the United States, see the section entitled, </w:t>
      </w:r>
      <w:r>
        <w:rPr>
          <w:rFonts w:ascii="Times New Roman" w:cs="Times New Roman" w:eastAsia="Times New Roman" w:hAnsi="Times New Roman"/>
          <w:sz w:val="18"/>
          <w:szCs w:val="18"/>
          <w:i w:val="1"/>
          <w:iCs w:val="1"/>
          <w:color w:val="auto"/>
        </w:rPr>
        <w:t>“Business —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Licensure and Regulation of Biologics in the United States – Orphan Drug Designation.” </w:t>
      </w:r>
      <w:r>
        <w:rPr>
          <w:rFonts w:ascii="Times New Roman" w:cs="Times New Roman" w:eastAsia="Times New Roman" w:hAnsi="Times New Roman"/>
          <w:sz w:val="18"/>
          <w:szCs w:val="18"/>
          <w:color w:val="auto"/>
        </w:rPr>
        <w:t>For additional information regarding orphan drug designation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European Union, see the section entitled </w:t>
      </w:r>
      <w:r>
        <w:rPr>
          <w:rFonts w:ascii="Times New Roman" w:cs="Times New Roman" w:eastAsia="Times New Roman" w:hAnsi="Times New Roman"/>
          <w:sz w:val="18"/>
          <w:szCs w:val="18"/>
          <w:i w:val="1"/>
          <w:iCs w:val="1"/>
          <w:color w:val="auto"/>
        </w:rPr>
        <w:t>“Business — Government Regulation — Regulation and Procedures Governing Approval of Medicinal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in Europe – Orphan Drug Designation and Exclusivity.”</w:t>
      </w:r>
    </w:p>
    <w:p>
      <w:pPr>
        <w:spacing w:after="0" w:line="180"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Expect The Product Candidates We Develop Will Be Regulated Biologics And Therefore They May Be Subject To Competition Sooner Than Anticipated.</w:t>
      </w:r>
    </w:p>
    <w:p>
      <w:pPr>
        <w:spacing w:after="0" w:line="5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0" w:name="page61"/>
    <w:bookmarkEnd w:id="60"/>
    <w:p>
      <w:pPr>
        <w:ind w:right="300"/>
        <w:spacing w:after="0" w:line="261" w:lineRule="auto"/>
        <w:rPr>
          <w:sz w:val="20"/>
          <w:szCs w:val="20"/>
          <w:color w:val="auto"/>
        </w:rPr>
      </w:pPr>
      <w:r>
        <w:rPr>
          <w:rFonts w:ascii="Times New Roman" w:cs="Times New Roman" w:eastAsia="Times New Roman" w:hAnsi="Times New Roman"/>
          <w:sz w:val="18"/>
          <w:szCs w:val="18"/>
          <w:color w:val="auto"/>
        </w:rPr>
        <w:t>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processes intended to implement BPCIA may be fully adopted by the FDA, any of these processes could have a material adverse effect on the future commercial prospects for our biological products.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the approval of a biologic product biosimilar to one of our products could have a material adverse impact on our business as it may be significantly less costly to bring to market and may be priced significantly lower than our products.</w:t>
      </w:r>
    </w:p>
    <w:p>
      <w:pPr>
        <w:spacing w:after="0" w:line="160" w:lineRule="exact"/>
        <w:rPr>
          <w:sz w:val="20"/>
          <w:szCs w:val="20"/>
          <w:color w:val="auto"/>
        </w:rPr>
      </w:pPr>
    </w:p>
    <w:p>
      <w:pPr>
        <w:ind w:right="4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While We May Seek Accelerated Approval For Some Of Our Product Candidates, We May Not Be Able To Obtain It As The Sufficiency Of Our Clinical Trial Results For Accelerated Approval Are Subject To The FDA’s Discretion.</w:t>
      </w:r>
    </w:p>
    <w:p>
      <w:pPr>
        <w:spacing w:after="0" w:line="5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plan to seek approval for some of our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or IMM, that is reasonably likely to predict an effect on IMM or other clinical benefit. For more information, see the section of this report entitled “Business—Government Regulation— Licensure and Regulation of Biologics in the United States—Accelerated Approval Pathway.</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the FDA is empowered to take action, such as issuing fines, against companies that fail to conduct with due diligence any post-approval confirmatory study or submit timely reports to the agency on their progress. The FDA may further withdraw approval of a drug or biologic granted accelerated approval on an expedited basis if the sponsor fails to conduct such studies in a timely manner, send the necessary updates to the FDA, or if such post-approval studies fail to verify the drug’s predicted clinical benefit. Accordingly,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186"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Adverse Public Perception Of Gene Editing And Cellular Therapy Products May Negatively Impact Demand For, Or Regulatory Approval Of, Our Product Candidates.</w:t>
      </w:r>
    </w:p>
    <w:p>
      <w:pPr>
        <w:spacing w:after="0" w:line="5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candidates involve editing the human genome. The clinical and commercial success of our product candidates will depend in part on public acceptance of the use of gene editing therapies for the prevention or treatment of human diseases. Public attitudes may be influenced by claims that gene editing is unsafe, unethical, or immoral, and, consequently, our products may not gain the acceptance of the public or the medical community. Negative public reaction to gene therapy in general could result in greater government regulation and stricter labeling requirements of gene editing products, including any of our product candidates, and could cause a decrease in the demand for any products we may develop.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particular, gene editing technology is subject to public debate and heightened regulatory scrutiny due to ethical concerns relating to the application of gene editing technology to human embryos or the human germline. Public attitudes may be influenced by claims that gene editing is unsafe, unethical, or immoral, and, consequently, our product candidates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79"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20"/>
        <w:spacing w:after="0" w:line="258" w:lineRule="auto"/>
        <w:rPr>
          <w:sz w:val="20"/>
          <w:szCs w:val="20"/>
          <w:color w:val="auto"/>
        </w:rPr>
      </w:pPr>
      <w:r>
        <w:rPr>
          <w:rFonts w:ascii="Times New Roman" w:cs="Times New Roman" w:eastAsia="Times New Roman" w:hAnsi="Times New Roman"/>
          <w:sz w:val="18"/>
          <w:szCs w:val="18"/>
          <w:color w:val="auto"/>
        </w:rPr>
        <w:t>financial condition and may delay or impair our development and commercialization of product candidates or demand for any products we may develop. Adverse events in our preclinical studies or clinical trials or those of our competitors or of academic researchers utilizing gene editing technologies, even if not ultimately attributable to product candidates we may identify and develop, and the resulting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w:t>
      </w:r>
    </w:p>
    <w:p>
      <w:pPr>
        <w:spacing w:after="0" w:line="181"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If We Are Unable To Establish Sales And Marketing Capabilities Or Enter Into Agreements With Third Parties To Sell And Market Products Based On Our Technologies, We May Not Be Successful In Commercializing Our Products If And When Any Products Candidates Are Approved And We May Not Be Able To Generate Any Revenue.</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as a company, have no experience in the sale, marketing or distribution of therapeutic products. To achieve commercial success for any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any are approved.</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63"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 that we may develop;</w:t>
      </w:r>
    </w:p>
    <w:p>
      <w:pPr>
        <w:spacing w:after="0" w:line="1"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treatments to be offered by sales personnel, which may put us at a competitive disadvantage relative to companies with more extensive product lines; and</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For example, pursuant to our Amended A&amp;R Vertex JDCA, Vertex has the right to conduct all commercialization activities relating to CASGEVY throughout the world and net profits and net losses, as applicable, incurred under the agreement with respect to CASGEVY are allocated 40% to CRISPR and 60% to Vertex.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spacing w:after="0" w:line="186"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Even If We, Or Any Collaborators We May Have, Obtain Marketing Approvals For Any Product Candidates We Develop,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product candidate for which we, or any collaborators we may have,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current Good Manufacturing Practice, or cGMP, requirements relating to quality control, quality assurance and corresponding maintenance of records and documents and requirements regarding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 The FDA also may place other conditions on approvals including the requirement for a REMS to assure the safe use of the product. If the FDA concludes a REMS is needed, the sponsor of the BLA, must submit a proposed REMS before it can obtain approval. A REMS could include medication guides, physician communication plans, or elements to assure safe use, such as restricted distribution methods, patient registries and other risk minimization tools.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Accordingly, assuming we, or any collaborators we may have, receive marketing approval for one or more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right="60"/>
        <w:spacing w:after="0" w:line="256" w:lineRule="auto"/>
        <w:rPr>
          <w:sz w:val="20"/>
          <w:szCs w:val="20"/>
          <w:color w:val="auto"/>
        </w:rPr>
      </w:pPr>
      <w:r>
        <w:rPr>
          <w:rFonts w:ascii="Times New Roman" w:cs="Times New Roman" w:eastAsia="Times New Roman" w:hAnsi="Times New Roman"/>
          <w:sz w:val="18"/>
          <w:szCs w:val="18"/>
          <w:color w:val="auto"/>
        </w:rPr>
        <w:t>we develop, we, and such collaborators, and our and their third-party contract manufacturers will continue to expend time, money, and effort in all areas of regulatory compliance, including manufacturing, production, product surveillance, and quality control. In addition,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8"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Any Product Candidate For Which We, Or Any Collaborators We May Have, Obtain Marketing Approval Could Be Subject To Restrictions Or Withdrawal From The Market, And We Or They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agencies closely regulate the post-approval marketing and promotion of biologics to ensure that they are marketed only for the approved indications and in accordance with the provisions of the approved labeling. The FDA and other regulatory agencies impose stringent restrictions on manufacturers’ communications regarding off-label use, and if we, or any collaborators we may have, do not market our products for their approved indications, we or they may be subject to enforcement action for off-label marketing by the FDA and other federal and state enforcement agencies, including the United States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 care fraud and abuse laws and state consumer protection laws.</w:t>
      </w:r>
    </w:p>
    <w:p>
      <w:pPr>
        <w:spacing w:after="0" w:line="8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problems with a product candidate, including adverse events of unanticipated severity or frequency, or with our or other collaborators’ manufacturing processes, or failure to comply with regulatory requirements, may result in, among other things:</w:t>
      </w:r>
    </w:p>
    <w:p>
      <w:pPr>
        <w:spacing w:after="0" w:line="68"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distribution or use of a product;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warning or untitled letters;</w:t>
      </w:r>
    </w:p>
    <w:p>
      <w:pPr>
        <w:spacing w:after="0" w:line="63" w:lineRule="exact"/>
        <w:rPr>
          <w:rFonts w:ascii="Times New Roman" w:cs="Times New Roman" w:eastAsia="Times New Roman" w:hAnsi="Times New Roman"/>
          <w:sz w:val="18"/>
          <w:szCs w:val="18"/>
          <w:color w:val="auto"/>
        </w:rPr>
      </w:pPr>
    </w:p>
    <w:p>
      <w:pPr>
        <w:ind w:left="520" w:right="520" w:hanging="512"/>
        <w:spacing w:after="0" w:line="28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biologic recalls;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collaborators submit;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 or revocation of biologics licenses;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or our collaborators are slow or unable to adapt to changes in existing requirements or the adoption of new requirements or policies, or if we or our collaborators are not able to maintain regulatory compliance, we or our collaborators may lose any marketing approval that we or our collaborators may have obtained, which would adversely affect our business, prospects and ability to achieve or sustain profitability.</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including investigations of any of our vendors, could require us to expend significant time and resources in response and could generate negative publicity. The occurrence of any event or penalty described above may also inhibit our or our collaborators’ ability to commercialize any product candidates we may develop and adversely affect our business, financial condition, results of operations, and prospects.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right="4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The Commercial Success Of Any Of Our Products or Product Candidates Will Depend Upon Its Degree Of Market Acceptance By Healthcare Providers, Patients, Third-party Payors And Others In The Medical Community.</w:t>
      </w:r>
    </w:p>
    <w:p>
      <w:pPr>
        <w:spacing w:after="0" w:line="5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Ethical, social and legal concerns about gene therapy could result in additional regulations restricting or prohibiting our products. Even with the requisite approvals from FDA in the United States, the EMA in the EU and other regulatory authorities internationally, the commercial success of our products or product candidates will depend, in significant part, on the acceptance of healthcare providers, patients and health care payors of gene therapy products in general, and our products or product candidates in particular, as medically necessary, cost-effective and safe. Any product that we commercialize may not gain acceptance by healthcare providers, patients, health care payors and others in the medical community. The degree of market acceptance of gene therapy products and, in particular, our product candidates, if approved for commercial sale, will depend on several factors, including:</w:t>
      </w:r>
    </w:p>
    <w:p>
      <w:pPr>
        <w:spacing w:after="0" w:line="79"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durability and safety of such product candidates as demonstrated in any future clinical trials;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FDA, the EMA or other regulatory authorities;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awareness of, and willingness to seek, genotyping;</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healthcare providers to prescribe new therapies and the target patient population to try new therapies;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efforts to educate healthcare providers and patients about our products;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63" w:lineRule="exact"/>
        <w:rPr>
          <w:rFonts w:ascii="Times New Roman" w:cs="Times New Roman" w:eastAsia="Times New Roman" w:hAnsi="Times New Roman"/>
          <w:sz w:val="18"/>
          <w:szCs w:val="18"/>
          <w:color w:val="auto"/>
        </w:rPr>
      </w:pPr>
    </w:p>
    <w:p>
      <w:pPr>
        <w:ind w:left="520" w:right="40" w:hanging="512"/>
        <w:spacing w:after="0" w:line="28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FDA, the EMA or other regulatory authorities, including any limitations or warnings contained in a product’s approved labeling;</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63" w:lineRule="exact"/>
        <w:rPr>
          <w:rFonts w:ascii="Times New Roman" w:cs="Times New Roman" w:eastAsia="Times New Roman" w:hAnsi="Times New Roman"/>
          <w:sz w:val="18"/>
          <w:szCs w:val="18"/>
          <w:color w:val="auto"/>
        </w:rPr>
      </w:pPr>
    </w:p>
    <w:p>
      <w:pPr>
        <w:ind w:left="520" w:right="440" w:hanging="512"/>
        <w:spacing w:after="0" w:line="28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concerning our products or competing products and treatments, including social and ethical controversies in the field of gene editing;</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authorized treatment centers;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payor coverage and reimbursement; and</w:t>
      </w:r>
    </w:p>
    <w:p>
      <w:pPr>
        <w:spacing w:after="0" w:line="63"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products or technologies that are more favorably received than our products, are more cost effective or render our products obsolete.</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future clinical trials, market acceptance of the product will not be fully known until after it is launched. If our product candidates do not achieve an adequate level of acceptance following regulatory approval, if ever, we may not generate significant product revenue and may not become profitable.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Face Significant Competition In The Biotechnology And Pharmaceutical Industries.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including in the gene editing, gene therapy and cell therapy fields, are characterized by rapidly advancing technologies, intense competition and a strong emphasis on intellectual property and proprietary products. While we believe that our technology, development experience and scientific knowledge provide us with competitive advantages, we currently face, and will continue to face, substantial competition from many different sources, including large pharmaceutical, specialty pharmaceutical and biotechnology companies; academic institutions and governmental agencies; and public and private research institutions, some or all of which may have greater access to capital or resources than we do.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compete in the segments of the pharmaceutical, biotechnology and other related markets that utilize technologies encompassing genomic medicines to create therapies, including gene editing, gene therapy and cell therapy. In addition, we compete with companies working to develop therapies in areas related to our specific research and development programs. Our platform and product focus is on the development of therapies using gene editing technology, including CRISPR/Cas9, as well as other next-generation editing technologies for targeted gene correction and gene insertion with non-viral delivery approaches. For a detailed discussion of the competition that we face with respect to our business, including our platform, product indications, other technologies (e.g. small molecule, antibody, or protein therapies), gene editing technology, gene or cell therapies, intellectual property, new technologies, personnel, clinical trial locations, reimbursement opportunities and collaborators, please see the section entitled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 If we are unable to compete successfully in this highly competitive biopharmaceutical industry, our business, financial condition and results of operations could be materially adversely affected.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64" w:name="page65"/>
    <w:bookmarkEnd w:id="64"/>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biologic products vary widely from country to country. Some countries require approval of the sale price of a product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reimbursement for these products and related treatments will be available from government health administration authorities, private health insurers, and other organizations. Third-party payors, such as private health insurers, health maintenance organizations, and governmental programs such as Medicare and Medicaid, decide which medications they will pay for and establish reimbursement levels. A primary trend in the U.S. healthcare industry and elsewhere is cost containment. Governmental and private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products, and reimbursement coverage may be more limited than the purposes for which the product is approved by the FDA or similar regulatory authorities outside the United States. Moreover, eligibility for reimbursement does not imply that any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products, and our overall financial condition. For additional information, see the sections entitled “Business —Coverage, Pricing and Reimbursement” and “Business—Healthcare Reform.” See also,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Relationships with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Have Partnered With Vertex On Our Lead Program CASGEVY; Vertex Has Significant Control Over The CAGEVY Program.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Have Partnered With Vertex On Our Lead Program CASGEVY; Vertex Has Significant Control Over The CASGEVY Program.</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Amended A&amp;R Vertex JDCA, Vertex has the right to conduct all research, development, manufacturing and commercialization activities relating to specified product candidates and products (including CASGEVY) throughout the world subject to our reserved rights to participate in certain aspects of such activities in an observer capacity and conduct certain other activities. Therefore, Vertex controls the development and commercialization of CASGEVY and certain future hemoglobinopathies product candidates that are subject to the Amended A&amp;R Vertex JDCA, including, for example, clinical development, manufacturing, regulatory submission and commercialization activities for CASGEVY and any other future hemoglobinopathies product candidate. As a result, we do not control the timing of and completion of IND and BLA filings or other applicable regulatory or required pricing approvals, including foreign equivalents, for the product candidates, including CASGEVY, under the Amended A&amp;R Vertex JDCA. This could cause delays or difficulties in the development and commercialization of certain product candidates, including CASGEVY, and have a material adverse effect on our business, financial condition, results of operations, and prospects.</w:t>
      </w:r>
    </w:p>
    <w:p>
      <w:pPr>
        <w:spacing w:after="0" w:line="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must rely on Vertex to manufacture and commercialize CASGEVY. For example, the manufacture of cell and genetic therapies requires significant expertise, and even with the relevant experience and expertise, manufacturers of cell and genetic therapy products often encounter difficulties in production, including difficulties with production costs and yields, quality control,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5" w:name="page66"/>
    <w:bookmarkEnd w:id="65"/>
    <w:p>
      <w:pPr>
        <w:ind w:right="40"/>
        <w:spacing w:after="0" w:line="253" w:lineRule="auto"/>
        <w:rPr>
          <w:sz w:val="20"/>
          <w:szCs w:val="20"/>
          <w:color w:val="auto"/>
        </w:rPr>
      </w:pPr>
      <w:r>
        <w:rPr>
          <w:rFonts w:ascii="Times New Roman" w:cs="Times New Roman" w:eastAsia="Times New Roman" w:hAnsi="Times New Roman"/>
          <w:sz w:val="18"/>
          <w:szCs w:val="18"/>
          <w:color w:val="auto"/>
        </w:rPr>
        <w:t>compliance with federal, state and foreign regulations. We cannot make any assurances that Vertex will not encounter any of these problems or that it will be able to resolve or address problems that occur in a timely manner, or at all. In addition, to increase production to commercial levels, Vertex is making significant investments to coordinate manufacturing, testing, and logistics activities at a larger scale across multiple facilities to serve the geographies in which CASGEVY is approved. We cannot make any assurances that Vertex will be able to increase production to commercial levels in a timely manner, or at all. In addition, we must rely on Vertex to obtain pricing approvals in certain jurisdictions, establish and maintain relationships with authorized treatment centers that will be treating the patients who receive CASGEVY, and manage manufacturing capabilities and supply chain operations in the coordination and delivery of CASGEVY to patients at such authorized treatment centers. We have no involvement in these and other commercialization efforts for CASGEVY from which we may receive revenue and cannot control the extent or effectiveness of such commercialization efforts. Our revenues from CASGEVY may fall below our expectations and the expectations of our shareholders, which could have a material adverse effect on our results of operations and the market price of our common shares.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obligated to share equally the net profits and net losses, as applicable, incurred under the Amended A&amp;R Vertex JDCA with respect to all product candidates and products specified in the A&amp;R Vertex JDCA other than for CASGEVY. With respect to CASGEVY only, beginning in July 2021, the net profits and net losses are allocated 40% to CRISPR and 60% to Vertex. Vertex may have additional expenditures related to the CASGEVY program or other programs under the Amended A&amp;R Vertex JDCA that we cannot predict and that we will be required to pay our portion of or agree to pay a portion of in the future pursuant to the agreement. For example, under certain circumstances, either party can propose to in-license intellectual property that it believes is necessary or commercially reasonable to obtain to develop and commercialize CASGEVY or future hemoglobinopathies product candidates that are subject to the Amended A&amp;R Vertex JDCA, and any costs associated with acquiring such intellectual property rights would be shared by the parties in accordance with the terms of the Amended A&amp;R Vertex JDCA. Moreover, under the Amended A&amp;R Vertex JDCA, for the years ended December 31, 2022, 2023 and 2024, we had the option to defer and did defer costs on the CASGEVY program in excess of $110.3 million annually, subject to certain adjustments under certain circumstances. Beginning in 2025, we will no longer have the option to defer such costs on the CASGEVY program. As a result, our expenses related to the CASGEVY program may be significantly greater than in 2022, 2023 and 2024 as a result of Vertex’s commercialization efforts for CASGEVY.</w:t>
      </w:r>
    </w:p>
    <w:p>
      <w:pPr>
        <w:spacing w:after="0" w:line="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Disagreements between us and Vertex regarding the development, manufacture and commercialization of CASGEVY or future hemoglobinopathies product candidates that are subject to the Amended A&amp;R Vertex JDCA could lead to delays and, in some cases, result in litigation or arbitration, which would be time-consuming and expensive. If we materially breach the Amended A&amp;R Vertex JDCA, we are forced to opt-out or such agreement is otherwise terminated, we would be prevented from receiving any milestone, royalty payments and other benefits under such agreement, which could have a materially adverse effect on our results of operations and the market price of our common shares.</w:t>
      </w:r>
    </w:p>
    <w:p>
      <w:pPr>
        <w:spacing w:after="0" w:line="181" w:lineRule="exact"/>
        <w:rPr>
          <w:sz w:val="20"/>
          <w:szCs w:val="20"/>
          <w:color w:val="auto"/>
        </w:rPr>
      </w:pPr>
    </w:p>
    <w:p>
      <w:pPr>
        <w:ind w:right="4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Collaborators And Strategic Partners May Control Aspects Of Our Clinical Trials and Commercialization Efforts, Which Could Result In Delays And Other Obstacles In The Commercialization Of Our Proposed Products And Materially Harm Our Results Of Operations.</w:t>
      </w:r>
    </w:p>
    <w:p>
      <w:pPr>
        <w:spacing w:after="0" w:line="5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entered into strategic collaborations and license agreements and may enter into additional collaborations and license agreements with third parties in the future. For example, we have entered into a series of agreements with Vertex that contemplate certain research, development, manufacturing and commercialization activities involving various targets. Pursuant to these agreements, Vertex has sole authority to conduct certain activities. For instance, under our 2015 Collaboration Agreement with Vertex, Vertex had sole authority to select genetic targets to pursue and we do not have control over the development of any product candidates for the selected genetic targets. In addition, under our 2019 Collaboration Agreement with Vertex, Vertex has sole authority to develop and commercialize products for the treatment of DMD and DM1 under the agreement (subject to our option to co-develop and co-commercialize products for the treatment of DM1). Some of these collaborations and license agreements provide us with important technologies in order to more fully develop our product candidates and we may enter into collaborations and license agreements with third parties in the future to provide us with important technologies or funding for our programs. The success of these arrangements will depend heavily on the efforts and activities of our collaborators and licensing partners.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Collaborators generally have significant discretion in determining the efforts and resources that they will apply to these collaborations and collaborators may not perform their obligations as expected. For some programs, we also depend on, or may in the future depend on, third-party collaborators and strategic partners to design and conduct our clinical trials, and for any approved products, the commercialization of such products. In some situations, we may not be able to influence our collaboration partners’ decisions regarding the development and commercialization of our partnered product candidates, and as a result, our collaboration partners may not pursue or prioritize the development and commercialization of those partnered product candidates in a manner that is in our best interest or may not be fiscally disciplined in their execution. For example, certain of our agreements allow for the parties under certain circumstances to in-license intellectual property that such believes is necessary or commercially reasonable to obtain to develop and commercialize applicable product candidates, and any costs associated with acquiring such intellectual property rights would be shared by the parties in accordance with the terms of the applicable collaboration or license agreement. Disagreements between parties to a collaboration arrangement regarding clinical development and commercialization matters can lead to delays in the development process or commercializing the applicable product candidate and, in some cases, termination of the collaboration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120"/>
        <w:spacing w:after="0" w:line="312" w:lineRule="auto"/>
        <w:rPr>
          <w:sz w:val="20"/>
          <w:szCs w:val="20"/>
          <w:color w:val="auto"/>
        </w:rPr>
      </w:pPr>
      <w:r>
        <w:rPr>
          <w:rFonts w:ascii="Times New Roman" w:cs="Times New Roman" w:eastAsia="Times New Roman" w:hAnsi="Times New Roman"/>
          <w:sz w:val="17"/>
          <w:szCs w:val="17"/>
          <w:color w:val="auto"/>
        </w:rPr>
        <w:t>arrangement or result in litigation or arbitration, which would be time-consuming and expensive. If one of our collaborators terminates its agreement with us, we may find it more difficult to attract new collaborators and our perception in the business and financial communities could be adversely affected.</w:t>
      </w:r>
    </w:p>
    <w:p>
      <w:pPr>
        <w:spacing w:after="0" w:line="3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lack of control over the clinical development, manufacturing, regulatory submission and commercialization activities in certain of our agreements, including our agreements with Vertex, could cause delays or other difficulties in the development and commercialization of product candidates, including CASGEVY, which may prevent among other things, completion of intended IND filings in a timely fashion, if at all, or the completion of or cause a delay in BLA filings or other applicable regulatory or required pricing approvals. Collaborators may also fail to comply with applicable regulatory requirements regarding the development, manufacture, distribution or marketing of a product candidate or product. As a result of the foregoing, we may not be able to conduct any of our partnered programs in the manner, within budget or on the time schedule we currently contemplate, which may negatively impact our business operations. In addition, if any of these collaborators or strategic partners withdraw support for our programs or proposed products or otherwise impair their development or commercialization, our business could be negatively affected. While we include contractual provisions in certain of our collaboration and license agreements to protect our product candidates, we cannot provide any assurances that our collaborators will not independently develop, or develop with third parties, products that compete directly or indirectly with our product candidates if such collaborators believe that the competitive products are more likely to be successfully developed or can be commercialized under terms that are more economically attractive than ours.</w:t>
      </w:r>
    </w:p>
    <w:p>
      <w:pPr>
        <w:spacing w:after="0" w:line="8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Licensors generally have sole discretion in determining the efforts and resources that they will apply to the licensed products. In addition, if any of these collaborators or strategic partners withdraw support for our programs or proposed products or otherwise impair their development or commercialization, our business could be negatively affected. Additionally, if one of our collaborators terminates its agreement with us, we may find it more difficult to attract new license partners and our perception in the business and financial communities could be adversely affected.</w:t>
      </w:r>
    </w:p>
    <w:p>
      <w:pPr>
        <w:spacing w:after="0" w:line="178"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Conflicts Arise Between Us And Our Collaborators Or Strategic Partners, These Parties May Act In A Manner Adverse To Us And Could Limit Our Ability To Implement Our Strategies.</w:t>
      </w:r>
    </w:p>
    <w:p>
      <w:pPr>
        <w:spacing w:after="0" w:line="5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Current or future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78"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Collaborators Or Strategic Partners May Decide To Adopt Alternative Technologies Or May Be Unable To Develop Commercially Viable Products With Our Technology, Which Would Negatively Impact Our Financial Results And Our Strategy To Develop These Products.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collaborators or strategic partners may adopt alternative technologies, which could decrease the marketability of our CRISPR/Cas9 gene editing technology. Additionally, because our current collaborators or strategic partners are and we anticipate that any future collaborators or strategic partners will be working on more than one development project, they could choose to shift their resources to projects other than those they are working on with us. If they do so, this would delay our ability to test our technology and would delay or terminate the development of potential products based on our CRISPR/Cas9 gene editing technology. Further, our collaborators and strategic partners may elect not to develop products arising out of our collaborative and strategic partnering arrangements or to devote sufficient resources to the development, manufacturing, marketing or sale of these products. For example, ViaCyte (a wholly owned subsidiary of Vertex) elected to opt-out of our diabetes collaboration in 2023. As a result, following such opt-out, we are solely responsible for the costs associated with our diabetes program and we will owe ViaCyte certain opt-out royalties pursuant to the ViaCyte JDCA, which will increase our expenses. Furthermore, the failure to develop and commercialize a product candidate pursuant to our agreements with our current or future collaborators would prevent us from receiving future milestone and royalty payments which would negatively impact our financial results.</w:t>
      </w:r>
    </w:p>
    <w:p>
      <w:pPr>
        <w:spacing w:after="0" w:line="192"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May Seek To Establish Additional Collaborations And, If We Are Not Able To Establish Them On Commercially Reasonable Terms, We May Have To Alter Our Development And Commercialization Plans.</w:t>
      </w:r>
    </w:p>
    <w:p>
      <w:pPr>
        <w:spacing w:after="0" w:line="5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 development programs and the potential commercialization of our product candidates will require substantial additional cash to fund expenses. For some of our product candidates, we may decide to collaborate with additional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pharmaceutical and biotechnology companies for the development and potential commercialization of those product candidates.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additional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For example, we have granted exclusive rights to Vertex for certain genetic targets, and during the term of the collaboration agreements, we will be restricted from granting rights to other parties to use our gene editing technology to pursue therapies that address these genetic targets. The non-competition provisions in such agreements could limit our ability to enter into strategic collaborations with future collaborators.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negotiate and enter into new collaborations,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or engage in workforce reductions to save capital.</w:t>
      </w:r>
    </w:p>
    <w:p>
      <w:pPr>
        <w:spacing w:after="0" w:line="18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We Rely On and Expect To Rely On Third Parties To Conduct Our Clinical Trials And Certain Aspects Of Our Preclinical Studies For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7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expect to rely on medical institutions, clinical investigators, contract laboratories and other third parties, such as CROs, to conduct future clinical trials and we currently rely on third parties to conduct certain aspects of our preclinical studies and clinical trials for our product candidates. Nevertheless, we are responsible for ensuring that each of our preclinical studies, clinical trials and any future preclinical studies and clinical trials we sponsor are conducted in accordance with the applicable protocol, legal and regulatory requirements and scientific standards, and our reliance on CROs or other third parties will not relieve us of our regulatory responsibilities. For example, we will remain responsible for ensuring that each such study or clinical trial is conducted in accordance with the general investigational plan and protocols for such study or trial. Moreover, the FDA requires us to comply with regulations,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 We also rely on and expect to continue to rely on third-party contract manufacturing organizations to produce certain of our clinical trial materials. See, for example, "</w:t>
      </w:r>
      <w:r>
        <w:rPr>
          <w:rFonts w:ascii="Times New Roman" w:cs="Times New Roman" w:eastAsia="Times New Roman" w:hAnsi="Times New Roman"/>
          <w:sz w:val="18"/>
          <w:szCs w:val="18"/>
          <w:i w:val="1"/>
          <w:iCs w:val="1"/>
          <w:color w:val="auto"/>
        </w:rPr>
        <w:t>Risk Factors--Risks Related to Manufacturing--We Expect To Rely On Third Parties To Manufacture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Clinical Product Supplies, And We Intend To Rely On Third Parties For At Least A Portion Of The Manufacturing Process Of Our Product Candidates. Our Business Could Be Harmed If The Third Parties Experience Supply Chain Shortages, Fail To Provide Us With Sufficient Quantities Of Product Inputs Or Fail To Do So At Acceptable Quality Levels Or Prices" </w:t>
      </w:r>
      <w:r>
        <w:rPr>
          <w:rFonts w:ascii="Times New Roman" w:cs="Times New Roman" w:eastAsia="Times New Roman" w:hAnsi="Times New Roman"/>
          <w:sz w:val="18"/>
          <w:szCs w:val="18"/>
          <w:color w:val="auto"/>
        </w:rPr>
        <w:t>for additional information.</w:t>
      </w:r>
    </w:p>
    <w:p>
      <w:pPr>
        <w:spacing w:after="0" w:line="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and our CROs will be required to comply with regulations, including GCPs, for conducting, monitoring, recording and reporting the results of preclinical studies and clinical trials to ensure that the data and results are scientifically credible and accurate and that the trial patients are adequately informed, among other things, of the potential risks of participating in clinical trials and their rights are protected. These regulations are enforced by the FDA, the Competent Authorities of the Member States of the European Economic Area and comparable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FDA or comparable regulatory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20"/>
        <w:spacing w:after="0" w:line="258" w:lineRule="auto"/>
        <w:rPr>
          <w:sz w:val="20"/>
          <w:szCs w:val="20"/>
          <w:color w:val="auto"/>
        </w:rPr>
      </w:pPr>
      <w:r>
        <w:rPr>
          <w:rFonts w:ascii="Times New Roman" w:cs="Times New Roman" w:eastAsia="Times New Roman" w:hAnsi="Times New Roman"/>
          <w:sz w:val="18"/>
          <w:szCs w:val="18"/>
          <w:color w:val="auto"/>
        </w:rPr>
        <w:t>authorities may require us to perform additional clinical trials before approving our marketing applications. We cannot assure you that, upon inspection, the FDA will determine that any of our future clinical trials will comply with GCPs. In addition, our future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 and require significantly greater expenditures.</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Although we generally design the clinical trials for our product candidates and intend to design the clinical trials for our future product candidates, CROs conduct and will continue to conduct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7"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Our Relationships With Healthcare Providers, Physicians, And Third-party Payors Are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firstLine="554"/>
        <w:spacing w:after="0" w:line="266" w:lineRule="auto"/>
        <w:rPr>
          <w:sz w:val="20"/>
          <w:szCs w:val="20"/>
          <w:color w:val="auto"/>
        </w:rPr>
      </w:pPr>
      <w:r>
        <w:rPr>
          <w:rFonts w:ascii="Times New Roman" w:cs="Times New Roman" w:eastAsia="Times New Roman" w:hAnsi="Times New Roman"/>
          <w:sz w:val="18"/>
          <w:szCs w:val="18"/>
          <w:color w:val="auto"/>
        </w:rPr>
        <w:t>To the extent that we commercialize product candidates or provide support and assistance to collaborators who commercialize medical products, we will be subject to additional healthcare statutory and regulatory requirements and enforcement by the U.S. federal government and states as well as other national, regional or local governments in other jurisdictions in which we conduct our business.</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products or product candidates that we may develop for which we obtain marketing approval. Our current and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the section entitled “</w:t>
      </w:r>
      <w:r>
        <w:rPr>
          <w:rFonts w:ascii="Times New Roman" w:cs="Times New Roman" w:eastAsia="Times New Roman" w:hAnsi="Times New Roman"/>
          <w:sz w:val="18"/>
          <w:szCs w:val="18"/>
          <w:i w:val="1"/>
          <w:iCs w:val="1"/>
          <w:color w:val="auto"/>
        </w:rPr>
        <w:t>Business—Healthcare Law and Regulation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The provision of benefits or advantages to induce or reward improper performance generally is also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spacing w:after="0" w:line="253" w:lineRule="auto"/>
        <w:rPr>
          <w:sz w:val="20"/>
          <w:szCs w:val="20"/>
          <w:color w:val="auto"/>
        </w:rPr>
      </w:pPr>
      <w:r>
        <w:rPr>
          <w:rFonts w:ascii="Times New Roman" w:cs="Times New Roman" w:eastAsia="Times New Roman" w:hAnsi="Times New Roman"/>
          <w:sz w:val="18"/>
          <w:szCs w:val="18"/>
          <w:color w:val="auto"/>
        </w:rPr>
        <w:t>will involve substantial costs. It is possible that governmental authorities will conclude that our business practices may not comply with current or future statutes, regulations, or case law involving applicable fraud and abuse or other healthcare laws and regulations. Because of the breadth of these laws and the narrowness of the statutory exceptions and safe harbors available, it is possible that some of our business activities could be subject to challenge under one or more of such laws. If our operations, including activities that may be conducted by sales and marketing team we establish,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27" w:lineRule="exact"/>
        <w:rPr>
          <w:sz w:val="20"/>
          <w:szCs w:val="20"/>
          <w:color w:val="auto"/>
        </w:rPr>
      </w:pPr>
    </w:p>
    <w:p>
      <w:pPr>
        <w:ind w:right="2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Gene Editing Products Are Novel And May Be Complex And Difficult To Manufacture. We Could Experience Manufacturing Problems Or Regulatory Requirements That Result In Delays In The Development, Approval Or Commercialization Of Our Product Candidates Or Otherwise Harm Our Business.</w:t>
      </w:r>
    </w:p>
    <w:p>
      <w:pPr>
        <w:spacing w:after="0" w:line="6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manufacturing process used to produce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engineered cell therapies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genome editing products based on CRISPR/Cas9 genome editing technology are novel, may be complex, and there is limited industry experience implementing and executing such processes to meet clinical and commercial production demand. Several factors could cause production interruptions, including inability to develop novel manufacturing processes, equipment malfunctions, facility contamination, raw material shortages or contamination, natural disasters, including pandemics, disruption in utility services, human error or disruptions in the operations of our suppliers, including acquisition of a supplier by a third party or declaration of bankruptcy. The expertise required to manufacture these product candidates may be unique to a particular third-party contract manufacturing organization, and as a result, it would be difficult and time consuming to find an alternative third-party contract manufacturing organization. Failure or process defects in any of the interrelated systems at either our manufacturing facility or those of our third-party manufacturers, could adversely impact our ability to manufacture and supply cell therapy product candidates and certain components thereof intended for research, clinical and, if approved, commercial production. In addition, we may rely on third-party contract manufacturers outside the United States for certain components of our product candidates, and may be subject to importation regulations that may affect our ability to manufacture or increase the cost of our product candidates.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will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will perform in the intended manner. Accordingly, we will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or other supply disruptions. If microbial, viral or other contaminations are discovered in our product candidates or in the manufacturing facilities in which our product candidates are made, production at such manufacturing facilities may be interrupted for an extended period of time to investigate and remedy the contamination. We may encounter problems achieving adequate quantities and quality of clinical grade materials that meet FDA, the EMA or other applicable standards or specifications with consistent and acceptable production yields and costs.</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 the EMA and other health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Lot failures could cause us to delay product launches or clinical trials and we may need to conduct product recalls, all of which could be costly to us and otherwise harm our business, financial condition, results of operations and prospects. Problems in our manufacturing process could restrict our ability to meet market demand for our products.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also may encounter problems hiring and retaining directly or through third-party contract manufacturing organizations the experienced scientific, quality assurance, quality control and manufacturing personnel needed to operate our manufacturing processes, which could result in delays in production or difficulties in maintaining compliance with applicable regulatory requirements. Any problems in our supply chain, manufacturing process or facilities could result in delays in planned clinical trials and increased costs, and could make us a less attractive collaborator for potential partners, including larger pharmaceutical companies and academic research institutions, which could limit our access to additional attractive development programs. Problems in our manufacturing process could restrict our ability to meet potential future market demand for products.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0" w:name="page71"/>
    <w:bookmarkEnd w:id="70"/>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partner, Vertex, is the manufacturer and exclusive license holder of CASGEVY. For additional information regarding the manufacture of CASGEVY, please see “</w:t>
      </w:r>
      <w:r>
        <w:rPr>
          <w:rFonts w:ascii="Times New Roman" w:cs="Times New Roman" w:eastAsia="Times New Roman" w:hAnsi="Times New Roman"/>
          <w:sz w:val="18"/>
          <w:szCs w:val="18"/>
          <w:i w:val="1"/>
          <w:iCs w:val="1"/>
          <w:color w:val="auto"/>
        </w:rPr>
        <w:t>Risk Factors—Risks Related to Our Relationships with Third Parties—We Have Partnered With Vertex On Our Lead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CASGEVY; Vertex Has Significant Control Over The CAGEVY Program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Manufacturing Facilities For Our Product Candidates Are Subject To Rigorous Regulations And Failure To Obtain Or Maintain Regulatory Approvals Or Operate In Line With Established cGMPs And International Best Practices Could Delay Or Impair Our Ability To Commercialize Our Product Candidates.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the third-party manufacturers of our product candidates are subject to applicable regulatory requirements, known as current Good Manufacturing Practice, or cGMPs, prescribed by the FDA and other rules and regulations prescribed by the EMA and other regulatory authorities. To obtain FDA and EMA approval for our product candidates in the United States, Europe and other regions around the world, we need to undergo strict pre-approval inspections of our or our third-party manufacturing facilities. When inspecting our or our contractors' manufacturing facilities, the FDA, EMA or other regulatory authorities might cite cGMP deficiencies, both minor and significant, which we may not be required to disclose. Remediating deficiencies can be laborious and costly and consume significant periods of time. Moreover, if the FDA, EMA or other regulatory authority notes deficiencies as a result of its inspection, it will generally reinspect the facility to determine if the deficiency has been remediated to its satisfaction. The FDA, EMA or other regulatory authority may note further deficiencies as a result of its reinspection, either related to the previously identified deficiency or otherwise. If we or the manufacturers of our product candidates cannot satisfy the FDA, EMA and other regulatory authorities as to compliance with cGMP on a timely basis, marketing approval for our product candidates could be seriously delayed, which in turn would delay commercialization of our product candidates.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Are Subject To Regulatory And Operational Risks Associated With Our Internal Manufacturing Facility.</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an approximately 50,000 square foot cell therapy manufacturing facility in Framingham, Massachusetts intended for clinical and commercial production of our product candidates and certain components thereof for certain of our programs. We are following cGMP processes necessary to release product for certain of our clinical trials and meet all requirements from regulatory agencies, including the FDA, to allow us to support research, clinical and commercial production of our wholly-owned cell therapy product candidates and certain components thereof for certain of our programs. We can provide no assurances that we will be able to support or operate our facility to support our intended internal manufacturing capabilities and/or needs or comply with regulatory agency requirements. While the design of our facility is based on current standards for biotechnology facilities, the facility has not yet been inspected by any regulatory agency such as the FDA. In constructing our facility in Framingham, Massachusetts, we have incurred substantial expenditures, and expect to incur significant additional expenditures operating our facility in the future.</w:t>
      </w:r>
    </w:p>
    <w:p>
      <w:pPr>
        <w:spacing w:after="0" w:line="19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We Expect To Rely On Third Parties To Manufacture Our Clinical Product Supplies, And We Intend To Rely On Third Parties For At Least A Portion Of The Manufacturing Process Of Our Product Candidates. Our Business Could Be Harmed If The Third Parties Experience Supply Chain Shortages, Fail To Provide Us With Sufficient Quantities Of Product Inputs Or Fail To Do So At Acceptable Quality Levels Or Prices. Our Third-Party Contract Manufacturing Partners Are Subject To Regulatory And Operational Risks.</w:t>
      </w:r>
    </w:p>
    <w:p>
      <w:pPr>
        <w:spacing w:after="0" w:line="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Although we have established internal manufacturing capabilities and have established our own cell therapy manufacturing facility, we still rely on outside vendors to manufacture supplies and process our product candidates in connection with any clinical trial we undertake of such product candidates. We have not yet caused any product candidates to be manufactured or processed on a commercial scale and may not be able to do so for any of our product candidates. We will make changes as we work to optimize the manufacturing process, and we cannot be sure that even minor changes in the process will result in therapies that are safe and effective.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to manufacture our product candidates must be evaluated by the FDA, or other regulatory agencies in other jurisdictions, pursuant to inspections that will be conducted after we submit an application to the FDA or other regulatory agencies. We may not control the manufacturing process of, and will be completely dependent on, our contract manufacturing partners for compliance with regulatory requirements, known as cGMP requirements, for manufacture of our product candidates, as well as critical components for such product candidates. If our third-party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or regulatory authorities may cite them for deficiencies, and we may not be able to obtain or may be delayed in obtaining regulatory approval from the FDA or other regulatory authorities for our product candidates. In addition, we have no direct control over the ability of our third-party contract manufacturers to maintain adequate quality control, quality assurance and qualified personnel. If the FDA or a comparable regulatory authority does not approve these facilities or cites these facilities for deficiencies for the manufacture of our product candidates or if it withdraws any such approval or cites deficiencies in the future, we may need to find alternative manufacturing facilities, which would significantly impact our ability to develop, obtain regulatory approval for or market our product candidates, if approved. In addition, if our third-party contract manufacturers are unable to timely perform or become distracted as a result of actions taken by the FDA or a comparable regulatory authority, we may experience manufacturing delays or may need to find alternative manufacturing facilities,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which in each case, would significantly impact our ability to develop, obtain regulatory approval for or market our product candidates, if approved.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reliance on a limited number of third-party manufacturers exposes us to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w:t>
      </w:r>
    </w:p>
    <w:p>
      <w:pPr>
        <w:spacing w:after="0" w:line="63" w:lineRule="exact"/>
        <w:rPr>
          <w:rFonts w:ascii="Times New Roman" w:cs="Times New Roman" w:eastAsia="Times New Roman" w:hAnsi="Times New Roman"/>
          <w:sz w:val="18"/>
          <w:szCs w:val="18"/>
          <w:color w:val="auto"/>
        </w:rPr>
      </w:pPr>
    </w:p>
    <w:p>
      <w:pPr>
        <w:ind w:left="1020" w:right="840" w:hanging="503"/>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manufacturer would have to be educated in, or develop substantially equivalent processes for, the production of our product candidates;</w:t>
      </w:r>
    </w:p>
    <w:p>
      <w:pPr>
        <w:spacing w:after="0" w:line="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manufacturers or certain changes in manufacturing processes/procedures will require that we conduct a manufacturing comparability study to verify that any new manufacturer or manufacturing process/procedures will produce our product candidate according to the specifications previously submitted to the FDA or other regulatory authority, and such study may be unsuccessful;</w:t>
      </w:r>
    </w:p>
    <w:p>
      <w:pPr>
        <w:spacing w:after="0" w:line="13" w:lineRule="exact"/>
        <w:rPr>
          <w:rFonts w:ascii="Times New Roman" w:cs="Times New Roman" w:eastAsia="Times New Roman" w:hAnsi="Times New Roman"/>
          <w:sz w:val="18"/>
          <w:szCs w:val="18"/>
          <w:color w:val="auto"/>
        </w:rPr>
      </w:pPr>
    </w:p>
    <w:p>
      <w:pPr>
        <w:ind w:left="1020" w:right="380" w:hanging="503"/>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 manufacturers might be unable to timely manufacture our product candidates or produce the quantity and quality required to meet our clinical and commercial needs, if any;</w:t>
      </w:r>
    </w:p>
    <w:p>
      <w:pPr>
        <w:spacing w:after="0" w:line="1" w:lineRule="exact"/>
        <w:rPr>
          <w:rFonts w:ascii="Times New Roman" w:cs="Times New Roman" w:eastAsia="Times New Roman" w:hAnsi="Times New Roman"/>
          <w:sz w:val="18"/>
          <w:szCs w:val="18"/>
          <w:color w:val="auto"/>
        </w:rPr>
      </w:pPr>
    </w:p>
    <w:p>
      <w:pPr>
        <w:ind w:left="1020" w:right="280" w:hanging="503"/>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 manufacturers may not be able to execute our manufacturing procedures and other logistical support requirements appropriately;</w:t>
      </w:r>
    </w:p>
    <w:p>
      <w:pPr>
        <w:spacing w:after="0" w:line="1"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 manufacturers may not perform as agreed, may prioritize other customers, may not devote sufficient resources to our product candidates or may not remain in the contract manufacturing business for the time required to supply our clinical trials or commercial needs;</w:t>
      </w:r>
    </w:p>
    <w:p>
      <w:pPr>
        <w:spacing w:after="0" w:line="13"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and corresponding state agencies or other regulatory authority to ensure strict compliance with cGMP and other government regulations and corresponding foreign standards and we have no control over third-party manufacturers’ compliance with these regulations and standards;</w:t>
      </w:r>
    </w:p>
    <w:p>
      <w:pPr>
        <w:spacing w:after="0" w:line="13" w:lineRule="exact"/>
        <w:rPr>
          <w:rFonts w:ascii="Times New Roman" w:cs="Times New Roman" w:eastAsia="Times New Roman" w:hAnsi="Times New Roman"/>
          <w:sz w:val="18"/>
          <w:szCs w:val="18"/>
          <w:color w:val="auto"/>
        </w:rPr>
      </w:pPr>
    </w:p>
    <w:p>
      <w:pPr>
        <w:ind w:left="1020" w:right="320" w:hanging="503"/>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 manufacturers could breach or terminate their agreements with us;</w:t>
      </w:r>
    </w:p>
    <w:p>
      <w:pPr>
        <w:spacing w:after="0" w:line="63" w:lineRule="exact"/>
        <w:rPr>
          <w:rFonts w:ascii="Times New Roman" w:cs="Times New Roman" w:eastAsia="Times New Roman" w:hAnsi="Times New Roman"/>
          <w:sz w:val="18"/>
          <w:szCs w:val="18"/>
          <w:color w:val="auto"/>
        </w:rPr>
      </w:pPr>
    </w:p>
    <w:p>
      <w:pPr>
        <w:ind w:left="1020" w:right="140" w:hanging="503"/>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1" w:lineRule="exact"/>
        <w:rPr>
          <w:rFonts w:ascii="Times New Roman" w:cs="Times New Roman" w:eastAsia="Times New Roman" w:hAnsi="Times New Roman"/>
          <w:sz w:val="18"/>
          <w:szCs w:val="18"/>
          <w:color w:val="auto"/>
        </w:rPr>
      </w:pPr>
    </w:p>
    <w:p>
      <w:pPr>
        <w:ind w:left="1020" w:right="340" w:hanging="503"/>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 manufacturers and critical reagent suppliers may be subject to inclement weather, as well as natural or man-made disasters;</w:t>
      </w:r>
    </w:p>
    <w:p>
      <w:pPr>
        <w:spacing w:after="0" w:line="1" w:lineRule="exact"/>
        <w:rPr>
          <w:rFonts w:ascii="Times New Roman" w:cs="Times New Roman" w:eastAsia="Times New Roman" w:hAnsi="Times New Roman"/>
          <w:sz w:val="18"/>
          <w:szCs w:val="18"/>
          <w:color w:val="auto"/>
        </w:rPr>
      </w:pPr>
    </w:p>
    <w:p>
      <w:pPr>
        <w:ind w:left="1020" w:right="80" w:hanging="503"/>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 manufacturers may have unacceptable or inconsistent product quality success rates and yields, and we have no direct control over our contract manufacturers’ ability to maintain adequate quality control, quality assurance and qualified personnel; and</w:t>
      </w:r>
    </w:p>
    <w:p>
      <w:pPr>
        <w:spacing w:after="0" w:line="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 manufacturers may manufacture defective or otherwise dangerous products that could result in injury to consumers during clinical trials or once commercialized for sale to the public, if not discovered by us.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clinical trials or the approval of any of our product candidates by the FDA or other regulatory authorities, result in higher costs or adversely impact commercialization of our product candidates, if approved. In addition, we will rely on third parties to perform certain specification tests on our product candidates prior to delivery to patients. If these tests are not appropriately done and test data are not reliable, patients could be put at risk of serious harm and the FDA or other regulatory authority could place significant restrictions on our company until deficiencies are remedied.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Future Success Depends On Our Ability To Retain Key Executives And To Attract, Retain And Motivate Qualified Personnel.</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commercial and business development expertise of Dr. Samarth Kulkarni, our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The loss of the services of our executive officers or other key employees or consultants could impede the achievement of our research, development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300"/>
        <w:spacing w:after="0" w:line="282" w:lineRule="auto"/>
        <w:rPr>
          <w:sz w:val="20"/>
          <w:szCs w:val="20"/>
          <w:color w:val="auto"/>
        </w:rPr>
      </w:pPr>
      <w:r>
        <w:rPr>
          <w:rFonts w:ascii="Times New Roman" w:cs="Times New Roman" w:eastAsia="Times New Roman" w:hAnsi="Times New Roman"/>
          <w:sz w:val="18"/>
          <w:szCs w:val="18"/>
          <w:color w:val="auto"/>
        </w:rPr>
        <w:t>and commercialization objectives and seriously harm our ability to successfully implement our business strategy. If we are unable to retain high quality personnel, our ability to pursue our growth strategy will be limited.</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will also need to recruit and retain qualified scientific, clinical and commercial personnel as we advance the development of our product candidates and product pipeline. We may be unable to hire, train, retain or motivate these key personnel on acceptable terms given the competition among numerous pharmaceutical and biotechnology companies for similar personnel. We also experience competition for the hiring of scientific, clinical and commercial personnel from universities and research institutions. Failure to succeed in clinical trials may make it more challenging to recruit and retain qualified scientific personnel.</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Swiss Corporate Governance With Respect To Executive Compensation May Affect Our Business.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Swiss corporate law, among other things, (a) requires an annual binding shareholder “say on pay” vote with respect to the compensation of members of our executive management team and board of directors, (b) generally prohibits the making of severance, advance, transaction premiums and similar payments to members of our executive management and board of directors and (c) requires companies to specify various compensation-related matters in their articles of association, thus requiring them to be approved by a shareholders’ vote. At our annual general meetings, our shareholders are required to approve the maximum aggregate compensation of our board of directors and our executive management team. Swiss law further provides for criminal penalties against directors and members of executive management in case of non-compliance with certain of the requirements regarding compensation. Such provisions may negatively affect our ability to attract and retain executive management and members of our board of directors.</w:t>
      </w:r>
    </w:p>
    <w:p>
      <w:pPr>
        <w:spacing w:after="0" w:line="187" w:lineRule="exact"/>
        <w:rPr>
          <w:sz w:val="20"/>
          <w:szCs w:val="20"/>
          <w:color w:val="auto"/>
        </w:rPr>
      </w:pPr>
    </w:p>
    <w:p>
      <w:pPr>
        <w:ind w:right="7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2"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commercial partners, and principal investigators. Misconduct by these parties could include intentional failures to comply with FDA regulations or the regulations applicable in the EU and other jurisdictions, provide accurate information to the FDA, the European Commission, and other regulatory authorities, comply with healthcare fraud and abuse laws and regulations in the United States and in other jurisdictions,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and prospects,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1"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Comply With Environmental, Health And Safety Laws And Regulations, We Could Become Subject To Fines Or Penalties Or Incur Costs That Could Harm Our Business.</w:t>
      </w:r>
    </w:p>
    <w:p>
      <w:pPr>
        <w:spacing w:after="0" w:line="5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4"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Are At Risk of Product Liability And Other Product-Related Claims And Lawsuits, Which Could Cause Us To Incur Substantial Liabilities And Could Limit Commercialization Of Any Product Candidates That We May Develop.</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human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ind w:right="100"/>
        <w:spacing w:after="0" w:line="254" w:lineRule="auto"/>
        <w:rPr>
          <w:sz w:val="20"/>
          <w:szCs w:val="20"/>
          <w:color w:val="auto"/>
        </w:rPr>
      </w:pPr>
      <w:r>
        <w:rPr>
          <w:rFonts w:ascii="Times New Roman" w:cs="Times New Roman" w:eastAsia="Times New Roman" w:hAnsi="Times New Roman"/>
          <w:sz w:val="18"/>
          <w:szCs w:val="18"/>
          <w:color w:val="auto"/>
        </w:rPr>
        <w:t>and will face an even greater risk of claims and litigation relating to our products if and when we commercially sell any product candidates that we may develop. For example, we may be sued, or claims may be made against us, if our informed consents for subjects or patients in any clinical trials are or are alleged to be inadequate or inaccurate in any way or fail to fully inform subjects or patients of any potential risks involved with their participation or other material or required information. We may also be sued, or claims may be made against us, if our product candidates cause or are perceived or alleged to cause injury, or even death, or are found to be otherwise unsuitable during clinical trials, manufacturing, marketing or after sale and use by consumers or when used in conjunction with other medications, even if recommended for such use. Any such product liability claims may include, without limitation, allegations of defects in manufacturing, defects in design, a failure to warn of dangers inherent in the product, negligence, strict liability, fraud/misrepresentation, inadequate labeling, marketing, or promotional claims or a breach of warranties, among other claims. Claims could also be asserted under state consumer protection laws, common law, or other statutes or regulations.</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or other claims relating to our products, including without limitation that our products caused injuries or death, we could incur substantial liabilities or be required to limit commercialization of our product candidates, as well as risk corresponding regulatory enforcement action. Even successful defense would require significant financial and management resources. Even if our agreements with any past or future corporate collaborators entitle us to indemnification in whole or in part against losses, such indemnification may not be available or adequate should any claim arise. Regardless of merit or eventual outcome, liability claims may result in, among other things:</w:t>
      </w:r>
    </w:p>
    <w:p>
      <w:pPr>
        <w:spacing w:after="0" w:line="7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a decline in price for any product candidates that we may develop;</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enroll future participants;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regulatory authorities or other regulatory actions or proceedings;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packaging, marketing or promotional modifications or restrictions;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have obtained product liability insurance coverage, it may not be adequate to cover all liabilities that we may incur. Further, we anticipate that we will need to increase our insurance coverage if we successfully commercialize any product candidate. Insurance coverage is increasingly expensive. We may not be able to maintain insurance coverage at a reasonable cost or in an amount adequate to satisfy any liability that may arise. We may have to pay any amounts awarded by a court or negotiated in a settlement that exceed our coverage limitations or that are not covered by our insurance, or under any indemnification agreements with collaborators, and we may not have, or be able to obtain, sufficient capital to pay such amounts.</w:t>
      </w:r>
    </w:p>
    <w:p>
      <w:pPr>
        <w:spacing w:after="0" w:line="181"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Establish And Maintain Proper And Effective Internal Control Over Financial Reporting, Our Operating Results And Our Ability To Operate Our Business Could Be Harmed.</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We are required to comply with the requirements of The Sarbanes-Oxley Act of 2002, or SOX, which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and our independent public accounting firm to report on the effectiveness of our internal control over financial reporting, as required by Section 404 of SOX. Our testing, or the subsequent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identify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 management resources.</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continue to invest in more robust technology and in more resources in order to manage those reporting requirements. Implementing the appropriate changes to our internal controls may distract our officers and employees, result in substantial costs if we implement new processes or modify our existing processes and require significant time to complete. Any difficulties or delays in implementing these controls could impact our ability to timely report our financial results. In addition, we currently rely on a manual process in some areas which increases our exposure to human error or intervention in reporting our financial results. For these reasons, we may encounter difficulties in the timely and accurate reporting of our financial results, which would impact our ability to provide our investors with information in a timely manner. As a result, our investors could lose confidence in our reported financial information, and our stock price could decline.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any such changes do not guarantee that we will be effective in maintaining the adequacy of our internal controls,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and any failure to maintain that adequacy could prevent us from accurately reporting our financial results. Also, please see,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Security and Data Privacy--Our Internal Computer Systems, Or Those Of Our Collaborators Or Other Contractors Or Consultants, May Fail Or Suffer Security Breaches, Which Could Result In A Material Disruption Of Our Product Development Programs.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Operations Have a Substantial International Footprint and We May Further Expand In The Future, Which Presents Challenges In Managing Our Business Operations.</w:t>
      </w:r>
    </w:p>
    <w:p>
      <w:pPr>
        <w:spacing w:after="0" w:line="5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headquartered in Zug, Switzerland and have offices in the United States. In addition, we may expand our international operations into other countries in the future. While we have acquired significant management and other personnel with substantial experience, conducting our business in multiple countries subjects us to a variety of risks and complexities that may materially and adversely affect our business, results of operations, financial condition and growth prospects, including, among other things:</w:t>
      </w:r>
    </w:p>
    <w:p>
      <w:pPr>
        <w:spacing w:after="0" w:line="72"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and costs inherent in managing international operations;</w:t>
      </w:r>
    </w:p>
    <w:p>
      <w:pPr>
        <w:spacing w:after="0" w:line="63" w:lineRule="exact"/>
        <w:rPr>
          <w:rFonts w:ascii="Times New Roman" w:cs="Times New Roman" w:eastAsia="Times New Roman" w:hAnsi="Times New Roman"/>
          <w:sz w:val="18"/>
          <w:szCs w:val="18"/>
          <w:color w:val="auto"/>
        </w:rPr>
      </w:pPr>
    </w:p>
    <w:p>
      <w:pPr>
        <w:ind w:left="520" w:right="60" w:hanging="512"/>
        <w:spacing w:after="0" w:line="28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diverse regulatory, financial and legal requirements, and any future changes to such requirements, in one or more countries where we are located or do business;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country-specific tax, labor and employment laws and regulations;</w:t>
      </w:r>
    </w:p>
    <w:p>
      <w:pPr>
        <w:spacing w:after="0" w:line="63" w:lineRule="exact"/>
        <w:rPr>
          <w:rFonts w:ascii="Times New Roman" w:cs="Times New Roman" w:eastAsia="Times New Roman" w:hAnsi="Times New Roman"/>
          <w:sz w:val="18"/>
          <w:szCs w:val="18"/>
          <w:color w:val="auto"/>
        </w:rPr>
      </w:pPr>
    </w:p>
    <w:p>
      <w:pPr>
        <w:ind w:left="520" w:right="820" w:hanging="512"/>
        <w:spacing w:after="0" w:line="28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activities of, or related to, our international operations or product candidates;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rates;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data security and the unauthorized use of, or access to, commercial and personal information.</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continue to expand our operations, and our corporate structure and tax structure is complex. In connection with our current and future potential partnerships, we are actively engaged in developing and applying technologies and intellectual property with a view toward commercialization of products globally, often with commercialization partners. In connection with those activities, we already have and will likely continue to engage in complex cross-border and global transactions involving our technology, intellectual property and other assets, between us and other entities such as partners and licensees, and between us and our subsidiaries. Such cross-border and global arrangements are both difficult to manage and can potentially give rise to complexities in areas such as tax treatment, particularly since we are subject to multiple tax regimes and different tax authorities can also take different views from each other, even as regards the same cross-border transaction or arrangement. There can be no assurance that we will effectively manage this increased complexity without experiencing operating inefficiencies, control deficiencies or tax liabilities. Significant management time and effort is required to effectively manage the increased complexity of our company, and our failure to successfully do so could have a material adverse effect on our business, financial condition, results of operations and growth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7"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Obtain, Maintain Or Protect Intellectual Property Rights Related to Our Proprietary Gene Editing Technology And Product Candidates, We May Not Be Able To Compete Effectively In Our Markets.</w:t>
      </w:r>
    </w:p>
    <w:p>
      <w:pPr>
        <w:spacing w:after="0" w:line="52"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proprietary or intellectual property protection in the United States and other jurisdictions with respect to our gene editing and other technologies, including CRISPR/Cas9 platform technology, and any proprietary product candidates we develop. We seek to develop, maintain and protect our proprietary position and intellectual property that is important to our business by relying upon a combination of know-how, technological innovation and intellectual property rights, including patent rights and trade secret protection, as well as entering into confidentiality agreements and in-licensing arrangements.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Like other companies in the biotech and pharmaceutical sector, obtaining or maintaining adequate patent protection for our proprietary technologies and product candidates is key to our success. Presently we have rights to certain intellectual property, through licenses from third parties and under patent rights that we own, to develop our gene editing and other technologies and product candidates. For example, through our 2014 exclusive license with Dr. Charpentier, we exclusively license certain rights to a worldwide patent portfolio, including granted or allowed patents, as well as pending patent applications, which covers various aspects of our gene editing platform technology, including, for example, compositions of matter (e.g., CRISPR/Cas9 systems), and methods of use, including the use of a CRISPR/Cas9 system for gene editing. In addition, we have filed numerous patent applications covering key aspects of our CRISPR/Cas9 platform technology and gene editing and other technologies and product candidates, which cover various aspects of our development programs, including, for example, compositions of matter, as well as methods of making and using.</w:t>
      </w:r>
    </w:p>
    <w:p>
      <w:pPr>
        <w:spacing w:after="0" w:line="8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generally, and the gene-editing field in particular, involves complex legal and scientific questions and can be uncertain. Changes in either the patent laws or their interpretation in the United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75" w:name="page76"/>
    <w:bookmarkEnd w:id="75"/>
    <w:p>
      <w:pPr>
        <w:spacing w:after="0" w:line="254" w:lineRule="auto"/>
        <w:rPr>
          <w:sz w:val="20"/>
          <w:szCs w:val="20"/>
          <w:color w:val="auto"/>
        </w:rPr>
      </w:pPr>
      <w:r>
        <w:rPr>
          <w:rFonts w:ascii="Times New Roman" w:cs="Times New Roman" w:eastAsia="Times New Roman" w:hAnsi="Times New Roman"/>
          <w:sz w:val="18"/>
          <w:szCs w:val="18"/>
          <w:color w:val="auto"/>
        </w:rPr>
        <w:t xml:space="preserve">States and other countries may diminish our ability to protect our intellectual property, obtain, maintain, defend and enforce our intellectual property rights and, more generally, could affect the value of our intellectual property or narrow the scope of our owned and in-licensed patents. We cannot offer any assurances about which, if any, patent rights that we own or in-license will issue, the breadth of any such patent rights, whether the patent applications we and our licensors are currently pursuing will issue as patents in any particular jurisdiction or whether the claims of any issued patents will provide sufficient protection from competitors, or if any such patents will be found invalid, unenforceable or not infringed if challenged by our competitors. See, for example, generally </w:t>
      </w:r>
      <w:r>
        <w:rPr>
          <w:rFonts w:ascii="Times New Roman" w:cs="Times New Roman" w:eastAsia="Times New Roman" w:hAnsi="Times New Roman"/>
          <w:sz w:val="18"/>
          <w:szCs w:val="18"/>
          <w:i w:val="1"/>
          <w:iCs w:val="1"/>
          <w:color w:val="auto"/>
        </w:rPr>
        <w:t>“Risk Factors —Risks Related to Intellectual Property—The Intellectual Property Landscape Around Gene Editing Technology,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CRISPR/Cas9, Is Highly Dynamic, And Third Parties May Initiate And Prevail In Legal Proceedings Alleging That The Patents That We In-License Or Own Are Invalid Or That We Are Infringing, Misappropriating, Or Otherwise Violating Their Intellectual Property Rights, The Outcome Of Which Would Be Uncertain And Could Have A Material Adverse Effect On The Success Of Our Business.”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patent prosecution process is expensive, time-consuming, and complex, and we may not be able to file, prosecute, maintain, enforce, or license all necessary or desirable patent applications at a reasonable cost or in a timely manner. Given the amount of time required for the development, testing and regulatory review of new product candidates, or if we encounter delays in our clinical trials, patents protecting our product candidates might expire before or shortly after such candidates are commercialized.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research organizations, contract manufacturers, consultants advisors, and other third parties, any of these parties may breach the agreements and disclose such output before a patent application is filed, thereby jeopardizing our ability to seek patent protection. See, for example, </w:t>
      </w:r>
      <w:r>
        <w:rPr>
          <w:rFonts w:ascii="Times New Roman" w:cs="Times New Roman" w:eastAsia="Times New Roman" w:hAnsi="Times New Roman"/>
          <w:sz w:val="18"/>
          <w:szCs w:val="18"/>
          <w:i w:val="1"/>
          <w:iCs w:val="1"/>
          <w:color w:val="auto"/>
        </w:rPr>
        <w:t>“Risk Factors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Intellectual Property—If We Are Unable To Protect The Confidentiality Of Our Trade Secrets And Other Proprietary Information, Our Business And Competitive Position Would Be Harmed.”</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pending and future patent applications or the patent applications that we obtain rights to through in-licensing arrangements may not result in patents being issued which protect our technology or future product candidates, in whole or in part, or which effectively prevent others from commercializing competitive technologies and products. Moreover, the ultimate outcome of any pending or allowed patent application or granted patent is uncertain and the coverage claimed in a patent application can be significantly reduced before the patent is issued, and its scope can be reinterpreted after issuance. Even if patent applications we license or own currently in the future issue as patents, they may not issue in a form that will provide us with any meaningful protection, prevent competitors or other third parties from competing with us, or otherwise provide us with any competitive advantage. Further, the laws of some foreign countries do not protect proprietary rights to the same extent or in the same manner as the laws of the United States. See, for example, </w:t>
      </w:r>
      <w:r>
        <w:rPr>
          <w:rFonts w:ascii="Times New Roman" w:cs="Times New Roman" w:eastAsia="Times New Roman" w:hAnsi="Times New Roman"/>
          <w:sz w:val="18"/>
          <w:szCs w:val="18"/>
          <w:i w:val="1"/>
          <w:iCs w:val="1"/>
          <w:color w:val="auto"/>
        </w:rPr>
        <w:t>“Risk Factors —Risks Related to Intellectual Property—We May Not Be Able To Protect Our Intellectual Property And Proprietary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Throughout The World.” </w:t>
      </w:r>
      <w:r>
        <w:rPr>
          <w:rFonts w:ascii="Times New Roman" w:cs="Times New Roman" w:eastAsia="Times New Roman" w:hAnsi="Times New Roman"/>
          <w:sz w:val="18"/>
          <w:szCs w:val="18"/>
          <w:color w:val="auto"/>
        </w:rPr>
        <w:t>As a result, we may encounter significant problems in protecting and defending our intellectual property both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abroad. If we or our licensors are unable to obtain or maintain patent protection with respect to our CRISPR/Cas9 platform technology and any proprietary products and technology we develop, our business, financial condition, results of operations and prospects could be materially harmed.</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growth of our business, including use of our gene editing technology and continued development of our product candidates, could depend in part on our ability to acquire, in-license, or use proprietary rights held by third parties. We may be unable to maintain such intellectual property rights from third parties or acquire or in-license such intellectual property rights from third parties that we identify in the future. See, for example,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Risks Related to Intellectual Property— Our Rights To Develop And Commercialize Our Technology And Product Candidates Are Subject, In Part, To The Terms And Conditions Of Licenses Granted To Us By Others.” </w:t>
      </w:r>
      <w:r>
        <w:rPr>
          <w:rFonts w:ascii="Times New Roman" w:cs="Times New Roman" w:eastAsia="Times New Roman" w:hAnsi="Times New Roman"/>
          <w:sz w:val="18"/>
          <w:szCs w:val="18"/>
          <w:color w:val="auto"/>
        </w:rPr>
        <w:t>Companies that perceive us to be a competitor may be unwilling to assign or license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us. We also may be unable to license or acquire third-party intellectual property rights on terms that would allow us to make an appropriate return on our investment. We also rely on trade secret protection and confidentiality agreements to maintain our competitive position and to protect our technology, unpatented proprietary know-how, including processes for which patents are difficult to enforce, as well as other proprietary and confidential information.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See, for example, </w:t>
      </w:r>
      <w:r>
        <w:rPr>
          <w:rFonts w:ascii="Times New Roman" w:cs="Times New Roman" w:eastAsia="Times New Roman" w:hAnsi="Times New Roman"/>
          <w:sz w:val="18"/>
          <w:szCs w:val="18"/>
          <w:i w:val="1"/>
          <w:iCs w:val="1"/>
          <w:color w:val="auto"/>
        </w:rPr>
        <w:t>“Risk Factors —Risks Related to Intellectual Property— If We Are Unable To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And Other Proprietary Information, Our Business And Competitive Position Would Be Harmed.”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outcomes could impair our ability to prevent competition from third parties, which may have an adverse impact on our business.</w:t>
      </w:r>
    </w:p>
    <w:p>
      <w:pPr>
        <w:spacing w:after="0" w:line="223"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Issued Patents Covering Our Technology And Product Candidates Could Be Found Invalid Or Unenforceable If Challenged In Court or Before The USPTO Or Comparable Foreign Authority.</w:t>
      </w:r>
    </w:p>
    <w:p>
      <w:pPr>
        <w:spacing w:after="0" w:line="5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Additionally, the issuance of a patent is not conclusive as to its inventorship or ownership, scope, validity or enforceability and our owned and in-licensed patents may be challenged in the courts or patent offices in the United States and in other jurisdictions by third parties, including competitors. There is a substantial amount of litigation as well as administrative proceedings for challenging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patents and other intellectual property rights in the biotechnology and pharmaceutical industries, including the CRISPR/Cas9 space. See, for example, </w:t>
      </w:r>
      <w:r>
        <w:rPr>
          <w:rFonts w:ascii="Times New Roman" w:cs="Times New Roman" w:eastAsia="Times New Roman" w:hAnsi="Times New Roman"/>
          <w:sz w:val="18"/>
          <w:szCs w:val="18"/>
          <w:i w:val="1"/>
          <w:iCs w:val="1"/>
          <w:color w:val="auto"/>
        </w:rPr>
        <w:t xml:space="preserve">“Risk Factors —Risks Related to Intellectual Property—The Intellectual Property Landscape Around Gene Editing Technology, Including CRISPR/Cas9, Is Highly Dynamic, And Third Parties May Initiate And Prevail In Legal Proceedings Alleging That The Patents That We In-License Or Own Are Invalid Or That We Are Infringing, Misappropriating, Or Otherwise Violating Their Intellectual Property Rights, The Outcome Of Which Would Be Uncertain And Could Have A Material Adverse Effect On The Success Of Our Business.” </w:t>
      </w:r>
      <w:r>
        <w:rPr>
          <w:rFonts w:ascii="Times New Roman" w:cs="Times New Roman" w:eastAsia="Times New Roman" w:hAnsi="Times New Roman"/>
          <w:sz w:val="18"/>
          <w:szCs w:val="18"/>
          <w:color w:val="auto"/>
        </w:rPr>
        <w:t>Consequently, we do not know whether any of our technology advances,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 respect to our gene editing platform, and product candidates will be protectable or remain protected by valid and enforceable patents. If the breadth or strength of protection provided by the patents or patent applications we hold is threatened, this could dissuade companies from collaborating with us to develop, and could threaten our ability to commercialize, product candidates or provide us with sufficient rights to exclude others from commercializing products similar or identical to ours.</w:t>
      </w:r>
    </w:p>
    <w:p>
      <w:pPr>
        <w:spacing w:after="0" w:line="80"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Competitors may claim that they invented the inventions claimed in such issued patents or patent applications prior to our inventors, or may have filed patent applications before our inventors did. Competitors may also claim that our products and technology infringe its patents and that we therefore cannot practice our technology as claimed under our patent applications, if issued.</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Competitors may also contest our patents, if issued, by showing that the invention was not patent-eligible, was not novel, was obvious or that the patent claims failed any other requirement for patentability. An adverse determination in any such submission, proceeding, claim or litigation could reduce the scope of or invalidate our patent rights or allow third parties to commercialize our technology or products and compete directly with us, without payment to us.</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For example, we cannot be certain that all of the potentially relevant prior art relating to our wholly-owned and in-licensed patents and patent applications has been found. Third parties can raise challenges to the patentability or validity of our owned or in-licensed patents and patent applications, such as third-party observations and oppositions before administrative bodies in the United States or in other jurisdictions, even outside the context of litigation.</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and such challenges, after exhausting available appeals, may result in loss of exclusivity or freedom to operate or in patent claims being narrowed, revoked, withdrawn, invalidated or held unenforceable, in whole or in part, which could limit our ability to practice the invention or stop others from using or commercializing similar or identical technology and products, or limit the duration of the patent protection of our technology and products.</w:t>
      </w:r>
    </w:p>
    <w:p>
      <w:pPr>
        <w:spacing w:after="0" w:line="7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a third party were to prevail on a legal assertion of invalidity or unenforceability, we would lose at least part, and perhaps all, of the patent protection on our technology or platform, or any product candidates that we may develop. Such a loss of patent protection could have a material adverse impact on our business, financial condition, results of operations, and prospects.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If we or one of our licensors initiated legal proceedings against a third party to enforce a patent covering a product candidate we may develop or have developed or our technology, including CRISPR/Cas9 platform technology, the defendant could counterclaim that such patent is invalid or unenforceable. In patent litigation in the United States, defendant counterclaims alleging invalidity or unenforceability are commonplace, and there are numerous grounds upon which a third party can assert invalidity or unenforceability of a patent. Third parties may also raise similar claims before administrative bodies in the United States or other jurisdictions,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and equivalent proceedings in foreign jurisdictions, such as oppositions or derivation proceedings.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Moreover, we, or one of our licensors, may have to participate in interference proceedings declared by the USPTO to determine priority of invention or in post-grant challenge proceedings in the United States or other countries that challenge priority of invention or other features of patentability of our owned or in-licensed patents or patent applications. See, for example, </w:t>
      </w:r>
      <w:r>
        <w:rPr>
          <w:rFonts w:ascii="Times New Roman" w:cs="Times New Roman" w:eastAsia="Times New Roman" w:hAnsi="Times New Roman"/>
          <w:sz w:val="18"/>
          <w:szCs w:val="18"/>
          <w:i w:val="1"/>
          <w:iCs w:val="1"/>
          <w:color w:val="auto"/>
        </w:rPr>
        <w:t>“Risk Factors —Risks Related to Intellectual Property— Third-party Claims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Overlapping Intellectual Property Rights May Prevent Or Delay Our Product Discovery and Development Efforts.” </w:t>
      </w:r>
      <w:r>
        <w:rPr>
          <w:rFonts w:ascii="Times New Roman" w:cs="Times New Roman" w:eastAsia="Times New Roman" w:hAnsi="Times New Roman"/>
          <w:sz w:val="18"/>
          <w:szCs w:val="18"/>
          <w:color w:val="auto"/>
        </w:rPr>
        <w:t>Such challenges may result in loss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rights, loss of exclusivity or freedom to operate, or in patent claims being narrowed, revoked, withdrawn,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if they are unchallenged, our owned and in-licensed patents and patent applications may not adequately protect our intellectual property, provide exclusivity for our product candidates or prevent others from designing around our claims. The loss of exclusivity or the narrowing of our patent claims could limit our ability to stop others from using or commercializing similar or identical technology and products. Our competitors or other third parties may be able to circumvent our patents by developing similar or alternative technologies or products in a non-infringing manner. For example, we are aware that third parties are using the CRISPR technology in conjunction with a protein other than Cas9, and our owned and in-licensed patents may not cover such technology. The availability of our competitors’ products could limit the demand, and the price we are able to charge, for any products that we may develop and commercialize. Any of the foregoing could result in a material adverse effect on our business, financial condition, results of operations, or prospects, including if our competitors commercialize the CRISPR technology in conjunction with a protein other than Cas9.</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Intellectual Property Landscape Around Gene Editing Technology, Including CRISPR/Cas9, Is Highly Dynamic, And Third Parties May Initiate And Prevail In Legal Proceedings Alleging That The Patents That We In-License Or Own Are Invalid Or That We Are Infringing, Misappropriating, Or Otherwise Violating Their Intellectual Property Rights, The Outcome Of Which Would Be Uncertain And Could Have A Material Adverse Effect On The Success Of Our Business.</w:t>
      </w:r>
    </w:p>
    <w:p>
      <w:pPr>
        <w:spacing w:after="0" w:line="7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The field of gene editing, especially in the area of gene editing technology, is still in its infancy.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and may in the future become party to, or threatened with, adversarial proceedings or litigation regarding intellectual property rights with respect to our technology and any product candidates we may develop, including re-examinations, interference proceedings,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before the USPTO and similar proceedings in other jurisdictions such as oppositions before the European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Patent Office. See, for example, </w:t>
      </w:r>
      <w:r>
        <w:rPr>
          <w:rFonts w:ascii="Times New Roman" w:cs="Times New Roman" w:eastAsia="Times New Roman" w:hAnsi="Times New Roman"/>
          <w:sz w:val="18"/>
          <w:szCs w:val="18"/>
          <w:i w:val="1"/>
          <w:iCs w:val="1"/>
          <w:color w:val="auto"/>
        </w:rPr>
        <w:t>“Risk Factors —Risks Related to Intellectual Property—Third-party Claims Of Overlapping Intellectual Property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May Prevent Or Delay Our Product Discovery and Development Efforts.” </w:t>
      </w:r>
      <w:r>
        <w:rPr>
          <w:rFonts w:ascii="Times New Roman" w:cs="Times New Roman" w:eastAsia="Times New Roman" w:hAnsi="Times New Roman"/>
          <w:sz w:val="18"/>
          <w:szCs w:val="18"/>
          <w:color w:val="auto"/>
        </w:rPr>
        <w:t>Third parties may assert infringement claims against us based on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patents or patents that may be granted in the future, regardless of their merit. If we are found to infringe such third-party patents, we and our partners may be required to pay damages, cease commercialization of the infringing technology, including our core CRISPR/Cas9 gene editing technology, or obtain a license from such third parties, which may not be available on commercially reasonable terms or at all. See, for example, </w:t>
      </w:r>
      <w:r>
        <w:rPr>
          <w:rFonts w:ascii="Times New Roman" w:cs="Times New Roman" w:eastAsia="Times New Roman" w:hAnsi="Times New Roman"/>
          <w:sz w:val="18"/>
          <w:szCs w:val="18"/>
          <w:i w:val="1"/>
          <w:iCs w:val="1"/>
          <w:color w:val="auto"/>
        </w:rPr>
        <w:t>“Risk Factors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Property—Third-party Claims Of Intellectual Property Infringement Against Us, Our Licensors Or Our Collaborators May Prevent Or Delay Our Product Discovery and Development Efforts.”</w:t>
      </w:r>
    </w:p>
    <w:p>
      <w:pPr>
        <w:spacing w:after="0" w:line="8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infringement, validity, enforceability, ownership, or priority. A court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Claims that we have misappropriated the confidential information or trade secrets of third parties could have a similar material adverse effect on our business, financial condition, results of operations, and prospects.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Defense of these claims, regardless of their merit, would involve substantial litigation expense, would be a substantial diversion of management and other employee resources from our business and may impact our reputation. See for example </w:t>
      </w:r>
      <w:r>
        <w:rPr>
          <w:rFonts w:ascii="Times New Roman" w:cs="Times New Roman" w:eastAsia="Times New Roman" w:hAnsi="Times New Roman"/>
          <w:sz w:val="18"/>
          <w:szCs w:val="18"/>
          <w:i w:val="1"/>
          <w:iCs w:val="1"/>
          <w:color w:val="auto"/>
        </w:rPr>
        <w:t>“Risk Factors —Risks Related to 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Litigation Could Cause Us To Spend Substantial Resources And Distract Our Personnel From Their Normal Responsibilities.”</w:t>
      </w:r>
    </w:p>
    <w:p>
      <w:pPr>
        <w:spacing w:after="0" w:line="174"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Third-party Claims Of Intellectual Property Infringement Against Us, Our Licensors Or Our Collaborators May Prevent Or Delay Our Product Discovery and Development Efforts.</w:t>
      </w:r>
    </w:p>
    <w:p>
      <w:pPr>
        <w:spacing w:after="0" w:line="5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Third parties may own intellectual property, including patents, that cover all or aspects of our technologies and potential products and product candidates, and such intellectual property may be necessary for us to develop or commercialize viable products. Our commercial success depends in part on our avoiding infringement of the valid patents and proprietary rights of third parties. Numerous U.S. and foreign issued patents and pending patent applications owned by third parties exist in the fields in which we are developing our gene editing and other technologies and product candidates, including in areas potentially related to components and methods we use or may use in our research and development efforts. As industry, government, academia and other biotechnology and pharmaceutical research expands and more patents are issued, the risk increases that our product candidates may give rise to claims of infringement of the patent rights of others. We cannot guarantee that our technology, processes, future product candidates or the use of such product candidates do not infringe third-party patents now or in the future. Because patent rights are granted jurisdiction-by-jurisdiction, our freedom to practice certain technologies, including our ability to research, develop and commercialize our product candidates, may differ by country.</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Third parties, including competitors, may assert that they invented the inventions claimed in our issued patents or patent applications prior to our inventors, or may have filed patent applications before our inventors did, and that we infringe their patents or that we are otherwise employing their proprietary technology without authorization, and may sue us. See, for example, </w:t>
      </w:r>
      <w:r>
        <w:rPr>
          <w:rFonts w:ascii="Times New Roman" w:cs="Times New Roman" w:eastAsia="Times New Roman" w:hAnsi="Times New Roman"/>
          <w:sz w:val="18"/>
          <w:szCs w:val="18"/>
          <w:i w:val="1"/>
          <w:iCs w:val="1"/>
          <w:color w:val="auto"/>
        </w:rPr>
        <w:t>“Risk Factors —Risks Related to Intellectual Property—Third-party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Claims Of Overlapping Intellectual Property Rights May Prevent Or Delay Our Product Discovery and Development Efforts.” </w:t>
      </w:r>
      <w:r>
        <w:rPr>
          <w:rFonts w:ascii="Times New Roman" w:cs="Times New Roman" w:eastAsia="Times New Roman" w:hAnsi="Times New Roman"/>
          <w:sz w:val="18"/>
          <w:szCs w:val="18"/>
          <w:color w:val="auto"/>
        </w:rPr>
        <w:t>In addition, third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obtain patents in the future and claim that use of our technologies or the manufacture, use or sale of our product candidates infringes upon these patents. It is possible that we have failed to identify relevant third-party patents or applications, including those with claims to compositions, formulations, methods of manufacture or methods of use or treatment that cover product candidates we discover and develop. Furthermore, publications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78" w:name="page79"/>
    <w:bookmarkEnd w:id="78"/>
    <w:p>
      <w:pPr>
        <w:spacing w:after="0" w:line="256" w:lineRule="auto"/>
        <w:rPr>
          <w:sz w:val="20"/>
          <w:szCs w:val="20"/>
          <w:color w:val="auto"/>
        </w:rPr>
      </w:pPr>
      <w:r>
        <w:rPr>
          <w:rFonts w:ascii="Times New Roman" w:cs="Times New Roman" w:eastAsia="Times New Roman" w:hAnsi="Times New Roman"/>
          <w:sz w:val="18"/>
          <w:szCs w:val="18"/>
          <w:color w:val="auto"/>
        </w:rPr>
        <w:t>discoveries in the scientific literature often lag behind the actual discoveries and patent applications in the United States and other jurisdictions are typically not published until 18 months after filing, or in some cases not at all. Therefore, we cannot know with any degree of certainty whether the inventors of our patents and patent applications or our licensed patents and patent applications were the first to make the inventions claimed in our owned or any licensed patents or pending patent applications, that we were the first to file for patent protection of such inventions, or that our product candidates are not later found to infringe certain issued patents. Moreover, there is no assurance that all of the potentially relevant prior art relating to our owned and in-licensed patents and patent applications has been found, which can invalidate a patent or prevent a patent from issuing from a pending patent application.</w:t>
      </w:r>
    </w:p>
    <w:p>
      <w:pPr>
        <w:spacing w:after="0" w:line="79"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If we or a third party that we are obliged to defend and indemnify are found to infringe a third party’s intellectual property rights, and we are unsuccessful in demonstrating that such patents are invalid or unenforceable, we and our partners may be required to pay substantial damages, including treble damages and attorneys’ fees for willful infringement, cease commercialization of the infringing technology, including our core CRISPR/Cas9 gene editing technology, or the applicable product candidate, or we could be required to obtain one or more licenses under the applicable patents from third parties to continue developing, manufacturing, and marketing any product candidates we may develop and our gene-editing and other technologies until such patents expire or are finally determined to be held invalid or unenforceable. These third parties would be under no obligation to grant to us any such licenses and such licenses may not be available on commercially reasonable terms or at all, or may be non-exclusive, thereby giving our competitors and other third parties access to the same technologies licensed to us, and it could require us to make substantial licensing and royalty payments. If we are unable to obtain or maintain a necessary license to a third-party patent on commercially reasonable terms, our ability to commercialize our technologies and product candidates may be impaired or delayed, or we may be required to redesign our infringing products, which may be impossible or require substantial time and monetary expenditure.</w:t>
      </w:r>
    </w:p>
    <w:p>
      <w:pPr>
        <w:spacing w:after="0" w:line="8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Any of these outcomes could materially harm our business and could prevent us from further developing and commercializing such products or future product candidates, thereby causing us significant harm. In addition, third parties asserting their patent rights against us may seek and obtain injunctive or other equitable relief, which could effectively limit or block our ability to further develop and commercialize our product candidates.</w:t>
      </w:r>
    </w:p>
    <w:p>
      <w:pPr>
        <w:spacing w:after="0" w:line="68"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In order to successfully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and such court could hold that any such third-party patents are valid, enforceable, and infringed, which could materially and adversely affect our ability to commercialize any product candidates we may develop and any other product candidates or technologies covered by the asserted third-party patents.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Third-party Claims Of Overlapping Intellectual Property Rights May Prevent Or Delay Our Product Discovery and Development Efforts.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seek to claim intellectual property rights that encompass or overlap with intellectual property that we own or in-license. Legal proceedings may be initiated to determine the scope and ownership of these rights, and could result in our loss of rights, including injunctions or other equitable relief that could effectively block our ability to further develop and commercialize our product candidates. 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or derivation proceedings may result in a decision adverse to our interests and, even if we are successful, may result in substantial costs and distract our management and other employees.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For example, third parties could assert that we do not have rights to certain technologies, including CRISPR/Cas9 technologies, or could assert and have asserted in the past, that the CVC Group does not have rights to certain CRISPR/Cas9 technologies, including inventorship and ownership rights to some of the CVC Group’s patents included in the worldwide patent portfolio we have in-licensed from Dr. Charpentier, or that such rights are limited. Specifically, the Broad Institute and Massachusetts Institute of Technology and, in some instances, the President and Fellows of Harvard College, or Harvard University, which we refer to individually and collectively as the “Broad”, owns a patent family that includes issued patents in the United States and Europe that claim certain aspects of CRISPR/Cas9 systems to edit DNA in eukaryotic cells, including human cells. In addition to the Broad, other third parties, such as Vilnius University, ToolGen, Inc., MilliporeSigma (a subsidiary of Merck KGaA and formerly known as “Sigma-Aldrich”) and Harvard University, filed patent applications claiming CRISPR/Cas9-related inventions around or within a year after the CVC Group application was filed and allege (or may allege) that they were first to invent one or more of the inventions claimed by the CVC Group and/or claimed by Broad, i.e. before the CVC Group, before Broad, and before the other parties.</w:t>
      </w:r>
    </w:p>
    <w:p>
      <w:pPr>
        <w:spacing w:after="0" w:line="86"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In June 2019, the USPTO declared an interference (Interference No. 106,115, or ‘115 interference) between fourteen (14) pending U.S. patent applications co-owned by the CVC Group and thirteen (13) patents and a patent application co-owned by the Broad. In December 2020, the USPTO declared an interference (Interference No. 106,127, or ‘127 interference) between a ToolGen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spacing w:after="0" w:line="253" w:lineRule="auto"/>
        <w:rPr>
          <w:sz w:val="20"/>
          <w:szCs w:val="20"/>
          <w:color w:val="auto"/>
        </w:rPr>
      </w:pPr>
      <w:r>
        <w:rPr>
          <w:rFonts w:ascii="Times New Roman" w:cs="Times New Roman" w:eastAsia="Times New Roman" w:hAnsi="Times New Roman"/>
          <w:sz w:val="18"/>
          <w:szCs w:val="18"/>
          <w:color w:val="auto"/>
        </w:rPr>
        <w:t>patent application that claims certain aspects of CRISPR/Cas9 systems to edit DNA in eukaryotic cells, including human cells, and the same fourteen pending U.S. patent applications co-owned by the CVC Group that are involved in the ‘115 interference. In addition, in June 2021, the USPTO declared an interference (Interference No. 106,132, or ‘132 interference) between a MilliporeSigma patent application that claims certain aspects of CRISPR/Cas9 systems to edit DNA in eukaryotic cells, including human cells, and the same fourteen pending U.S. patent applications co-owned by the CVC Group that are involved in the ‘115 interference. In February 2022, PTAB issued a Decision of Priority and Judgment finding that Broad has priority over CVC Group with respect to the subject matter of the interference. The CVC Group has appealed this decision to the Federal Circuit. Any final decision by the Federal Circuit can be further appealed to the Supreme Court. Both the ‘127 and ‘132 interferences have been stayed pending a decision by the Federal Circuit in the ‘115 interference. Each of the CVC Group, the Broad, ToolGen, Vilnius University, MilliporeSigma and Harvard University can pursue existing or new patent applications in the United States and elsewhere. Because the CVC Group and these other third parties all allege owning intellectual property claiming overlapping aspects of CRISPR/Cas9 systems and methods to edit DNA in eukaryotic cells, including human cells, our ability to market and sell CRISPR/Cas9-based human therapeutics may be adversely impacted depending on the scope and actual ownership over the inventions claimed in the competing patent portfolios.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Going forward, the USPTO could declare new interferences with the CVC Group, or us individually, related to the uses of the CRISPR/Cas9 technologies. Furthermore, we and the CVC Group continue to prosecute other patent claims covering the CRISPR/Cas9 inventions, which could also result in allowable or issued patents in the United States. Certain of the claims being prosecuted by the CVC Group and us, if found allowable by the USPTO, could lead to interference proceedings against patents or patent applications owned by third parties, including those listed above. If the USPTO deems the scope of the claims of one or more of these parties to sufficiently overlap with the allowable claims from a patent or patent application within the worldwide patent portfolio we have in-licensed from Dr. Charpentier or our portfolio of patents, the USPTO could declare other interference proceedings to determine the first inventor of such claims. We cannot be certain which of these results, if any, will actually occur. If there are additional interferences, either party to the interference could again appeal an adverse decision to the Federal Circuit and through to the Supreme Court. Additionally, any of the CVC Group’s existing or new patents or our existing or new patents could be the subject of other challenges to their validity or enforceability. Moreover, as a result of the successful challenge of our patent rights, we could face more litigation with respect to the validity and/or scope of patents relating to our competitors’ products and the CVC Group’s patents or our patents may not be sufficient to prevent our competitors from commercializing competing products.</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If any third party were to succeed in its interference and prevail in their claims of being first-to-invent, or obtain patent claims that cover our product candidates or related activities through these various legal proceedings, such party could seek to assert its issued patents against us based on our business activities, including commercialization of any CRISPR/Cas9-based product or product candidate. Moreover, in such event, we may be required to obtain licenses from such third parties, which may not be available on commercially reasonable terms or at all. See, for example, </w:t>
      </w:r>
      <w:r>
        <w:rPr>
          <w:rFonts w:ascii="Times New Roman" w:cs="Times New Roman" w:eastAsia="Times New Roman" w:hAnsi="Times New Roman"/>
          <w:sz w:val="18"/>
          <w:szCs w:val="18"/>
          <w:i w:val="1"/>
          <w:iCs w:val="1"/>
          <w:color w:val="auto"/>
        </w:rPr>
        <w:t>“Risk Factors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Intellectual Property—The Intellectual Property Landscape Around Gene Editing Technology, Including CRISPR/Cas9, Is Highly Dynamic, And Third Parties May Initiate And Prevail In Legal Proceedings Alleging That The Patents That We In-License Or Own Are Invalid Or That We Are Infringing, Misappropriating, Or Otherwise Violating Their Intellectual Property Rights, The Outcome Of Which Would Be Uncertain And Could Have A Material Adverse Effect On The Success Of Our Business.”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“We May Not Be Successful In Obtaining Or Maintaining Necessary Rights To Any Product Candidates or Other Technologies We May Develop Through Acquisitions And In-Licenses.”</w:t>
      </w:r>
    </w:p>
    <w:p>
      <w:pPr>
        <w:spacing w:after="0" w:line="80"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Further, third parties routinely file international counterparts of their U.S. applications, some of which have been granted or could in the future be granted in Europe and/or other non-U.S. jurisdictions. We, as well as other parties have initiated opposition proceedings against some of these grants, and we may in the future oppose other grants to these or other applicants. Similarly, our intellectual property is and may in the future become involved in opposition proceedings in Europe or other jurisdictions, such as, for example, in Australia, Japan, China, and India. Opposition proceedings can lead to the revocation of a patent in its entirety; the maintenance of the patent as granted, or the maintenance of a patent in amended form, including claims being narrowed in a way that could impair or preclude our ability to enforce the patents against competitors in Europe. Opposition proceedings typically take years to resolve, including the time taken by appeals that can be filed by any of the parties. For example, several parties have filed oppositions in the European Patent Office to the grant of certain of our in-licensed European patents. In late 2021, the European Patent Office revoked one of our in-licensed European patents included in the worldwide patent portfolio we have in-licensed from Dr. Charpentier, while two of our issued in-licensed European patents included in the same in-licensed patent portfolio (EP-2800811 and EP-3401400) prevailed in separate opposition proceedings conducted by the Opposition Division of the European Patent Office in 2020 and 2022, respectively. Those decisions were appealed to a Board of Appeal of the European Patent Office. For procedural reasons, those two European patents were voluntarily withdrawn in September 2024. A related in-licensed divisional patent (EP-3597749) covering certain uses and certain compositions of CRISPR-Cas9 is still pending and is the subject of an opposition in the European Patent Office. We cannot guarantee the outcome of the oppositions to our in-licensed European patents included in the worldwide patent portfolio we have in-licensed from Dr. Charpentier, and an adverse result could preclude us from enforcing our rights in Europe against third parties.</w:t>
      </w:r>
    </w:p>
    <w:p>
      <w:pPr>
        <w:spacing w:after="0" w:line="8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effects that any such proceedings and results may have on us and our intellectual property position are currently unknown. In any case, it may be years before there is a final determination on priority with respect to CVC Group’s patents included in the worldwide patent portfolio we have in-licensed from Dr. Charpentier.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are unable to predict the outcome of any of these matters and are unable to make a meaningful estimate of the amount or range of loss, if any, that could result from an unfavorable outcome in any current or future proceeding related to our intellectual property position. Any of these events could have a material adverse effect on our competitive position, business, financial conditions, results of operations, and prospects, and limit our ability to research, develop and obtain approval of product candidates, or to commercialize products.</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the future, we may also become party to legal matters and claims arising in the ordinary course of business, the resolution of which we do not anticipate would have a material adverse impact on our financial position, results of operations or cash flows.</w:t>
      </w:r>
    </w:p>
    <w:p>
      <w:pPr>
        <w:spacing w:after="0" w:line="160" w:lineRule="exact"/>
        <w:rPr>
          <w:sz w:val="20"/>
          <w:szCs w:val="20"/>
          <w:color w:val="auto"/>
        </w:rPr>
      </w:pPr>
    </w:p>
    <w:p>
      <w:pPr>
        <w:ind w:right="5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Rights To Develop And Commercialize Our Technology And Product Candidates Are Subject, In Part, To The Terms And Conditions Of Licenses Granted To Us By Others.</w:t>
      </w:r>
    </w:p>
    <w:p>
      <w:pPr>
        <w:spacing w:after="0" w:line="5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reliant upon licenses to certain intellectual property from third parties that are important or necessary to the development of our gene editing and other technology and product candidates. These and other licenses may not provide exclusive rights to use such intellectual property and technology in all relevant fields of use or cover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Moreover, under our current and future in-license agreements, including our 2014 exclusive license agreement with Dr. Charpentier, and other technology agreements, we are or may be required to pay milestones and royalties based on our revenues from sales of our products utilizing the technologies acquired, licensed or sublicensed from third parties and these milestones and royalty payments could adversely affect our ability to research, develop and obtain approval of product candidates, as well as the overall profitability for us of any products that we may seek to commercialize. Further, our licensors may dispute the terms, including amounts, that we are required to pay under the respective agreements. If these claims were to result in a material increase in the amounts that we are required to pay to our licensors our ability to research, develop and obtain approval of product candidates, or to commercialize products, could be significantly impaired.</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in order to maintain our intellectual property rights under these agreements, we will need to meet certain specified milestones, subject to certain cure provisions, in the development of our product candidates, including certain diligence requirements, and we may not be successful in meeting all such requirements in the future on a timely basis or at all. For example, under each of our in-license agreements with Dr. Charpentier, we have an obligation to use commercially reasonable efforts to develop and obtain regulatory approval to market a licensed therapeutic product. Our failure to meet our obligations under any license agreements and other technology agreements may give the licensor the right to terminate our license rights. We will need to outsource and rely on third parties for many aspects of the clinical development, sales and marketing of our products covered under our license agreements and other technology agreements. Delay or failure by these third parties could adversely affect our ability to meet our diligence obligations and the continuation of our license agreements with third-party licensors.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other technology agreements and might therefore terminate such agreements, thereby removing our ability to develop and commercialize products and technology covered by these agreements. If any such 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limit our ability to research, develop and obtain approval of product candidates, or to commercialize products.</w:t>
      </w:r>
    </w:p>
    <w:p>
      <w:pPr>
        <w:spacing w:after="0" w:line="190" w:lineRule="exact"/>
        <w:rPr>
          <w:sz w:val="20"/>
          <w:szCs w:val="20"/>
          <w:color w:val="auto"/>
        </w:rPr>
      </w:pPr>
    </w:p>
    <w:p>
      <w:pPr>
        <w:ind w:right="3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The Intellectual Property That Protects Our Core Gene Editing Technology Is Jointly Owned, And Our License Is From Only One Of The Joint Owners, Materially Limiting Our Rights In The United States And In Other Jurisdictions.</w:t>
      </w:r>
    </w:p>
    <w:p>
      <w:pPr>
        <w:spacing w:after="0" w:line="5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worldwide patent portfolio we have exclusively licensed from Dr. Charpentier is the core patent protection for our gene editing platform technology. However, that family includes other named inventors who assigned their rights either to California or Vienna. As such, the worldwide patent portfolio we have in-licensed from Dr. Charpentier is currently co-owned by Dr. Charpentier, California, and Vienna. On December 15, 2016, we entered into a Consent to Assignments, Licensing and Common Ownership and Invention Management Agreement, or IMA, with California, Vienna and their licensees including Caribou and Caribou’s licensee Intellia Therapeutics. Under the IMA, the co-owners provided reciprocal worldwide cross-consents to each of the other co-owners’ licensees and sublicensees, and agreed to a number of other commitments and obligations with respect to supporting and managing the underlying CRISPR/Cas9 gene editing intellectual property, including a cost-sharing agreement. As explained more fully below, that leaves us in a position of holding only non-exclusive or co-exclusive rights to the patent rights that protect our core gene editing technology, and we must continue to satisfy our contractual obligations under the IMA in order to maintain the effectiveness of the consents by California and Vienna to our license from Dr. Charpentier.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each co-owner has the freedom to license and exploit the technology. As a result, we do not have exclusive access to any intellectual property rights that Dr. Charpentier co-owns with another entity, such as California and Vienna. Our license with Dr. Charpentier is therefore non-exclusive with respect to such co-owned rights. Furthermore, in the United States each co-owner is required to be joined as a party to any claim or action we may wish to bring to enforce those patent rights. Moreover, in the United States, non-exclusive licensees have no standing to bring a patent infringement action before a court. Therefore, for the patents owned with California and Vienna we have no ability to pursue third-party infringement claims without cooperation of California and Vienna and potentially their licensees. Although we have entered into the IMA with Vienna and California and their licensees, which provides for, among other things, notice of and coordination in the event of third-party infringement of the patent rights within the worldwide patent portfolio we have in-licensed from Dr. Charpentier, there can be no assurance that Vienna and California will cooperate with us in any future infringement. If we are unable to enforce our core patent rights licensed from Dr. Charpentier, we may be unable to prevent third parties from competing with us and may be unable to persuade companies to sublicense our technology, either of which could have a material adverse effect on our business.</w:t>
      </w:r>
    </w:p>
    <w:p>
      <w:pPr>
        <w:spacing w:after="0" w:line="190" w:lineRule="exact"/>
        <w:rPr>
          <w:sz w:val="20"/>
          <w:szCs w:val="20"/>
          <w:color w:val="auto"/>
        </w:rPr>
      </w:pPr>
    </w:p>
    <w:p>
      <w:pPr>
        <w:jc w:val="both"/>
        <w:ind w:right="5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We May Experience Disputes With The Third Parties That We In-license Intellectual Property Rights From Or Those We License Intellectual Property To. Any Disputes With These Parties Could Adversely Affect Our Business And We Could Lose License Rights That Are Important To Our Business.</w:t>
      </w:r>
    </w:p>
    <w:p>
      <w:pPr>
        <w:spacing w:after="0" w:line="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license the intellectual property that covers certain of our platform gene editing technology from a third party, and we expect to continue to in-license additional third-party intellectual property rights as we expand our gene editing and other technology. Disputes may arise with the third parties from whom we license our intellectual property rights from for a variety of reasons, including:</w:t>
      </w:r>
    </w:p>
    <w:p>
      <w:pPr>
        <w:spacing w:after="0" w:line="68"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63" w:lineRule="exact"/>
        <w:rPr>
          <w:rFonts w:ascii="Times New Roman" w:cs="Times New Roman" w:eastAsia="Times New Roman" w:hAnsi="Times New Roman"/>
          <w:sz w:val="18"/>
          <w:szCs w:val="18"/>
          <w:color w:val="auto"/>
        </w:rPr>
      </w:pPr>
    </w:p>
    <w:p>
      <w:pPr>
        <w:ind w:left="520" w:right="260" w:hanging="512"/>
        <w:spacing w:after="0" w:line="28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or derive from, intellectual property of the licensor that is not subject to a licensing agreement;</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our license and collaboration agreements and what activities satisfy those diligence obligations;</w:t>
      </w:r>
    </w:p>
    <w:p>
      <w:pPr>
        <w:spacing w:after="0" w:line="63"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in-license intellectual property or technology from third parties, or maintain consents under the IMA,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or the parties to such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Similarly, as we continue to enter into license agreements, collaboration agreements and partnerships with third parties to expand our development programs, we have, and expect to continue to, out-license some of our intellectual property to these third parties. Disputes may arise with these third parties to whom we out-license our intellectual property rights for a variety of reasons, including, the scope of rights granted under any such agreement and other interpretation-related issues. Any disputes with our current or future collaboration partners or licensees regarding the scope of intellectual property rights granted to such partner or licensee by us could result in the delay of development programs and would make us susceptible to lengthy and expensive disputes with our partners or licensees.</w:t>
      </w:r>
    </w:p>
    <w:p>
      <w:pPr>
        <w:spacing w:after="0" w:line="185"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Successful In Obtaining Or Maintaining Necessary Rights To Any Product Candidates or Other Technologies We May Develop Through Acquisitions And In-Licenses.</w:t>
      </w:r>
    </w:p>
    <w:p>
      <w:pPr>
        <w:spacing w:after="0" w:line="52"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currently have rights to intellectual property, through in-licenses from third parties, to identify and develop product candidates, as well as use other technologies, including delivery methods for our product candidates. Many pharmaceutical companies, biotechnology companies, and academic institutions are competing with us in the field of gene editing, including delivery technology, and filing patent applications potentially relevant to our business. For example, we are aware of several third-party patent applications that, if issued, may be construed to cover our gene editing technology and product candidates. In order to avoid infringing these third-party patents, we may find it necessary or prudent to obtain licenses from such third-party intellectual property holders. We may also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2" w:name="page83"/>
    <w:bookmarkEnd w:id="82"/>
    <w:p>
      <w:pPr>
        <w:ind w:right="20"/>
        <w:spacing w:after="0" w:line="252" w:lineRule="auto"/>
        <w:rPr>
          <w:sz w:val="20"/>
          <w:szCs w:val="20"/>
          <w:color w:val="auto"/>
        </w:rPr>
      </w:pPr>
      <w:r>
        <w:rPr>
          <w:rFonts w:ascii="Times New Roman" w:cs="Times New Roman" w:eastAsia="Times New Roman" w:hAnsi="Times New Roman"/>
          <w:sz w:val="18"/>
          <w:szCs w:val="18"/>
          <w:color w:val="auto"/>
        </w:rPr>
        <w:t>require licenses from third parties for certain modified or improved components of gene editing technology, such as modified nucleic acids or proteins, as well as non-CRISPR/Cas9 technologies such as delivery methods that we are evaluating for use with product candidates we may develop. In addition, with respect to any patents we co-own with third parties, we may require licenses to such co-owners’ interest to such patents. However, we may be unable to secure such licenses or otherwise acquire or in-license any compositions, methods of use, processes, or other intellectual property rights from third parties that we identify as necessary for product candidates we may develop and gene editing and other technologies. The licensing or acquisition of third-party intellectual property rights is a competitive area, and companies that may be more established, or have greater resources than we do may be pursuing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or technology that we may seek to acquire. If we are unable to successfully obtain rights to required third-party intellectual property rights or maintain the existing intellectual property rights we have, we may have to abandon development of the relevant program, technology, or product candidate, or discontinue the practice of our core CRISPR/Cas9 gene editing technology, which could have a material adverse effect on our business, financial condition, results of operations, and prospects.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Intellectual Property Litigation Could Cause Us To Spend Substantial Resources And Distract Our Personnel From Their Normal Responsibilities.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biotechnology and pharmaceutical industries are characterized by extensive litigation regarding patents and other intellectual property rights. There may be significant intellectual property related litigation and proceedings relating to our owned and in-licensed intellectual property and proprietary rights, as well as other third party intellectual property rights, in the future. See, for example, </w:t>
      </w:r>
      <w:r>
        <w:rPr>
          <w:rFonts w:ascii="Times New Roman" w:cs="Times New Roman" w:eastAsia="Times New Roman" w:hAnsi="Times New Roman"/>
          <w:sz w:val="18"/>
          <w:szCs w:val="18"/>
          <w:i w:val="1"/>
          <w:iCs w:val="1"/>
          <w:color w:val="auto"/>
        </w:rPr>
        <w:t>“Third-party Claims Of Overlapping 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May Prevent Or Delay Our Product Discovery and Development Efforts.”</w:t>
      </w:r>
    </w:p>
    <w:p>
      <w:pPr>
        <w:spacing w:after="0" w:line="7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personnel and management from their normal responsibilities and generally harm our business. For example, pursuant to the terms of our license agreements with Dr. Charpentier, we are responsible for covering or reimbursing Dr. Charpentier’s patent prosecution, defense and related costs associated with our in-licensed technology and the worldwide patent portfolio we have in-licensed from her. Furthermore, because of the substantial amount of discovery required in connection with intellectual property litigation in certain countries, including the United States,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right="3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U.S.-based Manufacturers. Compliance With Such Regulations May Limit Our Exclusive Rights, And Limit Our Ability To Contract With Non-U.S. Manufacturers.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intellectual property rights to which we have in-licensed under Dr. Charpentier’s joint interest are co-owned by California, which has indicated that one or more of the inventions were made under Grant No. GM081879 awarded by the National Institute of Health. These rights are therefore subject to certain federal regulations. The U.S. government has certain rights pursuant to the Bayh-Dole Act of 1980, or Bayh-Dole Act, to patents covering government rights in certain inventions developed under a government-funded program. These rights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achieve practical application of the invention in the field of use;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contractor, fail to disclose the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3" w:name="page84"/>
    <w:bookmarkEnd w:id="83"/>
    <w:p>
      <w:pPr>
        <w:ind w:right="40"/>
        <w:spacing w:after="0" w:line="254" w:lineRule="auto"/>
        <w:rPr>
          <w:sz w:val="20"/>
          <w:szCs w:val="20"/>
          <w:color w:val="auto"/>
        </w:rPr>
      </w:pPr>
      <w:r>
        <w:rPr>
          <w:rFonts w:ascii="Times New Roman" w:cs="Times New Roman" w:eastAsia="Times New Roman" w:hAnsi="Times New Roman"/>
          <w:sz w:val="18"/>
          <w:szCs w:val="18"/>
          <w:color w:val="auto"/>
        </w:rPr>
        <w:t>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contractor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patents covering inventions is generated through the use of U.S. government funding, the provisions of the Bayh-Dole Act may similarly apply.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May Not Be Able To Protect Our Intellectual Property And Proprietary Rights Throughout The World.</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intellectual property laws in various jurisdictions worldwide. Additionally, the patent laws of some countries do not afford intellectual property protection to the same extent as the laws of the United States. For example, unlike patent law in the United States, the patent law in Europe and many other jurisdictions precludes the patentability of methods of treatment of the human body and imposes substantial restrictions on the scope of claims it will grant if broader than specifically disclosed embodiments.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various jurisdictions globally.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various jurisdictions globally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7"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Changes To The Patent Law In The United States And Other Jurisdictions Could Diminish The Value Of Patents In General, Thereby Impairing Our Ability To Protect Our Product Candidates.</w:t>
      </w:r>
    </w:p>
    <w:p>
      <w:pPr>
        <w:spacing w:after="0" w:line="5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Our success, like other companies in the biotech and pharmaceutical sectors, relies heavily on intellectual property, especially patents. Patent acquisition and enforcement in our industry are complex, expensive, and uncertain due to technical and legal intricacies.</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Changes in patent laws or their interpretation can exacerbate these uncertainties and increase costs, particularly with the shift in the United States from a "first to invent" to a "first-to-file" patent system since March 2013. This change means that the first applicant, not necessarily the first inventor, can secure a patent. As patent applications are confidential initially, it is uncertain whether we were the first to file or invent our technology.</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Leahy-Smith America Invents Act introduced significant changes, including a lower burden of proving patent invalidity in USPTO proceedings compared to federal courts, which could make it easier for third parties to challenge our patents. Recent decisions from the U.S. Supreme Court and U.S. Court of Appeals for the Federal Circuit have also narrowed patent protections and weakened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right="260"/>
        <w:spacing w:after="0" w:line="282" w:lineRule="auto"/>
        <w:rPr>
          <w:sz w:val="20"/>
          <w:szCs w:val="20"/>
          <w:color w:val="auto"/>
        </w:rPr>
      </w:pPr>
      <w:r>
        <w:rPr>
          <w:rFonts w:ascii="Times New Roman" w:cs="Times New Roman" w:eastAsia="Times New Roman" w:hAnsi="Times New Roman"/>
          <w:sz w:val="18"/>
          <w:szCs w:val="18"/>
          <w:color w:val="auto"/>
        </w:rPr>
        <w:t>patent owners' rights, creating uncertainty about patent validity and enforceability. These changes, along with potential future legal developments, could weaken our ability to secure new patents or enforce existing ones.</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Geopolitical events can also affect patent processes. For instance, U.S. and foreign government actions regarding Russia's invasion of Ukraine might impede patent filing and maintenance in Russia. A 2022 Russian decree allows exploitation of patents from certain foreign entities without consent, potentially affecting our competitive position and business.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the recently-formed European Unified Patent Court, or UPC, allows for centralized patent revocation proceedings in the EU. Although we do not currently own European patents that are subject to this court's jurisdiction, our future European patents that become subject to this court's jurisdiction could present risks that might affect our business and commercialization efforts in Europe. The UPC's evolving laws may affect our ability to defend or enforce those European patents. We may opt out of the UPC's jurisdiction for our future European patents, but compliance challenges remain.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Overall, the evolving patent laws present ongoing challenges and may affect our business and intellectual property strategy.</w:t>
      </w:r>
    </w:p>
    <w:p>
      <w:pPr>
        <w:spacing w:after="0" w:line="223"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90"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We Do Not Obtain Patent Term Extension And Data Exclusivity For Any Product Candidates We May Develop, Our Business May Be Materially Harmed.</w:t>
      </w:r>
    </w:p>
    <w:p>
      <w:pPr>
        <w:spacing w:after="0" w:line="5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if the term of any such extension is less than we request, we will be unable to rely on our patent position to forestall the marketing of competing products following our patent expiration, and our business, financial condition, results of operations, and prospects could be materially harmed.</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Intellectual Property Rights Do Not Necessarily Address All Potential Threats.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520" w:right="680" w:hanging="512"/>
        <w:spacing w:after="0" w:line="28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any product candidates we may develop or utilize similar gene therapy technology but that are not covered by the claims of the patents that we license or may own in the future;</w:t>
      </w:r>
    </w:p>
    <w:p>
      <w:pPr>
        <w:spacing w:after="0" w:line="1"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1"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1"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ind w:left="520" w:right="340" w:hanging="512"/>
        <w:spacing w:after="0" w:line="28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6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23" w:lineRule="exact"/>
        <w:rPr>
          <w:sz w:val="20"/>
          <w:szCs w:val="20"/>
          <w:color w:val="auto"/>
        </w:rPr>
      </w:pPr>
    </w:p>
    <w:p>
      <w:pPr>
        <w:ind w:right="320" w:firstLine="509"/>
        <w:spacing w:after="0" w:line="315" w:lineRule="auto"/>
        <w:rPr>
          <w:sz w:val="20"/>
          <w:szCs w:val="20"/>
          <w:color w:val="auto"/>
        </w:rPr>
      </w:pPr>
      <w:r>
        <w:rPr>
          <w:rFonts w:ascii="Times New Roman" w:cs="Times New Roman" w:eastAsia="Times New Roman" w:hAnsi="Times New Roman"/>
          <w:sz w:val="17"/>
          <w:szCs w:val="17"/>
          <w:i w:val="1"/>
          <w:iCs w:val="1"/>
          <w:color w:val="auto"/>
        </w:rPr>
        <w:t>We May Be Subject To Claims That Our Employees, Consultants, Or Advisors Have Wrongfully Used Or Disclosed Confidential Information Of Their Current Or Former Employers Or Other Third Parties Or Claims Asserting Ownership Of What We Regard As Our Own Intellectual Property.</w:t>
      </w:r>
    </w:p>
    <w:p>
      <w:pPr>
        <w:spacing w:after="0" w:line="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universities or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confidential information or intellectual property, including trade secrets or other proprietary information, of any such individual’s current or former employer or other third party.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and employees.</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5"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Protect The Confidentiality Of Our Trade Secrets And Other Proprietary Information, Our Business And Competitive Position Would Be Harmed.</w:t>
      </w:r>
    </w:p>
    <w:p>
      <w:pPr>
        <w:spacing w:after="0" w:line="5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seek to protect our proprietary technology and processes, including these trade secrets,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See, for example, </w:t>
      </w:r>
      <w:r>
        <w:rPr>
          <w:rFonts w:ascii="Times New Roman" w:cs="Times New Roman" w:eastAsia="Times New Roman" w:hAnsi="Times New Roman"/>
          <w:sz w:val="18"/>
          <w:szCs w:val="18"/>
          <w:i w:val="1"/>
          <w:iCs w:val="1"/>
          <w:color w:val="auto"/>
        </w:rPr>
        <w:t>“Risk Factors—Risks Related to Information Security and Privacy—Our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Technology Systems, Or Those Of Our Collaborators Or Other Contractors Or Consultants, May Fail Or Suffer Security Breaches, Which Could Result In A Material Disruption Of Our Product Development Programs.” </w:t>
      </w:r>
      <w:r>
        <w:rPr>
          <w:rFonts w:ascii="Times New Roman" w:cs="Times New Roman" w:eastAsia="Times New Roman" w:hAnsi="Times New Roman"/>
          <w:sz w:val="18"/>
          <w:szCs w:val="18"/>
          <w:color w:val="auto"/>
        </w:rPr>
        <w:t>In addition, our trade secrets may otherwise become known or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independently discovered by competitors. In particular, we anticipate that with respect to our technology platform, these trade secrets and know-how will over time be disseminated within the industry through independent development, the publication of journal articles describing the methodology, and the movement of personnel from academic to industry scientific positions. Moreover,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Despite these efforts, any of these parties may breach the agreements and disclose our proprietary information, including our trade secrets, and we may not be able to obtain adequate remedies for such breaches.</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spacing w:after="0" w:line="253" w:lineRule="auto"/>
        <w:rPr>
          <w:sz w:val="20"/>
          <w:szCs w:val="20"/>
          <w:color w:val="auto"/>
        </w:rPr>
      </w:pPr>
      <w:r>
        <w:rPr>
          <w:rFonts w:ascii="Times New Roman" w:cs="Times New Roman" w:eastAsia="Times New Roman" w:hAnsi="Times New Roman"/>
          <w:sz w:val="18"/>
          <w:szCs w:val="18"/>
          <w:color w:val="auto"/>
        </w:rPr>
        <w:t>maintain a competitive advantage in our market, which could materially adversely affect our business.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Enforcing a claim that a party illegally disclosed or misappropriated a trade secret is difficult, expensive, and time-consuming, and the outcome is unpredictable. In addition, some courts inside and outside the United States are less willing or unwilling to protect proprietary information. Moreover,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In addition, in the EU, the EMA proactively publishes clinical data submitted by companies to support a marketing authorization application for a medicinal product under the centralized procedure, with limited exceptions for the redaction of commercially confidential information or protection of personal data. If any of our trade secrets or proprietary information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5" w:lineRule="exact"/>
        <w:rPr>
          <w:sz w:val="20"/>
          <w:szCs w:val="20"/>
          <w:color w:val="auto"/>
        </w:rPr>
      </w:pPr>
    </w:p>
    <w:p>
      <w:pPr>
        <w:ind w:right="4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Our Trademarks Are Not Adequately Protected, Then We May Not Be Able To Build Name Recognition In Our Markets Of Interest And Our Business May Be Adversely Affected.</w:t>
      </w:r>
    </w:p>
    <w:p>
      <w:pPr>
        <w:spacing w:after="0" w:line="5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our trademarks are not adequately protected, then we may not be able to build name recognition in our markets of interest and our business may be adversely affected. Our unregistered trademarks may be challenged, infringed, circumvented or declared generic or determined to be infringing on other marks. We may not be able to protect our rights to these trademarks, which we need to build name recognition among potential partners or customers in our markets of interest. At times, competitors may adopt trademarks similar to ours, thereby impeding our ability to build brand identity and possibly leading to market confusion. In addition, there could be potential trademark infringement claims brought by owners of other registered trademarks or trademarks that incorporate variations of our unregistered trademarks. Over the long term, if we are unable to successfully register our trademarks and establish name recognition based on our trademarks,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Have Broad Discretion In The Use Of Our Cash Reserves And May Not Use Such Cash Reserves Effectively</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or commercialization of our product candidates. Pending their use, we may invest our cash reserves in a manner that does not produce income or that loses value.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Of A Substantial Number Of Our Common Shares In The Public Market Could Cause Our Share Price To Fall.</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our common shares in the public market or the perception that these sales might occur could depress the market price of our common shares, could make it more difficult for you to sell your common shares at a time and price that you deem appropriate and could impair our ability to raise capital through the sale of additional equity securities. We are unable to predict the effect that sales may have on the prevailing market price of our common shares. For example, we actively maintain a sales agreement with Jefferies under which we are able to offer and sell, from time to time at our sole discretion through Jefferies, as our sales agent, our common shares, par value of CHF 0.03 per share. As of December 31, 2024, we have issued and sold an aggregate of 1.9 million common shares under this $600.0 million facility at an average price of $122.73 per share for aggregate proceeds of $233.2 million, which were net of equity issuance costs of $3.1 million, excluding stamp taxes. As of December 31, 2024, common shares having aggregate gross proceeds up to $363.7 million remain available.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Do Not Expect To Pay Dividends In The Foreseeable Future.</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not paid any dividends since our incorporation. Even if future operations lead to significant levels of distributable profits, we currently intend that any earnings will be reinvested in our business and that no dividends will be paid prior to the time we have an established revenue stream to support continuing dividends. The proposal to pay future dividends to shareholders will in addition effectively be at the discretion of our board of directors and shareholders after taking into account various factors including our business prospects, cash requirements, financial performance and new product development. In addition, payment of future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dividends is subject to certain limitations pursuant to Swiss law or by our articles of association. Accordingly, investors cannot rely on dividend income from our common shares and any returns on an investment in our common shares will likely depend entirely upon any future appreciation in the price of our common shares. Dividends, if any, paid on our common shares are subject to Swiss federal withholding tax, except if paid out of reserves from capital contributions, or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For additional information, please see "</w:t>
      </w:r>
      <w:r>
        <w:rPr>
          <w:rFonts w:ascii="Times New Roman" w:cs="Times New Roman" w:eastAsia="Times New Roman" w:hAnsi="Times New Roman"/>
          <w:sz w:val="18"/>
          <w:szCs w:val="18"/>
          <w:i w:val="1"/>
          <w:iCs w:val="1"/>
          <w:color w:val="auto"/>
        </w:rPr>
        <w:t>Risk Factors—Risks Related to The Ownership of Our Common Shares—Our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Status As A Swiss Corporation May Limit Our Flexibility With Respect To Certain Aspects Of Capital Management And May Cause Us To Be Unable To Make Distributions Without Subjecting Our Shareholders To Swiss Withholding Tax</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Are A Swiss Corporation. The Rights Of Our Shareholders May Be Different From The Rights Of Shareholders In Companies Governed By The Laws Of U.S. Jurisdictions.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Swiss corporation. Our corporate affairs are governed by our articles of association and by Swiss law.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and our employees with due observation of the principles of reasonableness and fairness. It is possible that the board of directors will consider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the duty of care and loyalty. As a matter of Swiss law, shareholder claims against a member of our board of directors for breach of the duty of care and loyalty would have to be brought in Zug, Switzerland, or where the relevant member of our board of directors is domiciled. In addition, under Swiss law, any claims by our shareholders against us must be brought exclusively in Zug, Switzerland.</w:t>
      </w:r>
    </w:p>
    <w:p>
      <w:pPr>
        <w:spacing w:after="0" w:line="192"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As A Swiss Corporation, We Are Subject To Swiss Legal Provisions That May Limit Our Flexibility To Swiftly Implement Certain Initiatives Or Strategies.</w:t>
      </w:r>
    </w:p>
    <w:p>
      <w:pPr>
        <w:spacing w:after="0" w:line="52"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We are required, from time to time, to evaluate the carrying amount of our investments in affiliates, as presented on our Swiss standalone balance sheet. If we determine that the carrying amount of any such investment exceeds its fair value, we may conclude that such investment is impaired. The recognized loss associated with such a non-cash impairment could result in our net assets no longer covering our statutory share capital and statutory capital reserves. Under Swiss law, if our net assets cover less than 50 percent of our statutory share capital, statutory capital reserves and statutory earnings reserves that are not repayable to shareholders, the board of directors must take appropriate measure to overcome the situation and, if necessary, convene a general meeting of shareholders and propose measures to remedy such a capital loss. The appropriate measures depend on the relevant circumstances and the magnitude of the recognized loss and may include seeking shareholder approval for offsetting the aggregate loss, or a portion thereof, with our statutory capital reserves including qualifying additional paid-in capital otherwise available for distributions to shareholders or raising new equity. Depending on the circumstances, we may also need to use qualifying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available for distributions in order to reduce our accumulated net loss and such use might reduce our ability to make distributions without subjecting our shareholders to Swiss withholding tax. These Swiss law requirements could limit our flexibility to swiftly implement certain initiatives or strategies.</w:t>
      </w:r>
    </w:p>
    <w:p>
      <w:pPr>
        <w:spacing w:after="0" w:line="91" w:lineRule="exact"/>
        <w:rPr>
          <w:sz w:val="20"/>
          <w:szCs w:val="20"/>
          <w:color w:val="auto"/>
        </w:rPr>
      </w:pPr>
    </w:p>
    <w:p>
      <w:pPr>
        <w:ind w:right="8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 In Our Articles Of Association Could Make An Acquisition Of Our Company, Which May Be Beneficial To Our Shareholders, More Difficult And May Prevent Attempts By Our Shareholders To Replace Or Remove Our Current Management.</w:t>
      </w:r>
    </w:p>
    <w:p>
      <w:pPr>
        <w:spacing w:after="0" w:line="5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Provisions in our articles of association may discourage, delay or prevent an acquisition of our Company or changes in the composition of our board of directors. Among other things, these provisions require the approval of at least two thirds of represented shares present or voting at a shareholder meeting for the removal of a member of our board of directors and to increase the maximum number of members of our board of directors; limit the accumulated voting rights of any person or entity to 15% of our registered share capital; limit the voting rights of an acquirer of more than 5% of our registered share capital in a transaction or series of transactions in which our board of directors did not provide for an exemption, which could prevent or delay a change in control of our Company; provide that the board of directors is authorized to conduct one or more increases of the Company’s share capital, at any time until June 8, 2028, or the expiry of the capital band, if earlier (see “</w:t>
      </w:r>
      <w:r>
        <w:rPr>
          <w:rFonts w:ascii="Times New Roman" w:cs="Times New Roman" w:eastAsia="Times New Roman" w:hAnsi="Times New Roman"/>
          <w:sz w:val="18"/>
          <w:szCs w:val="18"/>
          <w:i w:val="1"/>
          <w:iCs w:val="1"/>
          <w:color w:val="auto"/>
        </w:rPr>
        <w:t>Risk Factors—Risks Related to The Ownership of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Shares—Our Status As A Swiss Corporation May Limit Our Flexibility With Respect To Certain Aspects Of Capital Management And May Cause Us To Be Unable To Make Distributions Without Subjecting Our Shareholders To Swiss Withholding Tax”</w:t>
      </w:r>
      <w:r>
        <w:rPr>
          <w:rFonts w:ascii="Times New Roman" w:cs="Times New Roman" w:eastAsia="Times New Roman" w:hAnsi="Times New Roman"/>
          <w:sz w:val="18"/>
          <w:szCs w:val="18"/>
          <w:color w:val="auto"/>
        </w:rPr>
        <w:t>), to issue a specified number of shares within the limit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capital band, which under our current capital band is approximately sixteen percent of the issued share capital, and to limit or withdraw the preemptive rights of existing shareholders in various circumstances; provide for a conditional share capital that authorizes the issuance of additional shares up to a maximum amount of approximately thirty-five percent of the issued share capital, without obtaining additional shareholder approval, (i) through the exercise of conversion and/or option rights granted in connection with bonds or similar instruments, including convertible debt instruments, and (ii) in connection with the exercise of options granted to employees or other service providers of the Company or any of its subsidiaries; and provide that a merger or demerger transaction requires the affirmative vote of at least two thirds of the shares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represented at a shareholders’ meeting.</w:t>
      </w:r>
    </w:p>
    <w:p>
      <w:pPr>
        <w:spacing w:after="0" w:line="11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Although we believe these provisions collectively provide for an opportunity to obtain greater value for shareholders by requiring potential acquirors to negotiate with our board of directors, they would apply even if an offer rejected by our board were considered beneficial by some shareholders. In addition, these provisions may frustrate or prevent any attempts by our shareholders to replace or remove our current management by making it more difficult for shareholders to replace members of our board of directors, which is responsible for appointing the members of our management.</w:t>
      </w:r>
    </w:p>
    <w:p>
      <w:pPr>
        <w:spacing w:after="0" w:line="162"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Common Shares Are Issued Under The Laws Of Switzerland, Which May Not Protect Investors In A Similar Fashion Afforded By Incorporation In A U.S. State.</w:t>
      </w:r>
    </w:p>
    <w:p>
      <w:pPr>
        <w:spacing w:after="0" w:line="52"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We are organized under the laws of Switzerland. However, there can be no assurance that Swiss law will not change in the future or that it will serve to protect investors in a similar fashion afforded under corporate law principles in the United States, which could adversely affect the rights of investors.</w:t>
      </w:r>
    </w:p>
    <w:p>
      <w:pPr>
        <w:spacing w:after="0" w:line="138"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5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articles of association as in force allow our shareholders to introduce a capital band authorizing the board of directors to increase the share capital without additional shareholder approval. The capital band approved by our shareholders will expire on June 8, 2028 and is limited to approximately sixteen percent of our issued share capital. Subject to specified exceptions, Swiss law grants preemptive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the payment of dividends and the cancellation of treasury shares must be approved by shareholders. These Swiss law requirements relating to our capital management may limit our flexibility, and situations may arise where greater flexibility would have provided substantial benefits to our shareholders.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Swiss law, a Swiss corporation may pay dividends only if the corporation has sufficient distributable profits, or if the corporation has distributable reserves, each as evidenced by its audited standalone statutory balance sheet, and after allocations to reserves required by Swiss law and our articles of association have been deducted. Freely distributable reserves are generally booked either as "statutory capital reserves" (</w:t>
      </w:r>
      <w:r>
        <w:rPr>
          <w:rFonts w:ascii="Times New Roman" w:cs="Times New Roman" w:eastAsia="Times New Roman" w:hAnsi="Times New Roman"/>
          <w:sz w:val="18"/>
          <w:szCs w:val="18"/>
          <w:i w:val="1"/>
          <w:iCs w:val="1"/>
          <w:color w:val="auto"/>
        </w:rPr>
        <w:t>gesetzliche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Kapitalreserven, </w:t>
      </w:r>
      <w:r>
        <w:rPr>
          <w:rFonts w:ascii="Times New Roman" w:cs="Times New Roman" w:eastAsia="Times New Roman" w:hAnsi="Times New Roman"/>
          <w:sz w:val="18"/>
          <w:szCs w:val="18"/>
          <w:color w:val="auto"/>
        </w:rPr>
        <w:t>contributions received from shareholders) or in the statutory or voluntary "retained earnings." Distributions may be made out of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capital—the aggregate par value of a company’s registered shares—only by way of a capital reduction. We will not be able to pay dividends or make other distributions to shareholders on a Swiss withholding tax-free basis in excess of our aggregate qualifying contributions and registered share capital unless we increase our share capital or our reserves from capital contributions. We would also be able to pay dividends out of distributable profits or freely distributable reserves, but such dividends would be subject to Swiss withholding taxes. There can be no assurance that we will have sufficient distributable profits, capital reserves, retained earnings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Dividends and similar cash or in-kind distributions made by the Company to a shareholder (including liquidation proceeds and stock dividends) are subject to Swiss withholding tax (</w:t>
      </w:r>
      <w:r>
        <w:rPr>
          <w:rFonts w:ascii="Times New Roman" w:cs="Times New Roman" w:eastAsia="Times New Roman" w:hAnsi="Times New Roman"/>
          <w:sz w:val="18"/>
          <w:szCs w:val="18"/>
          <w:i w:val="1"/>
          <w:iCs w:val="1"/>
          <w:color w:val="auto"/>
        </w:rPr>
        <w:t>Verrechnungssteuer</w:t>
      </w:r>
      <w:r>
        <w:rPr>
          <w:rFonts w:ascii="Times New Roman" w:cs="Times New Roman" w:eastAsia="Times New Roman" w:hAnsi="Times New Roman"/>
          <w:sz w:val="18"/>
          <w:szCs w:val="18"/>
          <w:color w:val="auto"/>
        </w:rPr>
        <w:t>), currently at a rate of 35% (applicable to the gross amount of the taxable distribution). The Company is obliged to deduct the Swiss withholding tax from the gross amount of any taxable distribution and to pay the tax to the Swiss Federal Tax Administration within 30 calendar days of the due date of such distribution. However, the repayment of the nominal value of the shares and any repayment of qualifying additional paid-in capital (capital contribution reserves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are not subject to Swiss withholding tax. The Swiss withholding tax will also apply to payments (exceeding the respective share capital and used capital contribution reserves) upon a repurchase of shares by the Company, (i) if the Company’s share capital is reduced upon such repurchase (redemption of shares), (ii) if the total of repurchased shares exceeds 10% of the Company’s share capital or (iii) if the repurchased shares are not resold within six years after the repurchase. This six-year deadline to resell the repurchased shares is suspended for so long as the shares are reserved to cover obligations under convertible bonds, option bonds or employee stock option plans (in the case of employee stock option plans, the maximum suspension is six years). In the event of a taxable share repurchase, Swiss withholding tax is imposed on the difference between the repurchase price and the sum of the nominal value of the repurchased shares and capita contribution reserves paid back upon the repurchase.</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Swiss resident individuals who hold their shares as private assets, or Resident Private Shareholders, are in principle eligible for a full refund or credit against income tax of the Swiss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inter alia, frequent dealing, or leveraged investments, in shares and other securities (collectively, “Domestic Commercial Shareholders”) are in principle eligible for a full refund or credit against income tax of the Swiss withholding tax if they duly report the underlying income in their income statements or income tax return, as the case may be.</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“Non-Resident Shareholders”) may be entitled to a total or partial refund of the Swiss withholding tax if the country in which such recipient resides for tax purposes maintains a bilateral treaty, or Tax Treaty, for the avoidance of double taxation with Switzerland and further conditions of such Tax Treaty are met.</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U.S. shareholder that qualifies for benefits under the U.S.-Swiss Tax Treaty, may apply for a refund of the tax withheld in excess of the 15% treaty rate (or in excess of the 5% reduced treaty rate for qualifying corporate shareholders with at least 10% voting rights, or for a full refund in the case of qualified pension funds).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shares and the procedures for claiming a refund of the Swiss withholding tax.</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Certain U.S. Shareholders May Be Subject To Adverse U.S. Federal Income Tax Consequences If We Are A Controlled Foreign Corporation.</w:t>
      </w:r>
    </w:p>
    <w:p>
      <w:pPr>
        <w:spacing w:after="0" w:line="11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Each “Ten Percent Shareholder” (as defined below) in a non-U.S. corporation that is classified as a “controlled foreign corporation,” or a CFC, for United States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and royalties, gains from the sale of securities and income from certain transactions with related parties. For tax years beginning after December 31, 2017, each Ten Percent Shareholder of a CFC is also required to include in income such Ten Percent Shareholder’s share of “global intangible low-taxed income” with respect to such CFC. In addition, a Ten Percent Shareholder that realizes gain from the sale or exchange of shares in a CFC may be required to classify a portion of such gain as dividend income rather than capital gain. A non-U.S. corporation generally will be classified as a CFC for United States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or the Code, who owns or is considered to own 10% or more of (1) the total combined voting power of all classes of stock entitled to vote or (2) the value of all classes of stock of such corporation. The determination of CFC status is complex and includes attribution rules, the application of which is not entirely certain.</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our 2024 taxable year we believe that we had certain shareholders that were Ten Percent Shareholders for U.S. federal income tax purposes. However, our CFC status for the taxable year ending on December 31, 2024 and our current taxable year is unknown and we may be a CFC for the taxable year ending on December 31, 2024, our current taxable year or a following year. In addition, recent changes to the attribution rules relating to the determination of CFC status may make it difficult to determine our CFC status for any taxable year. Furthermore, it is possible that our non-United States subsidiaries will be CFCs for the current taxable year or a future taxable year even if we are not a CFC for such taxable year(s). U.S. holders should consult their own tax advisors with respect to the potential adverse U.S. tax consequences of becoming a Ten Percent Shareholder in a CFC. If we are classified as both a CFC and a passive foreign investment company, or PFIC, we generally will not be treated as a PFIC with respect to those U.S. holders that meet the definition of a Ten Percent Shareholder during the period in which we are a CFC.</w:t>
      </w:r>
    </w:p>
    <w:p>
      <w:pPr>
        <w:spacing w:after="0" w:line="190"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U.S. Holders Of Our Common Shares May Suffer Adverse Tax Consequences If We Are Characterized As A Passive Foreign Investment Company For Any Taxable Year.</w:t>
      </w:r>
    </w:p>
    <w:p>
      <w:pPr>
        <w:spacing w:after="0" w:line="5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Generally, if, for any taxable year,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cash, including the funds raised in offerings of our common shares. If we are characterized as a PFIC, U.S. holders (as defined below) of our common shares may suffer adverse tax consequences, including having gains realized on the sale of common shares treated as ordinary income, rather than capital gain, the loss of the preferential rate applicable to dividends received on our common shares by individuals who are U.S. holders, and having interest charges apply to distributions by us and the proceeds of sales of our common shares.</w:t>
      </w:r>
    </w:p>
    <w:p>
      <w:pPr>
        <w:spacing w:after="0" w:line="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It is possible we were a PFIC with respect to the 2023 taxable year and it is possible we may be a PFIC for the 2024 taxable year or a future taxable year as well, in which case U.S. holders (as defined below under “Taxation—Material U.S. Federal Income Tax</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0" w:name="page91"/>
    <w:bookmarkEnd w:id="90"/>
    <w:p>
      <w:pPr>
        <w:ind w:right="20"/>
        <w:spacing w:after="0" w:line="255" w:lineRule="auto"/>
        <w:rPr>
          <w:sz w:val="20"/>
          <w:szCs w:val="20"/>
          <w:color w:val="auto"/>
        </w:rPr>
      </w:pPr>
      <w:r>
        <w:rPr>
          <w:rFonts w:ascii="Times New Roman" w:cs="Times New Roman" w:eastAsia="Times New Roman" w:hAnsi="Times New Roman"/>
          <w:sz w:val="18"/>
          <w:szCs w:val="18"/>
          <w:color w:val="auto"/>
        </w:rPr>
        <w:t>Considerations to U.S. Holders”) would be subject to a special, generally adverse tax regime. We have not made a determination as to whether we will be a PFIC for any taxable year, and we cannot provide any assurances regarding our PFIC status for past, current or future taxable years. Our status as a PFIC is a fact intensive determination made on an annual basis. Whether we are a PFIC for any taxable year will depend on the composition of our income and assets, and the estimated fair market values of our assets, in each year. The market value of our assets may be determined in large part by reference to the market price of our common shares, which is likely to fluctuate. Our status as a PFIC also depends on the interpretation of the rules governing the PFIC income and asset tests, which are subject to uncertainty (including with respect to the characterization of income from government grants, for which direct legal authority does not exist).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“U.S. holder” is a beneficial owner of common shares that is (or is treated as), for U.S. federal income tax purposes:</w:t>
      </w:r>
    </w:p>
    <w:p>
      <w:pPr>
        <w:spacing w:after="0" w:line="63"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63" w:lineRule="exact"/>
        <w:rPr>
          <w:rFonts w:ascii="Times New Roman" w:cs="Times New Roman" w:eastAsia="Times New Roman" w:hAnsi="Times New Roman"/>
          <w:sz w:val="18"/>
          <w:szCs w:val="18"/>
          <w:color w:val="auto"/>
        </w:rPr>
      </w:pPr>
    </w:p>
    <w:p>
      <w:pPr>
        <w:ind w:left="520" w:right="260" w:hanging="512"/>
        <w:spacing w:after="0" w:line="281"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created or organized in or under the laws of the United States, any state thereof, or the District of Columbia;</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63" w:lineRule="exact"/>
        <w:rPr>
          <w:rFonts w:ascii="Times New Roman" w:cs="Times New Roman" w:eastAsia="Times New Roman" w:hAnsi="Times New Roman"/>
          <w:sz w:val="18"/>
          <w:szCs w:val="18"/>
          <w:color w:val="auto"/>
        </w:rPr>
      </w:pPr>
    </w:p>
    <w:p>
      <w:pPr>
        <w:ind w:left="520" w:right="18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its administration and one or more U.S. persons have the authority to control all of the substantial decisions of such trust, or (b) the trust has a valid election in effect under applicable U.S. Treasury Regulations to be treated as a United States person.</w:t>
      </w:r>
    </w:p>
    <w:p>
      <w:pPr>
        <w:spacing w:after="0" w:line="174"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U.S. Shareholders May Not Be Able To Obtain Judgments Or Enforce Civil Liabilities Against Us Or Our Executive Officers Or Members Of Our Board Of Directors.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Zug, Switzerland. Moreover, previously certain of our directors and executive officers were not residents, and again in the future could not be residents, of the United States, and all or a substantial portion of the assets of such persons were located, or could be in the future,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mandatory provisions of Swiss law may be applicable regardless of any other law that would otherwise apply.</w:t>
      </w:r>
    </w:p>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72"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63"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Security and Privacy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May Fail To Comply With Evolving European And Other Privacy Laws.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Numerous state, federal, and international laws and regulations govern the collection, dissemination, use, privacy, confidentiality, security, availability, integrity, and other processing of personal data or personally identifiable information. In the United States, numerous states have passed comprehensive consumer privacy laws, and several other states have proposed similar legislation.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European privacy laws, such as the GDPR, where we collect and use personal data related to Europe, including in connection with conducting our clinical trials in the EEA and the Swiss data protection regime. The GDPR imposes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1" w:name="page92"/>
    <w:bookmarkEnd w:id="91"/>
    <w:p>
      <w:pPr>
        <w:spacing w:after="0" w:line="255" w:lineRule="auto"/>
        <w:rPr>
          <w:sz w:val="20"/>
          <w:szCs w:val="20"/>
          <w:color w:val="auto"/>
        </w:rPr>
      </w:pPr>
      <w:r>
        <w:rPr>
          <w:rFonts w:ascii="Times New Roman" w:cs="Times New Roman" w:eastAsia="Times New Roman" w:hAnsi="Times New Roman"/>
          <w:sz w:val="18"/>
          <w:szCs w:val="18"/>
          <w:color w:val="auto"/>
        </w:rPr>
        <w:t>broad range of strict requirements on companies subject to the GDPR, including requirements relating to processing special categories of personal data (such as health data), where required obtaining consent of the individuals to whom the personal data relates, having legal bases and/or conditions for processing personal data, including to the United States, providing details to those individuals regarding the processing of their personal data, implementing safeguards to protect the security and confidentiality of personal data, having data processing agreements with third parties who process personal data,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for high risk processing activities, ensuring certain accountability measures and record-keeping.</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Failure to comply with the GDPR and any supplemental EEA Member State or UK national data protection laws which may apply by virtue of the location of the individuals whose personal data we collect, may result in substantial penalties, including potential fines of up to the greater of €20 million (£17.5 million under the UK GDPR) or 4% of our total worldwide annual turnover. The GDPR also confers a private right of action on data subjects and consumer associations to lodge complaints with supervisory authorities, seek judicial remedies, and obtain compensation for damages resulting from violations of the GDPR. Compliance with the GDPR remains a rigorous and time-intensive process that may increase the cost of doing business or require companies to change their business practices to ensure full compliance. In particular, EEA Member States have implemented national laws which may partially deviate from the EU GDPR and impose different and more restrictive obligations from country to country, so that we do not expect to operate in a uniform legal landscape in the EEA. Also, as it relates to processing and transfer of genetic data, the GDPR specifically allows EU Member State nations to enact laws that impose additional and more specific requirements or restrictions, and European laws have historically differed quite substantially in this field, leading to additional uncertainty.</w:t>
      </w:r>
    </w:p>
    <w:p>
      <w:pPr>
        <w:spacing w:after="0" w:line="86"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The UK’s data protection regime is independent from but aligned to the EU’s data protection regime. Although the UK is regarded as a third country under the EU’s GDPR, the European Commission has now issued a decision recognizing the UK as providing adequate protection under the EU GDPR and, therefore, transfers of personal data originating in the EEA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The UK Government introduced the Data Protection and Digital Information Bill, which failed in the UK legislative process. A new Data (Use and Access) Bill, or UK Bill, has been introduced into parliament.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outside of the EEA and UK to countries that do not ensure an adequate level of protection, like the United States. We must, therefore, ensure that we maintain adequate safeguards to enable the transfer of personal data outside of the EEA or the UK, in compliance with European data protection laws. In some cases, we rely upon the European Commission approved standard contractual clauses to legitimize transfers of personal data out of the EEA from controllers or processors established outside the EEA (and not subject to the GDPR). The UK is not subject to the European Commission's standard contractual clauses but has published its own transfer mechanism, the International Data Transfer Agreement, which enables transfers from the UK. Changes with respect to any of these matters may lead to additional costs and increase our overall risk exposure. The EU and United States have adopted its adequacy decision for the EU-U.S. Data Privacy Framework, or Framework, which entered into force on July 11, 2023. This Framework provides that the protection of personal data transferred between the EU and the U.S.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w:t>
      </w:r>
    </w:p>
    <w:p>
      <w:pPr>
        <w:spacing w:after="0" w:line="86"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Switzerland has adopted a revised data protection regime which came into effect in September 2023. As a general matter, Switzerland’s national data protection regime is aligned to the EU’s data protection regime. Switzerland’s data protection regime has similar restrictions on data transfers from Switzerland to recipients outside the EEA and UK. There has been an extension to the Framework to cover Swiss transfers to the United States.</w:t>
      </w:r>
    </w:p>
    <w:p>
      <w:pPr>
        <w:spacing w:after="0" w:line="6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expect that we will continue to face uncertainty as to whether our efforts to comply with any obligations under European privacy laws will be sufficient. A failure to comply with European data protection laws, could result in data protection authority enforcement action, which could result in fines and other penalties, private litigation or adverse publicity and could negatively affect our operating results and business. Any such investigation or charges by European data protection authorities could have a negative effect on our existing business and on our ability to attract and retain new clients or pharmaceutical partners.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ind w:right="5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Artificial Intelligence Presents Risks And Challenges That Can Impact Our Business Including By Posing Security Risks To Our Confidential Information, Proprietary Information And Personal Data.</w:t>
      </w:r>
    </w:p>
    <w:p>
      <w:pPr>
        <w:spacing w:after="0" w:line="5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0"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Internal Information Technology Systems, Or Those Of Our Collaborators Or Other Contractors Or Consultants, May Fail Or Suffer Security Breaches, Which Could Result In A Material Disruption Of Our Product Development Programs.</w:t>
      </w:r>
    </w:p>
    <w:p>
      <w:pPr>
        <w:spacing w:after="0" w:line="52" w:lineRule="exact"/>
        <w:rPr>
          <w:sz w:val="20"/>
          <w:szCs w:val="20"/>
          <w:color w:val="auto"/>
        </w:rPr>
      </w:pPr>
    </w:p>
    <w:p>
      <w:pPr>
        <w:ind w:right="180" w:firstLine="509"/>
        <w:spacing w:after="0" w:line="272" w:lineRule="auto"/>
        <w:rPr>
          <w:sz w:val="20"/>
          <w:szCs w:val="20"/>
          <w:color w:val="auto"/>
        </w:rPr>
      </w:pPr>
      <w:r>
        <w:rPr>
          <w:rFonts w:ascii="Times New Roman" w:cs="Times New Roman" w:eastAsia="Times New Roman" w:hAnsi="Times New Roman"/>
          <w:sz w:val="17"/>
          <w:szCs w:val="17"/>
          <w:color w:val="auto"/>
        </w:rPr>
        <w:t>Our internal information technology systems and those of our current and any future collaborators and other contractors or consultants are vulnerable to damage from computer viruses, ransomware,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6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encryption through ransomware,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such as a denial of service and insider threats.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7"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We Incur Significant Costs As A Result Of Operating As A Public Company And Our Management Is Required To Devote Substantial Time To Compliance Initiatives And Corporate Governance Practices.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3" w:name="page94"/>
    <w:bookmarkEnd w:id="93"/>
    <w:p>
      <w:pPr>
        <w:ind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SOX,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Moreover, these requirements increase our legal and financial compliance costs and make some activities more time-consuming and costly.</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Pursuant to SOX Section 404, we are required to furnish a report by our management on our internal control over financial reporting, including an attestation report on internal control over financial reporting issued by our independent registered public accounting firm. In this regard, we incur substantial accounting expenses and expend significant management efforts. Our testing may reveal deficiencies in our internal control over financial reporting that are deemed to be material weaknesses or significant deficiencies. If we identify one or more material weaknesses, or significant deficiencies that we cannot remediate in a timely manner, it could result in an adverse reaction in the financial markets due to a loss of confidence in the reliability of our financial statements.</w:t>
      </w:r>
    </w:p>
    <w:p>
      <w:pPr>
        <w:spacing w:after="0" w:line="185" w:lineRule="exact"/>
        <w:rPr>
          <w:sz w:val="20"/>
          <w:szCs w:val="20"/>
          <w:color w:val="auto"/>
        </w:rPr>
      </w:pPr>
    </w:p>
    <w:p>
      <w:pPr>
        <w:ind w:right="8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The Market Price Of Our Common Shares Has Been Volatile and Fluctuate Substantially, Which Could Result In Substantial Losses For Shareholders.</w:t>
      </w:r>
    </w:p>
    <w:p>
      <w:pPr>
        <w:spacing w:after="0" w:line="5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share price has been, and in the future may be, subject to substantial volatility. In addition, the stock market in general, and Nasdaq listed biopharmaceutical companies in particular have experienced extreme price and volume fluctuations that have often been unrelated or disproportionate to the operating performance of these companies. For example, our shares traded within a range of a high price of $220.20 and a low price of $11.63 per share for the period beginning on October 19, 2016, our first day of trading on the Nasdaq Global Market, through December 31, 2024. As a result of this volatility, our shareholders could incur substantial losses. In addition, the market price for our common shares may be influenced by many factors, including:</w:t>
      </w:r>
    </w:p>
    <w:p>
      <w:pPr>
        <w:spacing w:after="0" w:line="79"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any product candidates that we may develop;</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63" w:lineRule="exact"/>
        <w:rPr>
          <w:rFonts w:ascii="Times New Roman" w:cs="Times New Roman" w:eastAsia="Times New Roman" w:hAnsi="Times New Roman"/>
          <w:sz w:val="18"/>
          <w:szCs w:val="18"/>
          <w:color w:val="auto"/>
        </w:rPr>
      </w:pPr>
    </w:p>
    <w:p>
      <w:pPr>
        <w:ind w:left="520" w:right="100" w:hanging="512"/>
        <w:spacing w:after="0" w:line="28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genomic products, including those that involve gene editing;</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clinical development programs, or product candidates that we may develop;</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shares by us, our insiders, or other shareholders;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common shares;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shares to fluctuate substantially, regardless of our actual operating performance, which may limit or prevent investors from readily selling their common shares and may otherwise negatively affect the liquidity of our common shares. In the past, when the market price of a stock has been volatile, holders of that stock have instituted securities class action litigation against the company that issued the stock. If any of our shareholders brought a lawsuit against us, we could incur substantial costs defending the lawsuit. Such a lawsuit could also divert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time and attention of our management.</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Unfavorable Global Economic Conditions Could Adversely Affect Our Business, Financial Condition Or Results Of Operations.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disruption of global financial markets and a recession or market correction, including, for example, as a result of the coronavirus pandemic, political unrest, including as a result of geopolitical tension such as a deterioration in the relationship between the United States and China, escalation of tensions between China and Taiwan, the ongoing military conflict between Russia and Ukraine and related sanctions imposed against Russia, or the Israel-Hamas war, and other global macroeconomic factors such as inflation. Such conditions could reduce our ability to access capital, which could in the future negatively affect our liquidity and could materially affect our business and the value of our common stock.</w:t>
      </w:r>
    </w:p>
    <w:p>
      <w:pPr>
        <w:spacing w:after="0" w:line="185"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May Be Adversely Affected By A Pandemic, Epidemic Or Outbreak Of An Infectious Disease, Such As The Recent Coronavirus Pandemic And The Emergence of Additional Variants.</w:t>
      </w:r>
    </w:p>
    <w:p>
      <w:pPr>
        <w:spacing w:after="0" w:line="5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in regions where we have concentrations of clinical trial sites or other business activities and could cause significant disruption in the operations of third-party contract manufacturers and contract research organizations upon whom we rely, as well as our ability to recruit patients for our clinical trials.</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recent coronavirus pandemic had unpredictable impacts on global societies, economies, financial markets, and business practices around the world. For example, we experienced, and may experience again, some temporary delays or disruptions due to the coronavirus pandemic, including pauses in and delays to patient dosing, limited or reduced patient access to ICU beds, hospitals and healthcare resources generally, delayed initiation of new clinical trial sites and limited on-site personnel support at various trial sites. In addition, certain of our third-party manufacturers and suppliers paused their operations as a result of the pandemic, and may in the future pause their operations again if additional waves of the coronavirus or other pandemics impact local communities and/or as a result of national and local regulations. While the global public health emergency declaration related to the coronavirus ended in May 2023, we continue to actively monitor and manage our response and continue to evaluate the actual and potential impacts to our business operations, including on our ongoing and planned clinical trials. We will continue to work closely with our third-party vendors, collaborators, and other parties in order to seek to advance our programs and pipeline of product candidates, while keeping the health and safety of our employees and their families, partners, third-party vendors, healthcare providers, patients and communities a top priority.</w:t>
      </w:r>
    </w:p>
    <w:p>
      <w:pPr>
        <w:spacing w:after="0" w:line="192"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Conditions In The Banking System And Financial Markets, Including The Failure Of Banks And Financial Institutions, Could Have An Adverse Effect On Our Operations And Financial Results.</w:t>
      </w:r>
    </w:p>
    <w:p>
      <w:pPr>
        <w:spacing w:after="0" w:line="5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the Federal Deposit Insurance Corporation took control and was appointed receiver of Silicon Valley Bank, Signature Bank and Silvergate Capital Corp., after each bank was unable to continue their operations. Since then, additional financial institutions have experienced similar failures and have been placed into receivership. It is possible that other banks will face similar difficulty in the future. These events exposed vulnerabilities in the banking sector, including legal uncertainties, significant volatility and contagion risk, and caused market prices of regional bank stocks to plummet.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88"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If Securities Analysts Do Not Publish Research Or Reports About Our Business Or If They Publish Negative Evaluations Of Our Common Shares, The Price Of Our Common Shares Could Decline.</w:t>
      </w:r>
    </w:p>
    <w:p>
      <w:pPr>
        <w:spacing w:after="0" w:line="52"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shares will rely in part on the research and reports that industry or financial analysts publish about us or our business. If one or more of the analysts covering our business downgrade their evaluations of our common shares, the price of our common shares could decline. If one or more of these analysts cease to cover our common shares, we could lose visibility in the market for our common shares, which in turn could cause our common share price to decline.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Business Is Subject To Economic, Political, Regulatory And Other Risks Associated With International Operations.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a variety of factors, including:</w:t>
      </w:r>
    </w:p>
    <w:p>
      <w:pPr>
        <w:spacing w:after="0" w:line="117"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outside the United States;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outside the United States; and</w:t>
      </w:r>
    </w:p>
    <w:p>
      <w:pPr>
        <w:spacing w:after="0" w:line="6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floods and fires.</w:t>
      </w:r>
    </w:p>
    <w:p>
      <w:pPr>
        <w:spacing w:after="0" w:line="22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Disruptions At The FDA, The SEC and Other Government Agencies Caused By the Change in Presidential Administration Or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Currently, federal agencies in the United States are operating under a continuing resolution that is set to expire on March 14, 2025.</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use, store and process data including data of our employees, partners, collaborators, and vendors. We also process anonymized information about participants in clinical trials involving certain of our product candidates. We have implemented a cybersecurity risk management program that is designed to identify, assess, and mitigate risks from cybersecurity threats to this data and our systems.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includes a number of components, including information security program assessments and continuous monitoring of critical risks from cybersecurity threats using automated tools. We periodically engage third parties to conduct risk assessments on our systems, including penetration testing and other vulnerability analyses. Our finance department, with the assistance of outside technical advisors, periodically conducts an internal assessment of different systems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spacing w:after="0" w:line="253" w:lineRule="auto"/>
        <w:rPr>
          <w:sz w:val="20"/>
          <w:szCs w:val="20"/>
          <w:color w:val="auto"/>
        </w:rPr>
      </w:pPr>
      <w:r>
        <w:rPr>
          <w:rFonts w:ascii="Times New Roman" w:cs="Times New Roman" w:eastAsia="Times New Roman" w:hAnsi="Times New Roman"/>
          <w:sz w:val="18"/>
          <w:szCs w:val="18"/>
          <w:color w:val="auto"/>
        </w:rPr>
        <w:t>assess our risk management processes, including cybersecurity risk management. Additionally, we have implemented an employee education program that is designed to raise awareness of cybersecurity threats, including risks posed by phishing attempts. This training is included during the employee onboarding process and periodically thereafter. As part of our cybersecurity risk management program, we maintain processes to assess and review the cybersecurity practices of third-party vendors and suppliers. Prior to engaging third-party vendors and key suppliers, we conduct a security assessment and, as appropriate, include security requirements in contracts. We, like other companies in our industry, face a number of cybersecurity risks in connection with our business. Although our business strategy, results of operations, and financial condition have not, to date, been materially affected by risks from cybersecurity threats, including as a result of previously identified cybersecurity incidents, we have, from time to time, experienced threats to and security incidents related to our data and systems, including phishing attacks. For more information on our cybersecurity related risks,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Information Security and Privacy—Our Internal Information Technology Systems, Or Those Of Our Collaborators Or Other Contractors Or Consultants, May Fail Or Suffer Security Breaches, Which Could Result In A Material Disruption Of Our Product Development Programs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ultimate direction of our chief executive officer, or CEO, and our executive management team (including our General Counsel who serves as our Chief Compliance Officer), with oversight from our audit committee of the board of directors, or Audit Committee, our Head of Information Technology, or Head of IT, has primary responsibility for assessing, operating and managing our cybersecurity threat management program. Our Head of IT meets periodically with our Chief Compliance Officer to discuss current developments in the cybersecurity landscape and our cybersecurity risk management program, including providing updates regarding the sources and nature of critical risks we face and how the IT department assesses those risks, including the likelihood of such risks, the severity of impact, and progress on vulnerability remediation.</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Chief Compliance Officer and Head of IT consult with other members of our information technology department, and with third parties with expertise in cybersecurity, to develop strategies to assess, address and align cybersecurity efforts with our business objectives and operational requirements. The Head of IT role is currently held by an individual who has over 20 years of experience with information security and business systems, including digital infrastructure and cybersecurity.</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part of our board of directors’ enterprise risk management program, our board of directors has responsibility for oversight of cybersecurity risk management. Our board of directors has delegated to our Audit Committee oversight of our cybersecurity risk management program, including oversight of information security and cybersecurity threats and related compliance and disclosure requirements. On an annual basis, our Head of IT provide an update to our Audit Committee regarding our cybersecurity risk management program, including as relates to critical cybersecurity risks, ongoing cybersecurity initiatives and strategies, and applicable regulatory requirements and industry standards. The Audit Committee periodically reports on cybersecurity risk management to the full board of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in Zug, Switzerland pursuant to a real estate lease agreement with a term that renews every three months. Our U.S. headquarters for research and development is located at 105 West First Street, Boston, Massachusetts where we lease approximately 263,500 square feet of laboratory and office space. The facility is leased through October 2034 with an option to extend the term of the lease for two additional five-year periods.</w:t>
      </w:r>
    </w:p>
    <w:p>
      <w:pPr>
        <w:spacing w:after="0" w:line="7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May 2020, we entered into a lease agreement for a 50,249 square foot building in Framingham, Massachusetts, which we are using as a cell therapy manufacturing facility for clinical production, and plan to use for commercial production, of our investigational cell therapy product candidates. This facility is leased through March 2036 with an option to extend the term of the lease for two additional seven-year periods.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also lease laboratory and office space, for example, in San Francisco, California. We believe that our facilities are adequate for our current needs and that suitable additional or substitute space would be available if needed.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or have been from time to time involved in lawsuits, investigations, proceedings and threats of litigation related to, among other things, our intellectual property estate (including the worldwide patent portfolio we have exclusively licensed from Dr. Charpentier), commercial arrangements and other matters. Such proceedings may include quasi-litigation,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administrative proceedings in the U.S. Patent and Trademark Office and the European Patent Office or patent offices in other countries, involving our intellectual property estate including the worldwide patent portfolio we have exclusively licensed from Dr. Charpentier. The outcome of any of the foregoing, is inherently uncertain. In addition, litigation and related matters are costly and may divert the attention of our management and other resources that would otherwise be engaged in other activities. If we were unable to prevail in any such proceedings, our business, results of operations, liquidity and financial condition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shares are traded on The Nasdaq Global Market under the symbol “CRSP.”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U.S.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shares between December 31, 2018 and December 31, 2024, with the cumulative total return of (a) the Nasdaq Biotechnology Index and (b) the Nasdaq Composite Index, over the same period. This graph assumes the investment of $100 on December 31, 2019 in our common shares, the Nasdaq Biotechnology Index and the Nasdaq Composite Index and assumes the reinvestment of dividends, if any. The comparisons shown in the graph below are based upon historical data. The stock price performance included in this graph is not necessarily indicative of future stock price performance.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Total Return Among CRISPR Therapeutics AG,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156845</wp:posOffset>
            </wp:positionV>
            <wp:extent cx="6172200" cy="27432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22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Withholding Tax</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present Swiss tax law, dividends due and similar cash or in-kind distributions made by us to a shareholder (including liquidation proceeds and stock dividends) are subject to Swiss federal withholding tax (</w:t>
      </w:r>
      <w:r>
        <w:rPr>
          <w:rFonts w:ascii="Times New Roman" w:cs="Times New Roman" w:eastAsia="Times New Roman" w:hAnsi="Times New Roman"/>
          <w:sz w:val="18"/>
          <w:szCs w:val="18"/>
          <w:i w:val="1"/>
          <w:iCs w:val="1"/>
          <w:color w:val="auto"/>
        </w:rPr>
        <w:t>Verrechnungssteuer</w:t>
      </w:r>
      <w:r>
        <w:rPr>
          <w:rFonts w:ascii="Times New Roman" w:cs="Times New Roman" w:eastAsia="Times New Roman" w:hAnsi="Times New Roman"/>
          <w:sz w:val="18"/>
          <w:szCs w:val="18"/>
          <w:color w:val="auto"/>
        </w:rPr>
        <w:t>) (“Withholding Tax”), currently at a rate of 35% (applicable to the gross amount of the taxable distribution). We are obliged to deduct the Withholding Tax from the gross amount of any taxable distribution and to pay the tax to the Swiss Federal Tax Administration within 30 calendar days of the due date of such distribution. However, the repayment of the nominal value of shares and any repayment of qualifying additional paid-in capital (capital contribution reserves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are not subject to the Withholding Tax. The Withholding Tax will also apply to payments (exceeding the respective share capital and used capital contribution reserves) upon a repurchase of shares by us, (i) if our share capital is reduced upon such repurchase (redemption of shares), (ii) if the total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ind w:right="80"/>
        <w:spacing w:after="0" w:line="258" w:lineRule="auto"/>
        <w:rPr>
          <w:sz w:val="20"/>
          <w:szCs w:val="20"/>
          <w:color w:val="auto"/>
        </w:rPr>
      </w:pPr>
      <w:r>
        <w:rPr>
          <w:rFonts w:ascii="Times New Roman" w:cs="Times New Roman" w:eastAsia="Times New Roman" w:hAnsi="Times New Roman"/>
          <w:sz w:val="18"/>
          <w:szCs w:val="18"/>
          <w:color w:val="auto"/>
        </w:rPr>
        <w:t>repurchased shares exceeds 10% of our share capital or (iii) if the repurchased shares are not resold within six years after the repurchase. This six year deadline to resell the repurchased shares is suspended for so long as the shares are reserved to cover obligations under convertible bonds, option bonds or employee stock option plans (in the case of employee stock option plans, the maximum suspension is six years). In the event of a taxable share repurchase, Withholding Tax is imposed on the difference between the repurchase price and the sum of the nominal value of the repurchased shares and qualifying additional paid-in capital paid back upon the repurchase.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Swiss resident individuals who hold their shares as private assets (“Resident Private Shareholders”)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 (collectively, “Domestic Commercial Shareholders”) are in principle eligible for a full refund or credit against income tax of the Withholding Tax if they duly report the underlying income in their income statements or income tax return, as the case may be.</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“Non-Resident Shareholders”) may be entitled to a total or partial refund of the Withholding Tax if the country in which such recipient resides for tax purposes maintains a bilateral treaty for the avoidance of double taxation with Switzerland (“Tax Treaty”) and further conditions of such Tax Treaty are met.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shares and the procedures for claiming a refund of the Withholding Tax.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Automatic Exchange of Information</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Automatic Exchange of Information in Tax Matters (the “AEI”) is a global initiative led by the Organization for Economic Co-operation and Development. It aims to establish a universal standard for automatic exchange of tax information and to increase tax transparency.</w:t>
      </w:r>
    </w:p>
    <w:p>
      <w:pPr>
        <w:spacing w:after="0" w:line="54" w:lineRule="exact"/>
        <w:rPr>
          <w:sz w:val="20"/>
          <w:szCs w:val="20"/>
          <w:color w:val="auto"/>
        </w:rPr>
      </w:pPr>
    </w:p>
    <w:p>
      <w:pPr>
        <w:ind w:right="260" w:firstLine="509"/>
        <w:spacing w:after="0" w:line="277" w:lineRule="auto"/>
        <w:rPr>
          <w:sz w:val="20"/>
          <w:szCs w:val="20"/>
          <w:color w:val="auto"/>
        </w:rPr>
      </w:pPr>
      <w:r>
        <w:rPr>
          <w:rFonts w:ascii="Times New Roman" w:cs="Times New Roman" w:eastAsia="Times New Roman" w:hAnsi="Times New Roman"/>
          <w:sz w:val="17"/>
          <w:szCs w:val="17"/>
          <w:color w:val="auto"/>
        </w:rPr>
        <w:t>Jurisdictions that are committed to implement or have implemented the AEI (such as Switzerland, the EU member countries and many other jurisdictions worldwide) require their Reporting Financial Institutions in accordance with the respective local implementing law to determine the tax residence(s) of their account holders and controlling persons (as applicable) and, in case of reportable accounts, report certain identification information, account information and financial information (including the account balance and related payments such as interest, dividends, other income and gross proceeds) to the local tax authority which will then exchange the information received with the tax authorities in the relevant reportable jurisdictions.</w:t>
      </w:r>
    </w:p>
    <w:p>
      <w:pPr>
        <w:spacing w:after="0" w:line="6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 list of the AEI agreements of Switzerland in effect or signed and becoming effective can be found on the website of the State Secretariat for International Financial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issuance of the shares and the sale pursuant to and in the course of an offering is subject to Swiss federal securities issuance stamp tax (</w:t>
      </w:r>
      <w:r>
        <w:rPr>
          <w:rFonts w:ascii="Times New Roman" w:cs="Times New Roman" w:eastAsia="Times New Roman" w:hAnsi="Times New Roman"/>
          <w:sz w:val="18"/>
          <w:szCs w:val="18"/>
          <w:i w:val="1"/>
          <w:iCs w:val="1"/>
          <w:color w:val="auto"/>
        </w:rPr>
        <w:t>Emissionsabgabe</w:t>
      </w:r>
      <w:r>
        <w:rPr>
          <w:rFonts w:ascii="Times New Roman" w:cs="Times New Roman" w:eastAsia="Times New Roman" w:hAnsi="Times New Roman"/>
          <w:sz w:val="18"/>
          <w:szCs w:val="18"/>
          <w:color w:val="auto"/>
        </w:rPr>
        <w:t>) of 1% and would be borne by us.</w:t>
      </w:r>
    </w:p>
    <w:p>
      <w:pPr>
        <w:spacing w:after="0" w:line="54" w:lineRule="exact"/>
        <w:rPr>
          <w:sz w:val="20"/>
          <w:szCs w:val="20"/>
          <w:color w:val="auto"/>
        </w:rPr>
      </w:pPr>
    </w:p>
    <w:p>
      <w:pPr>
        <w:ind w:right="260" w:firstLine="509"/>
        <w:spacing w:after="0" w:line="276" w:lineRule="auto"/>
        <w:rPr>
          <w:sz w:val="20"/>
          <w:szCs w:val="20"/>
          <w:color w:val="auto"/>
        </w:rPr>
      </w:pPr>
      <w:r>
        <w:rPr>
          <w:rFonts w:ascii="Times New Roman" w:cs="Times New Roman" w:eastAsia="Times New Roman" w:hAnsi="Times New Roman"/>
          <w:sz w:val="17"/>
          <w:szCs w:val="17"/>
          <w:color w:val="auto"/>
        </w:rPr>
        <w:t>The subsequent purchase or sale of our shares, whether by Resident Private Shareholders, Domestic Commercial Shareholders or Non-Resident Shareholders (secondary market transactions), may be subject to the Swiss federal securities transfer stamp tax (</w:t>
      </w:r>
      <w:r>
        <w:rPr>
          <w:rFonts w:ascii="Times New Roman" w:cs="Times New Roman" w:eastAsia="Times New Roman" w:hAnsi="Times New Roman"/>
          <w:sz w:val="17"/>
          <w:szCs w:val="17"/>
          <w:i w:val="1"/>
          <w:iCs w:val="1"/>
          <w:color w:val="auto"/>
        </w:rPr>
        <w:t>Umsatzabgabe</w:t>
      </w:r>
      <w:r>
        <w:rPr>
          <w:rFonts w:ascii="Times New Roman" w:cs="Times New Roman" w:eastAsia="Times New Roman" w:hAnsi="Times New Roman"/>
          <w:sz w:val="17"/>
          <w:szCs w:val="17"/>
          <w:color w:val="auto"/>
        </w:rPr>
        <w:t>) at a current rate of up to</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0.15%, calculated on the purchase price or the sale proceeds, respectively, if (i) such transfer occurs through or with a Swiss or Liechtenstein bank or by or with involvement of another Swiss securities dealer as defined in the Swiss federal stamp tax duty act and (ii) no exemption applies.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Federal, Cantonal and Communal Individual Income Tax and Corporate Income Tax</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 Shareholder</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Non-Resident Shareholders are not subject to any Swiss federal, cantonal or communal income tax on dividend payments and similar distributions because of the mere holding of our shares. The same applies for capital gains on the sale of shares. For Withholding Tax consequences, see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Resident Private Shareholders who receive dividends and similar cash or in-kind distributions (including liquidation proceeds as well as stock dividends or taxable repurchases of shares as described above), which are not repayments of the nominal value of the shares or qualifying additional paid-in capital, are required to report such receipts in their individual income tax returns and are subject to Swiss federal, cantonal and communal income tax on any net taxable income for the relevant tax period. Furthermore, for Swiss federal individual income tax purposes, dividends and similar distributions as described above are only taxed at 70% on federal level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the investment amounts to at least 10% of our share capital. On cantonal and communal level similar provisions were introduced but the regulations may vary, depending on the canton of residency.</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gain or a loss by Resident Private Shareholders realized upon the sale or other disposition of shares to a third party will generally be a tax-free private capital gain or a not tax-deductible capital loss, as the case may be.</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Domestic Commercial Shareholders who are corporate taxpayers may qualify for participation relief on dividend distributions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shares held have a market value of at least CHF 1 million or represent at least 10% of our share capital or give entitlement to at least 10% of our profit and reserves, respectively.</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Domestic Commercial Shareholders are required to recognize a gain or loss realized upon the disposal of shares in their income statement for the respective taxation period and are subject to Swiss federal, cantonal and communal individual or corporate income tax, as the case may be, on any net taxable earnings (including the gain or loss realized on the sale or other disposition of shares) for such taxation period. For Domestic Commercial Shareholders who are individual taxpayers, a gain realized upon the disposal of shares is taxed at 70% on federal level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(i) the investment is held in connection with the conduct of a trade or business or qualifies as an opted business asset (</w:t>
      </w:r>
      <w:r>
        <w:rPr>
          <w:rFonts w:ascii="Times New Roman" w:cs="Times New Roman" w:eastAsia="Times New Roman" w:hAnsi="Times New Roman"/>
          <w:sz w:val="18"/>
          <w:szCs w:val="18"/>
          <w:i w:val="1"/>
          <w:iCs w:val="1"/>
          <w:color w:val="auto"/>
        </w:rPr>
        <w:t>gewillkürtes Geschäftsvermögen</w:t>
      </w:r>
      <w:r>
        <w:rPr>
          <w:rFonts w:ascii="Times New Roman" w:cs="Times New Roman" w:eastAsia="Times New Roman" w:hAnsi="Times New Roman"/>
          <w:sz w:val="18"/>
          <w:szCs w:val="18"/>
          <w:color w:val="auto"/>
        </w:rPr>
        <w:t>) according to Swiss tax law, (ii) the sold shares reflect an interest in the share capital of a company of at least 10% and (iii) were held for at least one year. On cantonal and communal level similar provisions were introduced, but the regulations may vary depending on the canton of residency. Domestic Commercial Shareholders who are corporate taxpayers may be entitled to participation relief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shares sold during the tax period (i) reflect an interest in the share capital of a company of at least 10% or if such shares sold allow for at least 10% of the profit and reserves and (ii) were held for at least one year. The participation relief applies to the difference between the sale proceeds and the initial costs of the participation (</w:t>
      </w:r>
      <w:r>
        <w:rPr>
          <w:rFonts w:ascii="Times New Roman" w:cs="Times New Roman" w:eastAsia="Times New Roman" w:hAnsi="Times New Roman"/>
          <w:sz w:val="18"/>
          <w:szCs w:val="18"/>
          <w:i w:val="1"/>
          <w:iCs w:val="1"/>
          <w:color w:val="auto"/>
        </w:rPr>
        <w:t>Gestehungskosten</w:t>
      </w:r>
      <w:r>
        <w:rPr>
          <w:rFonts w:ascii="Times New Roman" w:cs="Times New Roman" w:eastAsia="Times New Roman" w:hAnsi="Times New Roman"/>
          <w:sz w:val="18"/>
          <w:szCs w:val="18"/>
          <w:color w:val="auto"/>
        </w:rPr>
        <w:t>), resulting in the taxation of a recapture of previous write-downs of the participation.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Wealth Tax and Capital Tax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33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Non-Resident Shareholders holding our shares are not subject to cantonal and communal wealth or annual capital tax because of the mere holding of such shares.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Resident Private Shareholders are required to report their shares as part of their private wealth and are subject to cantonal and communal wealth tax. Domestic Commercial Shareholders are required to report their shares as part of their business wealth or taxable capital, as defined, and are subject to cantonal and communal wealth or annual capital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Switzerland has concluded an intergovernmental agreement with the United States to facilitate the implementation of the Foreign Account Tax Compliance Act.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United States and Switzerland. On October 8, 2014, the Swiss Federal Council approved a mandate for negotiations with the United States on changing the current direct notification-based regime to a regime where the relevant information is sent to the Swiss Federal Tax Administration, which in turn provides the information to the U.S. tax authorities.</w:t>
      </w:r>
    </w:p>
    <w:p>
      <w:pPr>
        <w:spacing w:after="0" w:line="8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DISCUSSION ABOVE IS A SUMMARY OF MATERIAL SWISS TAX CONSIDERATIONS. IT DOES NOT COVER ALL TAX MATTERS THAT MAY BE OF IMPORTANCE TO A PARTICULAR SHAREHOLDER. EACH SHAREHOLDER IS URGED TO CONSULT ITS OWN TAX ADVISOR ABOUT THE TAX CONSEQUENCES TO IT IN LIGHT OF THE SHAREHOLDER’S OWN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220" w:firstLine="419"/>
        <w:spacing w:after="0" w:line="282" w:lineRule="auto"/>
        <w:rPr>
          <w:sz w:val="20"/>
          <w:szCs w:val="20"/>
          <w:color w:val="auto"/>
        </w:rPr>
      </w:pPr>
      <w:r>
        <w:rPr>
          <w:rFonts w:ascii="Times New Roman" w:cs="Times New Roman" w:eastAsia="Times New Roman" w:hAnsi="Times New Roman"/>
          <w:sz w:val="18"/>
          <w:szCs w:val="18"/>
          <w:color w:val="auto"/>
        </w:rPr>
        <w:t>As of February 7, 2025, we had approximately 17 holders of record of our common shares. This number does not include beneficial owners whose shares were held in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paid any cash dividends on our common shares since inception and do not anticipate paying cash dividends in the foreseeable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mission is to create transformative gene-based medicines for serious human diseases. We are a leading gene editing company focused on the development of CRISPR-based therapeutics, including by using CRISPR/Cas9 technology. CRISPR/Cas9 is a revolutionary technology for gene editing, the process of precisely altering specific sequences of genomic DNA. We aim to apply this technology to disrupt, delete, correct and insert genes to treat genetic diseases and to engineer advanced cellular therapies. We have advanced this technology from discovery to an approved medicine with unparalleled speed, culminating in the landmark first approval of a CRISPR-based therapy, CASGEVY (exagamglogene autotemcel [exa-cel]), in 2023 with our collaborators at Vertex Pharmaceuticals Incorporated, or Vertex. We have established a portfolio of therapeutic programs spanning four core franchises: hemoglobinopathies, CAR 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and type 1 diabetes. Depending on the program, we take either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in which we edit cells outside of the human body before administering them to the patient, or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approach, where we deliver the CRISPR-based therapeutic directly to target cells within the human body.</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continue to innovate on our platform to develop next-generation technologies that can enable new therapies. Through our efforts, we aim to unlock the full potential of CRISPR-based therapeutics to create medicines that can transform people's lives. We believe that our innovative research, translational expertise, and clinical development experience, position us as a leader in the development of CRISPR-based therapeutics and may enable us to create an entirely new class of highly effective and potentially curative therapies for patients with both rare and common diseases for whom current biopharmaceutical approaches have had limited success.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Hemoglobinopathies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CASGEVY</w:t>
      </w:r>
    </w:p>
    <w:p>
      <w:pPr>
        <w:spacing w:after="0" w:line="11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CASGEVY is a non-viral,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CRISPR/Cas9 gene-edited cell therapy, in which a patient’s own hematopoietic stem and progenitor cells are edited at the erythroid specific enhancer region of the BCL11A gene through a precise double-strand break. This edit results in the production of high levels of fetal hemoglobin in red blood cells, which can compensate for the defective adult hemoglobin in patients with SCD and TDT. CASGEVY is the first therapy to emerge from our strategic partnership with Vertex and is being advanced under a joint development and commercialization agreement between us and Vertex and certain of its affiliates.</w:t>
      </w:r>
    </w:p>
    <w:p>
      <w:pPr>
        <w:spacing w:after="0" w:line="7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2023, CASGEVY became the first-ever approved CRISPR-based gene-editing therapy in the world. To date, CASGEVY has been approved in the United States, European Union, Great Britain, Canada, Switzerland, Kingdom of Saudi Arabia, Kingdom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2" w:name="page103"/>
    <w:bookmarkEnd w:id="102"/>
    <w:p>
      <w:pPr>
        <w:ind w:right="140"/>
        <w:spacing w:after="0" w:line="256" w:lineRule="auto"/>
        <w:rPr>
          <w:sz w:val="20"/>
          <w:szCs w:val="20"/>
          <w:color w:val="auto"/>
        </w:rPr>
      </w:pPr>
      <w:r>
        <w:rPr>
          <w:rFonts w:ascii="Times New Roman" w:cs="Times New Roman" w:eastAsia="Times New Roman" w:hAnsi="Times New Roman"/>
          <w:sz w:val="18"/>
          <w:szCs w:val="18"/>
          <w:color w:val="auto"/>
        </w:rPr>
        <w:t>Bahrain and the United Arab Emirates for the treatment of eligible patients 12 years and older with SCD or TDT. We and Vertex continue to investigate CASGEVY, including (1) three clinical trials designed to assess the safety and efficacy of a single dose of CASGEVY in patients 12 to 35 years of age with severe SCD and TDT, respectively, (2) two clinical trials in patients 5 to 11 years of age, one in severe SCD and a second in TDT, and (3) long-term follow-up clinical trials designed to follow participants for up to 15 years after CASGEVY infusion. CASGEVY safety data presented to date is generally consistent with an autologous stem cell transplant and myeloablative conditioning. Efficacy data presented to date support the profile of this therapy as a potential one-time functional cure for people with severe SCD and TDT.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Candidates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continue to advance our internally developed targeted conditioning program, as well as in vivo hematopoietic stem cell editing approaches utilizing lipid nanoparticle-mediated delivery through preclinical studies. Both initiatives could significantly expand the addressable patient populations for SCD and TDT.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 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believe CRISPR/Cas9 has the potential to create the next generation of CAR T cell therapies that may have a superior product profile and allow broader patient access compared to current autologous therapies. We are advancing several cell therapy programs for oncology and/or autoimmune indications, including two next-generation allogeneic CAR T programs, CTX112 targeting Cluster of Differentiation 19, or CD19, and CTX131 targeting Cluster of Differentiation 70, or CD70. These product candidates incorporate edits designed to enhance CAR T potency, reduce CAR T exhaustion and evade the immune system. An additional edit in CTX131 is designed to prevent CAR T cells from killing other CAR T cells. In addition, these next-generation candidates exhibit increased manufacturing robustness, with a higher and more consistent number of CAR T cells produced per batch. We are producing CTX112 and CTX131 for clinical trials at our internal GMP manufacturing facility in Framingham, Massachusetts.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CD19 Candidates</w:t>
      </w:r>
    </w:p>
    <w:p>
      <w:pPr>
        <w:spacing w:after="0" w:line="1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CTX112 is being developed for both hematologic malignancies and autoimmune indications. It is being investigated in an ongoing clinical trial designed to assess the safety and efficacy of the product candidate in adult patients with relapsed or refractory B-cell malignancies who have received at least two prior lines of therapy, as well as an ongoing clinical trial in adult patients with systemic lupus erythematosus, systemic sclerosis, and inflammatory myositis. Early clinical studies conducted by third parties have shown that CD19-directed autologous CAR T therapy can produce long-lasting remissions in multiple autoimmune indications by deeply depleting B cells. Our first generation allogeneic CD19-directed CAR T program has demonstrated effective depletion of B cells in oncology settings, which supports the potential for CTX112 in autoimmune diseases.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CD70 Candidates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CTX131 is being developed for both solid tumors and hematologic malignancies. It is being investigated in ongoing clinical trials designed to assess the safety and efficacy of the candidate in adult patients with relapsed or refractory solid tumors, as well as in hematologic malignancies, including, including T cell lymphomas, or TCL. We believe allogeneic CAR T approaches for TCL may have greater potential to meet the unmet need in this patient population given the patients’ own T cells are not suitable for autologous manufacturing.</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candidates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CRISPR/Cas9 platform enables us to innovate continuously by incorporating incremental edits into next-generation products. We are advancing several additional investigational CAR T programs, including an autologous, gene-edited CAR T program targeting glypican-3 for the potential treatment of solid tumors.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Vivo</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strategy focuses on gene disruption and whole gene correction – the two technologies required to address the vast majority of the most prevalent severe monogenic diseases as well as many common diseases. We have established a leading platform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and are rapidly advancing a broad portfolio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supported by an internal lipid nanoparticle, or LNP, team to enable liver-directed and extrahepatic programs with novel lipids, formulations, and targeting moieties. Our first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target the liver, taking advantage of validated LNP delivery technologies, and aim to treat diseases where we can produce a strong therapeutic effect by safely disrupting a gene with well-understood genetic association.</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Cardiovascular disease</w:t>
      </w:r>
    </w:p>
    <w:p>
      <w:pPr>
        <w:spacing w:after="0" w:line="11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first two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utilizing our proprietary LNP platform, CTX310 and CTX320, aim to address cardiovascular disease by disrupting the validated targets angiopoietin-like protein 3, or ANGPTL3, and lipoprotein (a), or Lp(a), respectively. CTX310 is being investigated in an ongoing clinical trial targeting ANGPTL3 in patients with heterozygous familial hypercholesterolemia, homozygous familial hypercholesterolemia, mixed dyslipidemias, or severe hypertriglyceridemia. In addition,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3" w:name="page104"/>
    <w:bookmarkEnd w:id="103"/>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CTX320 is being investigated in an ongoing clinical trial targeting </w:t>
      </w:r>
      <w:r>
        <w:rPr>
          <w:rFonts w:ascii="Times New Roman" w:cs="Times New Roman" w:eastAsia="Times New Roman" w:hAnsi="Times New Roman"/>
          <w:sz w:val="18"/>
          <w:szCs w:val="18"/>
          <w:i w:val="1"/>
          <w:iCs w:val="1"/>
          <w:color w:val="auto"/>
        </w:rPr>
        <w:t>LPA</w:t>
      </w:r>
      <w:r>
        <w:rPr>
          <w:rFonts w:ascii="Times New Roman" w:cs="Times New Roman" w:eastAsia="Times New Roman" w:hAnsi="Times New Roman"/>
          <w:sz w:val="18"/>
          <w:szCs w:val="18"/>
          <w:color w:val="auto"/>
        </w:rPr>
        <w:t>, the gene encoding apo(a), a critical component of Lp(a) in patients with elevated Lp(a), which has shown to have an independent association with major adverse cardiovascular events.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candidates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Building upon CTX310 and CTX320, we are progressing CTX340, targeting angiotensinogen for refractory hypertension, as well as CTX450, targeting 5’-aminolevulinate synthase 1 for acute hepatic porphyria, through preclinical studies. In addition, we have programs focused on gene correction in the liver, including programs leveraging technologies developed by our CRISPR-X research team. Finally, we are pursuing additional delivery technologies, including LNPs, for delivery to tissues beyond the liver, including hematopoietic stem cells.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1 Diabetes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developing gene-edited stem cell-derived therapies for the treatment of T1D. We believe our gene editing capabilities have the potential to enable a beta-cell replacement product candidate that may deliver durable benefit to patients without the need for long-term immunosuppression. We have three parallel efforts to achieve this goal: (1) CTX211, an allogeneic, gene-edited, hypoimmune, stem cell derived product candidate in a device that is implanted into patients and intended to produce insulin in a glucose-dependent manner, and which is in an ongoing clinical trial; (2) CTX213, a research stage deviceless beta cell replacement product candidate consisting of unencapsulated precursor islet cells derived from edited stem cells; and (3) we have granted a non-exclusive license to certain of our CRISPR/Cas9 intellectual property to Vertex to accelerate Vertex’s development of hypoimmune cell therapies for T1D in exchange for certain milestones and royalties.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CRISPR-X</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While we have made significant progress with our current portfolio of programs, we recognize that we need to continue to innovate to unlock the full power of gene editing and bring potentially transformative therapies to even more patients. We have a dedicated early-stage research team called CRISPR-X that focuses on innovating next-generation editing modalities. CRISPR-X is developing technologies to enable whole gene correction and insertion via non-viral DNA delivery and all-RNA systems, without requiring homology-directed repair or viral delivery of DNA.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Given the numerous potential therapeutic applications for CRISPR/Cas9, we have partnered strategically to broaden the indications we can pursue and accelerate development of programs by accessing specific technologies and/or disease-area expertise. We maintain broad partnerships to develop gene editing-based therapeutics in specific disease areas. For additional information regarding certain of these partnerships, please see “</w:t>
      </w:r>
      <w:r>
        <w:rPr>
          <w:rFonts w:ascii="Times New Roman" w:cs="Times New Roman" w:eastAsia="Times New Roman" w:hAnsi="Times New Roman"/>
          <w:sz w:val="18"/>
          <w:szCs w:val="18"/>
          <w:i w:val="1"/>
          <w:iCs w:val="1"/>
          <w:color w:val="auto"/>
        </w:rPr>
        <w:t>Business—Strategic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Partnerships and Collaborations</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Hemoglobinopathies. </w:t>
      </w:r>
      <w:r>
        <w:rPr>
          <w:rFonts w:ascii="Times New Roman" w:cs="Times New Roman" w:eastAsia="Times New Roman" w:hAnsi="Times New Roman"/>
          <w:sz w:val="18"/>
          <w:szCs w:val="18"/>
          <w:color w:val="auto"/>
        </w:rPr>
        <w:t>In 2015, we partnered with Vertex and entered into a strategic collaboration, option and license agreement, which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discovery and development of gene-based treatments for hemoglobinopathies and cystic fibrosis using CRISPR/Cas9 gene-editing technology. In 2017, Vertex exercised its option to co-develop and co-commercialize the hemoglobinopathies program and we entered into a joint development and commercialization agreement with Vertex, which we amended and restated in 2021, pursuant to which, among other things, we are co-developing and co-commercializing CASGEVY for TDT and SCD.</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Diabetes</w:t>
      </w:r>
      <w:r>
        <w:rPr>
          <w:rFonts w:ascii="Times New Roman" w:cs="Times New Roman" w:eastAsia="Times New Roman" w:hAnsi="Times New Roman"/>
          <w:sz w:val="18"/>
          <w:szCs w:val="18"/>
          <w:color w:val="auto"/>
        </w:rPr>
        <w:t>. Beginning in 2018, we partnered with ViaCyte, Inc., or ViaCyte (now a wholly-owned subsidiary of Vertex), to pursue the discovery,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commercialization of gene-edited allogeneic stem cell therapies for the treatment of diabetes. In 2023, ViaCyte elected to opt-out of the collaboration with us for the co-development and co-commercialization of gene-edited stem cell therapies for the treatment of diabetes. Per the opt-out terms, the on-going collaboration assets will be wholly owned by us, subject to a royalty on future sales owed to ViaCyte. Our product candidate, CTX211, being developed for the potential treatment of T1D, resulted from this collaboration, and which we are continuing to advance in a Phase 1 clinical trial. Additionally, in 2023, we entered into a non-exclusive license agreement with Vertex for Vertex to utilize certain of our gene-editing intellectual property to exploit certain products for the diagnosis, treatment or prevention of diabetes type 1, diabetes type 2 or insulin dependent/requiring diabetes throughout the world. To date, we have recognized revenue of $205 million in upfront and milestone payments and remain eligible to receive additional research and development milestones and royalties on future products under the license.</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Other Partnerships</w:t>
      </w:r>
      <w:r>
        <w:rPr>
          <w:rFonts w:ascii="Times New Roman" w:cs="Times New Roman" w:eastAsia="Times New Roman" w:hAnsi="Times New Roman"/>
          <w:sz w:val="18"/>
          <w:szCs w:val="18"/>
          <w:color w:val="auto"/>
        </w:rPr>
        <w:t>. We have entered into a number of additional collaborations and license agreements in other therapeutic areas, including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agreement with Vertex for the treatment of Duchenne muscular dystrophy and myotonic dystrophy type 1, and others to support and complement our hematopoietic stem cell, CAR 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T1D programs and platform, including agreements with: Nkarta, Inc. to develop and commercialize products leveraging donor-derived, gene-edited CAR-NK cells; Capsida Biotherapeutics, Inc. to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therapies delivered with engineered adeno-associated virus vectors; Roswell Park Comprehensive Cancer Center to advance a gene-edited autologous CAR T program against a new target; MaxCyte, Inc. on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delivery for our hemoglobinopathy and CAR T programs; CureVac AG on optimized mRNA constructs and manufacturing for certain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and KSQ Therapeutics, Inc. on intellectual property for our allogeneic immuno-oncology programs.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in October 2013, we have devoted substantially all of our resources to our research and development efforts, identifying potential product candidates, undertaking drug discovery and preclinical development activities, building and protecting our intellectual property estate, establishing internal manufacturing capabilities, organizing and staffing our company, business planning, raising capital and providing general and administrative support for these operations. To date, we have primarily financed our operations through private placements of our preferred shares, common share issuances, convertible loans and payments related to certain of our license and collaboration agreements with strategic partners.</w:t>
      </w:r>
    </w:p>
    <w:p>
      <w:pPr>
        <w:spacing w:after="0" w:line="75"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We have a history of recurring losses and expect to continue to incur losses for the foreseeable future; however, we have been in a net income position in certain previous years due to certain payments associated with our collaboration and license agreements with Vertex. Our net losses may fluctuate significantly from quarter to quarter and year to year. We anticipate that our expenses will increase as we continue our current research programs and development activities; seek to identify additional research programs and additional product candidates; conduct initial drug application supporting preclinical studies and initiate clinical trials for our product candidates; initiate preclinical testing and clinical trials for any other product candidates we identify and develop; seek regulatory approval for our product candidates; maintain, defend, protect and expand our intellectual property estate; further develop our gene editing platform; hire additional research, clinical and scientific personnel; incur facilities costs associated with such personnel growth; continue to develop internal manufacturing capabilities and infrastructure; and incur additional costs associated with operating as a public company.</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to date from sales of any wholly owned product. During the years ended December 31, 2024, 2023 and 2022, we recognized $35.0 million, $370.0 million and $0.4 million, respectively, of collaboration revenue, which is primarily related to our collaboration and license agreements with Vertex.</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we generated $2.3 million, $1.2 million and $0.8 million, respectively, of grant revenue related to certain contracts with not-for-profit entities.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and Note 8 of the notes to our audited consolidated financial statements included in this Annual Report on Form 10-K.</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product discovery efforts and the development of our product candidates, which include:</w:t>
      </w:r>
    </w:p>
    <w:p>
      <w:pPr>
        <w:spacing w:after="0" w:line="1"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equity-based compensation expense;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services performed by third parties that conduct research and development and preclinical activities on our behalf;</w:t>
      </w:r>
    </w:p>
    <w:p>
      <w:pPr>
        <w:spacing w:after="0" w:line="63" w:lineRule="exact"/>
        <w:rPr>
          <w:rFonts w:ascii="Times New Roman" w:cs="Times New Roman" w:eastAsia="Times New Roman" w:hAnsi="Times New Roman"/>
          <w:sz w:val="18"/>
          <w:szCs w:val="18"/>
          <w:color w:val="auto"/>
        </w:rPr>
      </w:pPr>
    </w:p>
    <w:p>
      <w:pPr>
        <w:ind w:left="520" w:hanging="3"/>
        <w:spacing w:after="0" w:line="281" w:lineRule="auto"/>
        <w:tabs>
          <w:tab w:leader="none" w:pos="10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lab supplies and non-capital equipment used in our preclinical activities and in manufacturing preclinical study materials, as well as supplies and materials used to manufacture clinical drug material;</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fees;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including rent, depreciation and maintenance expenses;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other payments related to acquiring and maintaining licenses under our third-party licensing agreements.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external research and development expenses support our various preclinical and clinical programs, and as such we do not break down external research and development expenses further. Our internal research and development expenses consist of payroll and benefits expenses, facilities expense, and other indirect research and development expenses incurred in support of overall research and development activities and as such are not allocated to a specific development stage or therapeutic area. Research and development costs are expensed as incurred. Nonrefundable advance payments for research and development goods or services to be received in the future are deferred and capitalized. The capitalized amounts are expensed as the related goods are delivered or the services are performed. At this time, we cannot reasonably estimate or know the nature, timing or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30"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IND-enabling studies;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05" w:name="page106"/>
    <w:bookmarkEnd w:id="105"/>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 if and when approved, whether alone or in collaboration with others;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if and when approved, by patients, the medical community and third-party payors;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 treatment options;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approval;</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and proprietary rights and claims;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medicinal properties for the intended indications.</w:t>
      </w:r>
    </w:p>
    <w:p>
      <w:pPr>
        <w:spacing w:after="0" w:line="11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product candidates or the subsequent commercialization of any product candidates we may successfully develop could significantly change the costs, timing and viability associated with the development of that product candidate.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to continue to incur research and development costs consistent with research and development at companies of our size and stage of development, which may increase in the foreseeable future as our current development programs progress, new programs are added and we continue to prepare regulatory filings. These increases will likely include the costs related to the implementation and expansion of clinical trial sites and related patient enrollment, monitoring, program management and manufacturing expenses for current and future clinical trials.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expenses, including salaries, benefits and equity-based compensation, for personnel in executive, finance, accounting, business development, human resources and other general and administrative functions. Other significant costs include facility costs not otherwise included in research and development expenses, legal fees relating to patent and corporate matters and fees for accounting and consulting services.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expenses consistent with general and administrative functions at research and development companies of our size and stage of development, which may increase in the future to support continued research and development activities, and potential commercialization of our product candidates. In addition, we anticipate ongoing expenses related to the reimbursements of third-party patent related expenses in connection with certain of our in-licensed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expense, net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Collaboration expense, net, consists of operating expenses related to the CASGEVY program under our collaboration with Vertex. Under the A&amp;R Vertex JDCA, as amended, we have an option to defer our portion of specified costs on the CASGEVY program in excess of $110.3 million for the years ended December 31, 2022, 2023 and 2024. The $110.3 million for 2023 does not include amounts attributable to our share of certain costs arising from a license agreement between Vertex and a third party, which we agreed to pay to Vertex upon the occurrence of an event specified in Amendment No. 1 to the A&amp;R Vertex JDCA and further described in Note 8 of the notes to our consolidated financial statements included in this Annual Report on Form 10-K. In 2024, 2023 and 2022, we exercised our option to defer our portion of specified costs incurred for the CASGEVY program in excess of the deferral limit. Any deferred amounts are only payable to Vertex as an offset against future profitability of the CASGEVY program and the amounts payable are capped at a specified maximum amount per year.</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earned on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included elsewhere in this Annual Report on Form 10-K, we believe that the following accounting policies are the most critical to aid you in fully understanding and evaluating our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6" w:name="page107"/>
    <w:bookmarkEnd w:id="10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applies to all contracts with customers, except for contracts that are within the scope of other standards, such as leases and collaboration arrangements. To determine revenue recognition for arrangements that an entity determines are within the scope of ASC 606, the entity performs the following five steps: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 Identify the contract with the customer</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If these criteria are not met, the promised goods and services are accounted for as a combined performance obligation.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such as research, development, regulatory and commercial milestones, we determine if it is probable that we will receive such amounts and there is no risk of a significant revenue reversal. When we cannot conclude that receipt of such amounts is probable, we constrain the related variable consideration resulting in its exclusion from transaction consideration. In determining the portion of the transaction consideration to be constrained, we consider the probability and uncertainty that the related research, developmental, regulatory and commercial milestones will be achieved given the nature of research and clinical development and the stage of the underlying programs. This assessment is performed at each reporting period. In making this evaluation, we consider both internal and external information available, including information from industry publications and other relevant factors. Changes to the constraint of variable consideration can have a material effect on the amount of revenue recognized in the period.</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 Allocate the transaction consideration to performance obligations in the contract</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consideration is allocated to the single performance obligation. Contracts that contain multiple performance obligations require an allocation of the transaction consideration to each performance obligation on a relative standalone selling price basis unless the transaction consideration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In determining these estimated standalone selling prices, we make a number of significant judgments including, for licenses, management’s assumptions regarding probability weighted projected discounted cash flows for each of the collaboration development programs. The estimated standalone selling prices are sensitive to changes in assumptions, such as probabilities of scientific success, discount rate and certain assumptions that form the basis of forecasted cash flows. In developing these assumptions, management considers both internal and external information available, including information from other guideline companies within the same industry and other relevant factors. Changes to these assumptions can have a material effect on the allocation of the transaction consideration to performance obligations, as well as the amount and timing of revenue recognized.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5) Recognize revenue when or as we satisfy a performance obligation</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record the elements of our collaboration agreements that represent joint operating activities in accordance with Accounting Standards Codification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Accordingly, the elements of the collaboration agreements that represent activities in which both parties are active participants and to which both parties are exposed to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significant risks and rewards that are dependent on the commercial success of the activities, are recorded as collaborative arrangements.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evaluate the proper presentation of the commercial activities and the profit and loss sharing associated with the collaboration agreements. ASC 808 states that when payments between parties in a collaborative arrangement are not within the scope of other authoritative accounting literature, the income statement classification should be based on the nature of the arrangement, the nature of its business operations and the contractual terms of the arrangement. To the extent that these payments are not within the scope of other authoritative accounting literature, the income statement classification for the payments shall be based on an analogy to authoritative accounting literature or if there is no appropriate analogy, a reasonable, rational, and consistently applied accounting policy election.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25"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clinical studies;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in connection with clinical studies;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development, manufacturing and distribution of clinical trial materials.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subjects and the completion of clinical study milestones. In accruing service fees, we estimate the time period over which services will be performed and the level of effort to be expended in each period and adjust accordingly.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Refer to Note 2 of the notes to our consolidated financial statements included in this Annual Report on Form 10-K for a discussion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the components of results of operations. This section generally discusses 2024 and 2023 items and year-to-year comparisons between 2024 and 2023. Discussions of 2022 items and year-to-year comparisons between 2023 and 2022 that are not included in this Annual Report on Form 10-K can be found in “Management’s Discussion and Analysis of Financial Condition and Results of Operations” Part II, Item 7 of our Annual Report on Form 10-K for the fiscal year ended December 31, 2023 filed with the SEC on February 21,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together with the dollar change in those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8" w:name="page109"/>
    <w:bookmarkEnd w:id="108"/>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Period to</w:t>
            </w:r>
          </w:p>
        </w:tc>
      </w:tr>
      <w:tr>
        <w:trPr>
          <w:trHeight w:val="142"/>
        </w:trPr>
        <w:tc>
          <w:tcPr>
            <w:tcW w:w="5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18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Period Change</w:t>
            </w:r>
          </w:p>
        </w:tc>
      </w:tr>
      <w:tr>
        <w:trPr>
          <w:trHeight w:val="142"/>
        </w:trPr>
        <w:tc>
          <w:tcPr>
            <w:tcW w:w="5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(335,000 )</w:t>
            </w: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(333,892 )</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(66,679 )</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(3,185 )</w:t>
            </w:r>
          </w:p>
        </w:tc>
      </w:tr>
      <w:tr>
        <w:trPr>
          <w:trHeight w:val="216"/>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expense, net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(20,000 )</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503,880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(89,864 )</w:t>
            </w:r>
          </w:p>
        </w:tc>
      </w:tr>
      <w:tr>
        <w:trPr>
          <w:trHeight w:val="20"/>
        </w:trPr>
        <w:tc>
          <w:tcPr>
            <w:tcW w:w="5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(466,566 )</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(222,538 )</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(244,028 )</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103,901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(362,665 )</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(150,722 )</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(211,943 )</w:t>
            </w: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(3,587 )</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(2,888 )</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(699 )</w:t>
            </w:r>
          </w:p>
        </w:tc>
      </w:tr>
      <w:tr>
        <w:trPr>
          <w:trHeight w:val="20"/>
        </w:trPr>
        <w:tc>
          <w:tcPr>
            <w:tcW w:w="5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(366,252 )</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(153,610 )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(212,642 )</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-1593850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-1593850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-745490</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-745490</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-745490</wp:posOffset>
            </wp:positionV>
            <wp:extent cx="59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-462280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-462280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-462280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4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Collaboration revenue was $35.0 million for the year ended December 31, 2024, compared to $370.0 million for the year ended December 31, 2023. Collaboration revenue for the year ended December 31, 2024 was related to Vertex's achievement of a $10.0 million research milestone and $25.0 million research milestone under the Non-Ex License Agreement with Vertex in the fourth quarter of 2024. Collaboration revenue for the year ended December 31, 2023 was related to (i) the achievement of a $200.0 million milestone in connection with the approval of CASGEVY under our collaboration with Vertex and (ii) an upfront payment of $100.0 million and a milestone achieved of $70.0 million under the Non-Ex License Agreement with Vertex. Refer to Note 8 of the notes to our consolidated financial statements included in this Annual Report on Form 10-K for a description of revenue recognized related to Vertex.</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Grant revenue was $2.3 million and $1.2 million, respectively, for the years ended December 31, 2024 and 2023.</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$320.7 million for the year ended December 31, 2024, compared to $387.3 million for the year ended December 31, 2023. The following table summarizes our research and development expenses for the years ended December 31, 2024 and 2023, together with the changes in those items in dollars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Period to Period</w:t>
            </w:r>
          </w:p>
        </w:tc>
      </w:tr>
      <w:tr>
        <w:trPr>
          <w:trHeight w:val="210"/>
        </w:trPr>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8"/>
                <w:szCs w:val="18"/>
                <w:color w:val="auto"/>
              </w:rPr>
            </w:pPr>
          </w:p>
        </w:tc>
      </w:tr>
      <w:tr>
        <w:trPr>
          <w:trHeight w:val="21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90,614</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130,124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(39,510 )</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(7,287 )</w:t>
            </w:r>
          </w:p>
        </w:tc>
      </w:tr>
      <w:tr>
        <w:trPr>
          <w:trHeight w:val="21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105,875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(7,872 )</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8"/>
                <w:szCs w:val="18"/>
                <w:color w:val="auto"/>
              </w:rPr>
            </w:pPr>
          </w:p>
        </w:tc>
      </w:tr>
      <w:tr>
        <w:trPr>
          <w:trHeight w:val="21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(684 )</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Sublicense and license fees</w:t>
            </w:r>
          </w:p>
        </w:tc>
        <w:tc>
          <w:tcPr>
            <w:tcW w:w="160" w:type="dxa"/>
            <w:vAlign w:val="bottom"/>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(12,914 )</w:t>
            </w:r>
          </w:p>
        </w:tc>
      </w:tr>
      <w:tr>
        <w:trPr>
          <w:trHeight w:val="20"/>
        </w:trPr>
        <w:tc>
          <w:tcPr>
            <w:tcW w:w="6480" w:type="dxa"/>
            <w:vAlign w:val="bottom"/>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320,653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387,332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(66,679 )</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of approximately $66.7 million was primarily attributable to the following:</w:t>
      </w:r>
    </w:p>
    <w:p>
      <w:pPr>
        <w:spacing w:after="0" w:line="63" w:lineRule="exact"/>
        <w:rPr>
          <w:sz w:val="20"/>
          <w:szCs w:val="20"/>
          <w:color w:val="auto"/>
        </w:rPr>
      </w:pPr>
    </w:p>
    <w:p>
      <w:pPr>
        <w:ind w:left="1020" w:right="260" w:hanging="503"/>
        <w:spacing w:after="0" w:line="28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 million of decreased external research and development costs, primarily associated with a decrease in variable external research and manufacturing costs;</w:t>
      </w:r>
    </w:p>
    <w:p>
      <w:pPr>
        <w:spacing w:after="0" w:line="1" w:lineRule="exact"/>
        <w:rPr>
          <w:rFonts w:ascii="Times New Roman" w:cs="Times New Roman" w:eastAsia="Times New Roman" w:hAnsi="Times New Roman"/>
          <w:sz w:val="18"/>
          <w:szCs w:val="18"/>
          <w:color w:val="auto"/>
        </w:rPr>
      </w:pPr>
    </w:p>
    <w:p>
      <w:pPr>
        <w:ind w:left="1020" w:right="700" w:hanging="503"/>
        <w:spacing w:after="0" w:line="28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 million of decreased sublicense and license fees, primarily attributable to a decrease in research and development licenses and milestones due to strategic partners;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million of decreased facility expenses primarily driven by lower laboratory-related costs;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of decreased employee-related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$73.0 million for the year ended December 31, 2024, compared to $76.2 million for the year ended December 31, 2023. The decrease of $3.2 million was primarily attributable to decreased employee-related expenses and consulting and professional services-related expenses.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expense, net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Collaboration expense, net, was $110.3 million for the year ended December 31, 2024, compared to $130.3 million for the year ended December 31, 2023. The decrease of $20.0 million was attributable to our share of certain costs in 2023 arising from a license agreement between Vertex and a third party, which we agreed to pay to Vertex upon the occurrence of an event specified in Amendment No. 1 to the A&amp;R Vertex JDCA. No similar costs were incurred in 2024. Refer to Note 8 of the notes to our consolidated financial statements included in this Annual Report on Form 10-K for a description of revenue recognized related to Vertex.</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2024, 2023 and 2022, we exercised our option to defer specified costs on the CASGEVY program in excess of the deferral limit under A&amp;R Vertex JDCA, as amended, resulting in deferred costs of $102.8 million, $80.9 million and $36.1 million, respectively. Any deferred amounts are only payable to Vertex as an offset against future profitability of the CASGEVY program and the amounts payable are capped at a specified maximum amount per year. These deferred costs on the CASGEVY program will be recognized by us when recoverability of such deferred amounts by Vertex is probable and the amount can be reasonably estimated. As of December 31, 2024, no contingent payments have been accrued to date. Refer to Note 8 of the notes to our consolidated financial statements in this Annual Report on Form 10-K for further discussion on our arrangements with Vertex.</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$103.9 million for the year ended December 31, 2024, compared to $71.8 million for the year ended December 31, 2023. The increase in other income, net, was primarily due to an increase in interest income earned on cash, cash equivalents and marketable securities for the year ended December 31, 2024.</w:t>
      </w:r>
    </w:p>
    <w:p>
      <w:pPr>
        <w:spacing w:after="0" w:line="280"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predominantly incurred losses and cumulative negative cash flows from operations since our inception. As of December 31, 2024, we had $1,903.8 million in cash, cash equivalents and marketable securities, of which approximately $53.8 million was held outside of the United States, and an accumulated deficit of $1,366.0 million. We anticipate that we will continue to incur losses for at least the next several years. We expect to continue to incur research and development costs and general and administrative expenses, consistent with costs associated with research and development at companies of our size and stage of development, and, as a result, we will need additional capital to fund our operations, which we may raise through public or private equity or debt financings, strategic collaborations, or other sources.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26" w:lineRule="exact"/>
        <w:rPr>
          <w:sz w:val="20"/>
          <w:szCs w:val="20"/>
          <w:color w:val="auto"/>
        </w:rPr>
      </w:pPr>
    </w:p>
    <w:p>
      <w:pPr>
        <w:ind w:right="80" w:firstLine="509"/>
        <w:spacing w:after="0" w:line="237" w:lineRule="auto"/>
        <w:rPr>
          <w:sz w:val="20"/>
          <w:szCs w:val="20"/>
          <w:color w:val="auto"/>
        </w:rPr>
      </w:pPr>
      <w:r>
        <w:rPr>
          <w:rFonts w:ascii="Times New Roman" w:cs="Times New Roman" w:eastAsia="Times New Roman" w:hAnsi="Times New Roman"/>
          <w:sz w:val="18"/>
          <w:szCs w:val="18"/>
          <w:color w:val="auto"/>
        </w:rPr>
        <w:t>In August 2019,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under which we were able to offer and sell, from time to time at our sole discretion through Jefferies, as our sales agent, our common shares, par value of CHF 0.03 per share, or the August 2019 Sales Agreement. In connection with the August 2019 Sales Agreement, as amended, we have filed several prospectus supplements with the SEC to offer and sell, from time to time, common shares. We filed our current prospectus supplement for $378.6 million in August 2024.</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2022, the sale of common shares pursuant to the 2019 Sales Agreement and the applicable prospectus supplement was not significant.</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2023, we issued and sold 0.5 million common shares at an average price of $72.32 per share for aggregate proceeds of $32.7 million, which were net of equity issuance costs of $0.4 million. An additional $0.3 million of stamp taxes related to this amount was paid in 2023.</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2024, we issued and sold 0.4 million common shares at an average price of $55.81 per share for aggregate proceeds of $21.7 million, which were net of equity issuance costs of $0.3 million. An additional $0.2 million of stamp taxes related to this amount was paid in 2024.</w:t>
      </w:r>
    </w:p>
    <w:p>
      <w:pPr>
        <w:spacing w:after="0" w:line="5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have common shares having aggregate gross proceeds up to $363.7 million remaining under our current prospectus supplement, and we have issued and sold an aggregate of 1.9 million common shares at an average price of $122.73 per share for aggregate proceeds of $233.2 million, which were net of equity issuance costs of $3.1 million, excluding stamp taxes.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Financings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2024, we entered into an investment agreement for the sale of approximately $280.0 million of our common shares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10" w:name="page111"/>
    <w:bookmarkEnd w:id="110"/>
    <w:p>
      <w:pPr>
        <w:ind w:right="340"/>
        <w:spacing w:after="0" w:line="282" w:lineRule="auto"/>
        <w:rPr>
          <w:sz w:val="20"/>
          <w:szCs w:val="20"/>
          <w:color w:val="auto"/>
        </w:rPr>
      </w:pPr>
      <w:r>
        <w:rPr>
          <w:rFonts w:ascii="Times New Roman" w:cs="Times New Roman" w:eastAsia="Times New Roman" w:hAnsi="Times New Roman"/>
          <w:sz w:val="18"/>
          <w:szCs w:val="18"/>
          <w:color w:val="auto"/>
        </w:rPr>
        <w:t>to a group of institutional investors in a registered direct offering, at a price per share of $71.50. We received net proceeds of $279.0 million, excluding stamp taxes due of $2.8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Discussions of 2022 items and year-to-year comparisons between 2023 and 2022 that are not included in this Annual Report on Form 10-K can be found in “Management’s Discussion and Analysis of Financial Condition and Results of Operations” Part II, Item 7 of our Annual Report on Form 10-K for the fiscal year ended December 31, 2023 filed with the SEC on February 21, 2024.</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periods below:</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(142,774 )</w:t>
            </w:r>
          </w:p>
        </w:tc>
        <w:tc>
          <w:tcPr>
            <w:tcW w:w="38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(260,375 )</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Pr>
          <w:p>
            <w:pPr>
              <w:spacing w:after="0"/>
              <w:rPr>
                <w:sz w:val="18"/>
                <w:szCs w:val="18"/>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(280,481 )</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374,647</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331,984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62,664</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Pr>
          <w:p>
            <w:pPr>
              <w:spacing w:after="0"/>
              <w:rPr>
                <w:sz w:val="18"/>
                <w:szCs w:val="18"/>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(21 )</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increase in cash and restricted cash</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(91,292 )</w:t>
            </w:r>
          </w:p>
        </w:tc>
        <w:tc>
          <w:tcPr>
            <w:tcW w:w="38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177,009</w:t>
            </w:r>
          </w:p>
        </w:tc>
        <w:tc>
          <w:tcPr>
            <w:tcW w:w="100" w:type="dxa"/>
            <w:vAlign w:val="bottom"/>
            <w:shd w:val="clear" w:color="auto" w:fill="CFF0FC"/>
          </w:tcPr>
          <w:p>
            <w:pPr>
              <w:spacing w:after="0"/>
              <w:rPr>
                <w:sz w:val="19"/>
                <w:szCs w:val="19"/>
                <w:color w:val="auto"/>
              </w:rPr>
            </w:pP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$142.8 million for the year ended December 31, 2024, compared to net cash used in operating activities of $260.4 million for the year ended December 31, 2023. The decrease in cash used in operating activities was primarily driven by cash received in 2024 from Vertex in connection with the $200.0 million milestone achieved upon regulatory approval of CASGEVY in 2023, offset by increased net losses.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$280.5 million and consisted primarily of purchases of marketable securities in excess of maturities of marketable securities of $255.4 million. Net cash provided by investing activities for the year ended December 31, 2023 was $374.6 million and consisted primarily of maturities of marketable securities in excess of purchases of marketable securities of $386.6 million.</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$332.0 million and primarily consisted of net proceeds of approximately $279.0 million from the issuance of common shares in connection with our registered direct offering, net proceeds of approximately $31.2 million from stock option exercises, and net proceeds of approximately $21.7 million from the issuance of common shares in connection with our 2021 ATM. Net cash provided by financing activities for the year ended December 31, 2023 was $62.7 million and consisted of net proceeds of $32.7 million from the issuance of common shares and net proceeds of approximately $29.9 million from stock option exercises.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research and development activities, manufacturing activities, compensation and related expenses, laboratory and related supplies, legal and other regulatory expenses, patent prosecution filing, defense and intellectual property maintenance costs, and general overhead costs, including costs associated with operating as a public company. We expect to continue to incur operating expenses consistent with costs associated with research and development at companies of our size and stage of development, which may increase in the future to support continued research and development activities and potential commercialization of our product candidates.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Although we and our partner, Vertex, have received marketing approvals for CASGEVY in certain jurisdictions, we cannot guarantee we and Vertex will receive additional marketing approvals for CASGEVY or we will receive marketing approvals for our other product candidates in the future. Most of our programs are still in early stages of development and the outcome of our efforts is uncertain, and we cannot estimate the actual amounts necessary to successfully complete the development, manufacture and commercialization of any current or future product candidates, if approved, or whether, or when, we may achieve profitability. Until such time as we can generate substantial product revenues, if ever, we expect to finance our cash needs through a combination of equity financings, debt financings and payments received in connection with our collaboration and license agreements. We intend to consider opportunities to raise additional funds through the sale of equity or debt securities when market conditions are favorable to us to do so. However, the trading prices for our common shares and other biopharmaceutical companies have been highly volatile. As a result, we may face difficulties raising capital through sales of our common shares or such sales may be on unfavorable terms.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ind w:right="140"/>
        <w:spacing w:after="0" w:line="255" w:lineRule="auto"/>
        <w:rPr>
          <w:sz w:val="20"/>
          <w:szCs w:val="20"/>
          <w:color w:val="auto"/>
        </w:rPr>
      </w:pPr>
      <w:r>
        <w:rPr>
          <w:rFonts w:ascii="Times New Roman" w:cs="Times New Roman" w:eastAsia="Times New Roman" w:hAnsi="Times New Roman"/>
          <w:sz w:val="18"/>
          <w:szCs w:val="18"/>
          <w:color w:val="auto"/>
        </w:rPr>
        <w:t>addition, a recession, depression or other sustained adverse market event could materially and adversely affect our business and the value of our common shares. To the extent that we raise additional capital through the future sale of equity or debt securities, the ownership interests of our shareholders will be diluted, and the terms of these securities may include liquidation or other preferences that adversely affect the rights of our existing shareholders. If we raise additional funds through license or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Based on our research and development plans and our timing expectations related to the progress of our programs, we expect our existing cash, cash equivalents and marketable securities will enable us to fund our operating expenses and capital expenditures for at least the next 24 months without giving effect to any additional proceeds we may receive under our license agreements and collaborations, including with Vertex, and any other capital raising transactions we may complete. We have based this estimate on assumptions that may prove to be wrong, and we could use our capital resources sooner than we expect. Given our need for additional financing to support the long-term clinical development and future commercialization of our programs, as applicable, we intend to consider additional financing opportunities when market terms are favorable to us.</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significantly on our success in many areas, including: developing our delivery technologies and our gene editing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either directly or with a collaborator or distributor, if approved, including for CASGEVY; addressing any competing technological and market developments; negotiating favorable terms in any collaboration, licensing or other arrangements into which we may enter; maintaining good relationships with our collaborators and licensors; maintaining, defending, protecting and expanding our estate of intellectual property rights, including patents, trade secrets and know-how; and attracting, hiring and retaining qualified personnel.</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Contractual and Other Obligations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lease and sublease obligations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operating lease obligations primarily consist of lease payments on our office and laboratory facility in Boston, Massachusetts, as well as lease payments on our cell manufacturing facility in Framingham, Massachusetts, which are described in further detail in Note 7 of our consolidated financial statements included in this Annual Report on Form 10-K. Future contractual payments on operating lease and sublease obligations due within one year of December 31, 2024 are $29.4 million, and future contractual payments on operating lease and sublease obligations due greater than one year from December 31, 2024 are $265.2 million.</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Under the A&amp;R Vertex JDCA, as amended, we are allowed to defer a portion of our share of costs under the arrangement if spending on the CASGEVY program exceeds specified amounts. Any deferred amounts are only payable to Vertex as an offset against future profitability of the CAGEVY program and the amounts payable are capped at a specified maximum amount per year. Deferred costs associated with the CASGEVY program have not been recognized as of December 31, 2024 because a reasonable estimate of future payments against future profitability cannot be made.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and clinical supply manufacturing and with vendors for preclinical research studies and other services and products for operating purposes. These contracts are generally cancelable at any time by us upon less than 180 days’ prior written notice. Certain of these agreements require us to pay milestones to such third parties upon achievement of certain development, regulatory or commercial milestones as further described in Note 9 of our consolidated financial statements included in this Annual Report on Form 10-K. Amounts related to contingent milestone payments are not considered contractual obligations as they are contingent on the successful achievement of certain development, regulatory approval and commercial milestones, which may not be achieved.</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also have obligations to make future payments to third parties that become due and payable on the achievement of certain milestones, including future payments to third parties with whom we have entered into research, development and commercialization agreements. We have not included these commitments on our balance sheet because the achievement and timing of these milestones is not fixed and determinable.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13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2024, we had cash, cash equivalents and marketable securities of $1,903.8 million, primarily invested in U.S. Treasury securities and government agency securities, corporate bonds, commercial paper and money market accounts invested in U.S. government agency securities. Due to the conservative nature of these instruments, we do not believe that we have a material exposure to interest rate risk. If interest rates were to increase or decrease by 1%, the fair value of our investment portfolio would increase or decrease by an immaterial amount.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 result of our foreign operations, we face exposure to movements in foreign currency exchange rates, primarily the Swiss Franc and British Pound, against the U.S. dollar. The current exposures arise primarily from cash, accounts payable and intercompany receivables and payables. Changes in foreign exchange rates affect our consolidated statement of operations and distort comparisons between periods. To date, foreign currency transaction gains and losses have not been material to our financial statements, and we have not engaged in any foreign currency hedging transactions.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We do not believe that inflation had a material effect on our business, financial condition or results of operations during the years ended December 31, 2024,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pursuant to this Item 8 are appended to this report. An index of those financial statements is found in Item 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Rule 13a-15(e) and Rule 15d-15(e) promulgated under the Securities Exchange Act of 1934, as amended) as of the end of the period covered by this Annual Report on Form 10-K, have concluded that, based on such evaluation, our disclosure controls and procedures were effective.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defined in Rule 13a-15(f) and Rule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21"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the assets;</w:t>
      </w:r>
    </w:p>
    <w:p>
      <w:pPr>
        <w:spacing w:after="0" w:line="6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the Company’s internal control over financial reporting as of December 31, 2024. In making this assessment, it used the criteria set forth in the Internal Control—Integrated Framework issued by the Committee of Sponsoring Organizations of the Treadway Commission (2013 framework)(COSO). Based on its assessment, our management has concluded that, as of December 31, 2024, the Company’s internal control over financial reporting is effective based on those criteria.</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registered public accounting firm, Ernst &amp; Young LLP, issued an attestation report on our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promulgated under the Securities Exchange Act of 1934, during the fourth quarter of 2024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CRISPR Therapeutics AG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CRISPR Therapeutics AG’s internal control over financial reporting as of December 31, 2024, based on criteria established in Internal Control—Integrated Framework issued by the Committee of Sponsoring Organizations of the Treadway Commission (2013 framework) (the COSO criteria). In our opinion, CRISPR Therapeutics AG "the Company" maintained, in all material respects, effective internal control over financial reporting as of December 31, 2024,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shareholders’ equity and cash flows for each of the three years in the period ended December 31, 2024, and the related notes and our report dated February 11,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arrangements (as each such term is defined in Item 408 of Regulation S-K). During the three months ended December 31, 2024, none of our officers and directors adopted, modified or terminated a Rule 10b5-1 trading arrangement or a non-Rule 10b5-1 trading arrangement.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116" w:name="page117"/>
    <w:bookmarkEnd w:id="1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General Meeting of Shareholders to be filed with the SEC within 120 days after the end of the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General Meeting of Shareholders to be filed with the SEC within 120 days after the end of the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to be filed with the SEC within 120 days after the end of the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General Meeting of Shareholders to be filed with the SEC within 120 days after the end of the fiscal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General Meeting of Shareholders to be filed with the SEC within 120 days after the end of the fiscal year ended December 31, 2024.</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17" w:name="page118"/>
    <w:bookmarkEnd w:id="1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w:t>
      </w:r>
      <w:r>
        <w:rPr>
          <w:rFonts w:ascii="Times New Roman" w:cs="Times New Roman" w:eastAsia="Times New Roman" w:hAnsi="Times New Roman"/>
          <w:sz w:val="18"/>
          <w:szCs w:val="18"/>
          <w:i w:val="1"/>
          <w:iCs w:val="1"/>
          <w:color w:val="auto"/>
        </w:rPr>
        <w:t>Index to Consolidated Financial Statements</w:t>
      </w:r>
      <w:r>
        <w:rPr>
          <w:rFonts w:ascii="Times New Roman" w:cs="Times New Roman" w:eastAsia="Times New Roman" w:hAnsi="Times New Roman"/>
          <w:sz w:val="18"/>
          <w:szCs w:val="18"/>
          <w:color w:val="auto"/>
        </w:rPr>
        <w:t>” on page F-1 below for the list of financial statements filed as part of this report.</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(a)(2) Schedules other than that listed above have been omitted because of the absence of conditions under which they are required or because the required information is included in the financial statements or the notes thereto.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are listed in the Exhibit Index below. The exhibits listed in the Exhibit Index below are filed or incorporated by reference as part of this Annual Report on Form 10-K.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Exhibit Index.</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60" w:type="dxa"/>
            <w:vAlign w:val="bottom"/>
            <w:gridSpan w:val="16"/>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6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Amended and Restated Articles of Association of CRISPR Therapeutics AG, dated May 30, 2024 (incorporated herein by reference to</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9"/>
          </w:tcPr>
          <w:p>
            <w:pPr>
              <w:spacing w:after="0" w:line="196"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Exhibit 3.1 to the Company's Current Report on Form 8-K filed on June 3, 2024).</w:t>
              </w:r>
            </w:hyperlink>
          </w:p>
        </w:tc>
        <w:tc>
          <w:tcPr>
            <w:tcW w:w="0" w:type="dxa"/>
            <w:vAlign w:val="bottom"/>
          </w:tcPr>
          <w:p>
            <w:pPr>
              <w:spacing w:after="0"/>
              <w:rPr>
                <w:sz w:val="1"/>
                <w:szCs w:val="1"/>
                <w:color w:val="auto"/>
              </w:rPr>
            </w:pPr>
          </w:p>
        </w:tc>
      </w:tr>
      <w:tr>
        <w:trPr>
          <w:trHeight w:val="291"/>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Description of Capital Shares.</w:t>
            </w:r>
          </w:p>
        </w:tc>
        <w:tc>
          <w:tcPr>
            <w:tcW w:w="3700" w:type="dxa"/>
            <w:vAlign w:val="bottom"/>
            <w:tcBorders>
              <w:top w:val="single" w:sz="8" w:color="0000EE"/>
            </w:tcBorders>
          </w:tcPr>
          <w:p>
            <w:pPr>
              <w:spacing w:after="0"/>
              <w:rPr>
                <w:sz w:val="24"/>
                <w:szCs w:val="24"/>
                <w:color w:val="auto"/>
              </w:rPr>
            </w:pPr>
          </w:p>
        </w:tc>
        <w:tc>
          <w:tcPr>
            <w:tcW w:w="41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License Agreement, dated April 15, 2014, by and between CRISPR Therapeutics AG and Emmanuelle Marie Charpentier (incorporated</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70">
              <w:r>
                <w:rPr>
                  <w:rFonts w:ascii="Times New Roman" w:cs="Times New Roman" w:eastAsia="Times New Roman" w:hAnsi="Times New Roman"/>
                  <w:sz w:val="18"/>
                  <w:szCs w:val="18"/>
                  <w:color w:val="auto"/>
                  <w:w w:val="99"/>
                </w:rPr>
                <w:t>herein by reference to Exhibit 10.5 to the Company’s Registration Statement on Form S-1 filed on October 7, 2016).</w:t>
              </w:r>
            </w:hyperlink>
          </w:p>
        </w:tc>
        <w:tc>
          <w:tcPr>
            <w:tcW w:w="1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License Agreement, dated April 15, 2014, by and between TRACR Hematology Limited and Emmanuelle Marie Charpentier</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171">
              <w:r>
                <w:rPr>
                  <w:rFonts w:ascii="Times New Roman" w:cs="Times New Roman" w:eastAsia="Times New Roman" w:hAnsi="Times New Roman"/>
                  <w:sz w:val="18"/>
                  <w:szCs w:val="18"/>
                  <w:color w:val="auto"/>
                  <w:w w:val="99"/>
                </w:rPr>
                <w:t>(incorporated herein by reference to Exhibit 10.6 to the Company’s Registration Statement on Form S-1 filed on October 7, 2016).</w:t>
              </w:r>
            </w:hyperlink>
          </w:p>
        </w:tc>
        <w:tc>
          <w:tcPr>
            <w:tcW w:w="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Patent Assignment Agreement, dated November 7, 2014, by and between CRISPR Therapeutics AG, Emmanuelle Marie Charpentier, the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9"/>
          </w:tcPr>
          <w:p>
            <w:pPr>
              <w:spacing w:after="0" w:line="196" w:lineRule="exact"/>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University of Vienna and Ines Fonfara (incorporated herein by reference to Exhibit 10.7 to the Company’s Registration Statement on Form</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172">
              <w:r>
                <w:rPr>
                  <w:rFonts w:ascii="Times New Roman" w:cs="Times New Roman" w:eastAsia="Times New Roman" w:hAnsi="Times New Roman"/>
                  <w:sz w:val="18"/>
                  <w:szCs w:val="18"/>
                  <w:color w:val="auto"/>
                  <w:w w:val="99"/>
                </w:rPr>
                <w:t>S-1 filed on October 7, 2016).</w:t>
              </w:r>
            </w:hyperlink>
          </w:p>
        </w:tc>
        <w:tc>
          <w:tcPr>
            <w:tcW w:w="78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Form of Indemnification Agreement (incorporated herein by reference to Exhibit 10.1 to the Company’s Quarterly Report on Form 10-Q</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173">
              <w:r>
                <w:rPr>
                  <w:rFonts w:ascii="Times New Roman" w:cs="Times New Roman" w:eastAsia="Times New Roman" w:hAnsi="Times New Roman"/>
                  <w:sz w:val="18"/>
                  <w:szCs w:val="18"/>
                  <w:color w:val="auto"/>
                  <w:w w:val="99"/>
                </w:rPr>
                <w:t>filed on November 5, 2024).</w:t>
              </w:r>
            </w:hyperlink>
          </w:p>
        </w:tc>
        <w:tc>
          <w:tcPr>
            <w:tcW w:w="79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Second Amended and Restated Employment Agreement, dated October 2, 2017, by and between CRISPR Therapeutics, Inc. and Samarth</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9"/>
          </w:tcPr>
          <w:p>
            <w:pPr>
              <w:spacing w:after="0" w:line="196" w:lineRule="exact"/>
              <w:rPr>
                <w:rFonts w:ascii="Times New Roman" w:cs="Times New Roman" w:eastAsia="Times New Roman" w:hAnsi="Times New Roman"/>
                <w:sz w:val="18"/>
                <w:szCs w:val="18"/>
                <w:color w:val="auto"/>
              </w:rPr>
            </w:pPr>
            <w:hyperlink r:id="rId174">
              <w:r>
                <w:rPr>
                  <w:rFonts w:ascii="Times New Roman" w:cs="Times New Roman" w:eastAsia="Times New Roman" w:hAnsi="Times New Roman"/>
                  <w:sz w:val="18"/>
                  <w:szCs w:val="18"/>
                  <w:color w:val="auto"/>
                </w:rPr>
                <w:t>Kulkarni (incorporated herein by reference to Exhibit 10.1 to the Company’s Current Report on Form 8-K filed on October 2, 2017).</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Employment Agreement, dated May 31, 2017, by and between CRISPR Therapeutics, Inc. and James R. Kasinger (incorporated herein by</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9"/>
          </w:tcPr>
          <w:p>
            <w:pPr>
              <w:spacing w:after="0" w:line="196" w:lineRule="exact"/>
              <w:rPr>
                <w:rFonts w:ascii="Times New Roman" w:cs="Times New Roman" w:eastAsia="Times New Roman" w:hAnsi="Times New Roman"/>
                <w:sz w:val="18"/>
                <w:szCs w:val="18"/>
                <w:color w:val="auto"/>
              </w:rPr>
            </w:pPr>
            <w:hyperlink r:id="rId175">
              <w:r>
                <w:rPr>
                  <w:rFonts w:ascii="Times New Roman" w:cs="Times New Roman" w:eastAsia="Times New Roman" w:hAnsi="Times New Roman"/>
                  <w:sz w:val="18"/>
                  <w:szCs w:val="18"/>
                  <w:color w:val="auto"/>
                </w:rPr>
                <w:t>reference to Exhibit 10.16 to the Company’s Annual Report on Form 10-K filed on March 8, 2018).</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6">
              <w:r>
                <w:rPr>
                  <w:rFonts w:ascii="Times New Roman" w:cs="Times New Roman" w:eastAsia="Times New Roman" w:hAnsi="Times New Roman"/>
                  <w:sz w:val="18"/>
                  <w:szCs w:val="18"/>
                  <w:color w:val="auto"/>
                </w:rPr>
                <w:t>Employment Agreement, dated May 23, 2024, by and between CRISPR Therapeutics, Inc. and Julianne Bruno (incorporated herein by</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0" w:type="dxa"/>
            <w:vAlign w:val="bottom"/>
            <w:gridSpan w:val="6"/>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176">
              <w:r>
                <w:rPr>
                  <w:rFonts w:ascii="Times New Roman" w:cs="Times New Roman" w:eastAsia="Times New Roman" w:hAnsi="Times New Roman"/>
                  <w:sz w:val="18"/>
                  <w:szCs w:val="18"/>
                  <w:color w:val="auto"/>
                  <w:w w:val="99"/>
                </w:rPr>
                <w:t>reference to Exhibit 10.1 to the Company’s Current Report on Form 8-K filed on May 23, 2024).</w:t>
              </w:r>
            </w:hyperlink>
          </w:p>
        </w:tc>
        <w:tc>
          <w:tcPr>
            <w:tcW w:w="3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Employment Agreement, dated May 28, 2024, by and between CRISPR Therapeutics, Inc. and Naimish Patel, MD (incorporated herein by</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1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9"/>
          </w:tcPr>
          <w:p>
            <w:pPr>
              <w:spacing w:after="0" w:line="196" w:lineRule="exact"/>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reference to Exhibit 10.2 to the Company’s Quarterly Report on Form 10-Q filed on August 5, 2024).</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51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8">
              <w:r>
                <w:rPr>
                  <w:rFonts w:ascii="Times New Roman" w:cs="Times New Roman" w:eastAsia="Times New Roman" w:hAnsi="Times New Roman"/>
                  <w:sz w:val="18"/>
                  <w:szCs w:val="18"/>
                  <w:color w:val="auto"/>
                </w:rPr>
                <w:t>Employment Agreement, dated March 14, 2023, by and between CRISPR Therapeutics, Inc. and Raju Prasad, Ph.D. (incorporated herein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180" w:type="dxa"/>
            <w:vAlign w:val="bottom"/>
            <w:gridSpan w:val="5"/>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78">
              <w:r>
                <w:rPr>
                  <w:rFonts w:ascii="Times New Roman" w:cs="Times New Roman" w:eastAsia="Times New Roman" w:hAnsi="Times New Roman"/>
                  <w:sz w:val="18"/>
                  <w:szCs w:val="18"/>
                  <w:color w:val="auto"/>
                  <w:w w:val="99"/>
                </w:rPr>
                <w:t>by reference to Exhibit 10.1 to the Company’s Current Report on Form 8-K filed on March 14, 2023).</w:t>
              </w:r>
            </w:hyperlink>
          </w:p>
        </w:tc>
        <w:tc>
          <w:tcPr>
            <w:tcW w:w="2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040" w:type="dxa"/>
            <w:vAlign w:val="bottom"/>
            <w:gridSpan w:val="19"/>
          </w:tcPr>
          <w:p>
            <w:pPr>
              <w:spacing w:after="0"/>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Senior Executive Cash Incentive Bonus Plan (incorporated herein by reference to Exhibit 10.26 to the Company’s Annual Report on Form</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784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19"/>
          </w:tcPr>
          <w:p>
            <w:pPr>
              <w:spacing w:after="0" w:line="196" w:lineRule="exact"/>
              <w:rPr>
                <w:rFonts w:ascii="Times New Roman" w:cs="Times New Roman" w:eastAsia="Times New Roman" w:hAnsi="Times New Roman"/>
                <w:sz w:val="18"/>
                <w:szCs w:val="18"/>
                <w:color w:val="auto"/>
              </w:rPr>
            </w:pPr>
            <w:hyperlink r:id="rId179">
              <w:r>
                <w:rPr>
                  <w:rFonts w:ascii="Times New Roman" w:cs="Times New Roman" w:eastAsia="Times New Roman" w:hAnsi="Times New Roman"/>
                  <w:sz w:val="18"/>
                  <w:szCs w:val="18"/>
                  <w:color w:val="auto"/>
                </w:rPr>
                <w:t>10-K filed on March 8, 2018).</w:t>
              </w:r>
            </w:hyperlink>
          </w:p>
        </w:tc>
        <w:tc>
          <w:tcPr>
            <w:tcW w:w="0" w:type="dxa"/>
            <w:vAlign w:val="bottom"/>
          </w:tcPr>
          <w:p>
            <w:pPr>
              <w:spacing w:after="0"/>
              <w:rPr>
                <w:sz w:val="1"/>
                <w:szCs w:val="1"/>
                <w:color w:val="auto"/>
              </w:rPr>
            </w:pPr>
          </w:p>
        </w:tc>
      </w:tr>
      <w:tr>
        <w:trPr>
          <w:trHeight w:val="452"/>
        </w:trPr>
        <w:tc>
          <w:tcPr>
            <w:tcW w:w="10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160" w:type="dxa"/>
            <w:vAlign w:val="bottom"/>
            <w:tcBorders>
              <w:top w:val="single" w:sz="8" w:color="0000EE"/>
            </w:tcBorders>
            <w:gridSpan w:val="2"/>
          </w:tcPr>
          <w:p>
            <w:pPr>
              <w:spacing w:after="0"/>
              <w:rPr>
                <w:sz w:val="24"/>
                <w:szCs w:val="24"/>
                <w:color w:val="auto"/>
              </w:rPr>
            </w:pPr>
          </w:p>
        </w:tc>
        <w:tc>
          <w:tcPr>
            <w:tcW w:w="370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rPr>
              <w:t>112</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48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182">
              <w:r>
                <w:rPr>
                  <w:rFonts w:ascii="Times New Roman" w:cs="Times New Roman" w:eastAsia="Times New Roman" w:hAnsi="Times New Roman"/>
                  <w:sz w:val="18"/>
                  <w:szCs w:val="18"/>
                  <w:color w:val="auto"/>
                </w:rPr>
                <w:t>CRISPR Therapeutics AG 2015 Stock Option and Grant Plan (incorporated herein by reference to Exhibit 10.14 to the Company’s</w:t>
              </w:r>
            </w:hyperlink>
          </w:p>
        </w:tc>
        <w:tc>
          <w:tcPr>
            <w:tcW w:w="560" w:type="dxa"/>
            <w:vAlign w:val="bottom"/>
            <w:gridSpan w:val="1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182">
              <w:r>
                <w:rPr>
                  <w:rFonts w:ascii="Times New Roman" w:cs="Times New Roman" w:eastAsia="Times New Roman" w:hAnsi="Times New Roman"/>
                  <w:sz w:val="18"/>
                  <w:szCs w:val="18"/>
                  <w:color w:val="auto"/>
                  <w:w w:val="99"/>
                </w:rPr>
                <w:t>Registration Statement on Form S-1 filed on September 9, 2016).</w:t>
              </w:r>
            </w:hyperlink>
          </w:p>
        </w:tc>
        <w:tc>
          <w:tcPr>
            <w:tcW w:w="5320" w:type="dxa"/>
            <w:vAlign w:val="bottom"/>
            <w:gridSpan w:val="22"/>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CRISPR Therapeutics AG Amended and Restated 2016 Stock Option and Incentive Plan (incorporated herein by reference to Exhibit 10.1</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50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183">
              <w:r>
                <w:rPr>
                  <w:rFonts w:ascii="Times New Roman" w:cs="Times New Roman" w:eastAsia="Times New Roman" w:hAnsi="Times New Roman"/>
                  <w:sz w:val="18"/>
                  <w:szCs w:val="18"/>
                  <w:color w:val="auto"/>
                  <w:w w:val="99"/>
                </w:rPr>
                <w:t>to the Company’s Current Report on Form 8-K filed on June 2, 2017).</w:t>
              </w:r>
            </w:hyperlink>
          </w:p>
        </w:tc>
        <w:tc>
          <w:tcPr>
            <w:tcW w:w="4960" w:type="dxa"/>
            <w:vAlign w:val="bottom"/>
            <w:gridSpan w:val="20"/>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10.12.1#</w:t>
            </w:r>
          </w:p>
        </w:tc>
        <w:tc>
          <w:tcPr>
            <w:tcW w:w="98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Form of Incentive Stock Option Agreement under CRISPR Therapeutics AG’s Amended and Restated 2016 Stock Option and Incentive</w:t>
              </w:r>
            </w:hyperlink>
          </w:p>
        </w:tc>
        <w:tc>
          <w:tcPr>
            <w:tcW w:w="16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184">
              <w:r>
                <w:rPr>
                  <w:rFonts w:ascii="Times New Roman" w:cs="Times New Roman" w:eastAsia="Times New Roman" w:hAnsi="Times New Roman"/>
                  <w:sz w:val="18"/>
                  <w:szCs w:val="18"/>
                  <w:color w:val="auto"/>
                </w:rPr>
                <w:t>Plan (incorporated herein by reference to Exhibit 10.2 to the Company’s Current Report on Form 10-Q filed on November 8, 2017).</w:t>
              </w:r>
            </w:hyperlink>
          </w:p>
        </w:tc>
        <w:tc>
          <w:tcPr>
            <w:tcW w:w="500" w:type="dxa"/>
            <w:vAlign w:val="bottom"/>
            <w:gridSpan w:val="12"/>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10.12.2#</w:t>
            </w:r>
          </w:p>
        </w:tc>
        <w:tc>
          <w:tcPr>
            <w:tcW w:w="1004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Form of Non-Qualified Stock Option Agreement for Company Employees under CRISPR Therapeutics AG’s Amended and Restated 2016</w:t>
              </w:r>
            </w:hyperlink>
          </w:p>
        </w:tc>
      </w:tr>
      <w:tr>
        <w:trPr>
          <w:trHeight w:val="196"/>
        </w:trPr>
        <w:tc>
          <w:tcPr>
            <w:tcW w:w="1200" w:type="dxa"/>
            <w:vAlign w:val="bottom"/>
          </w:tcPr>
          <w:p>
            <w:pPr>
              <w:spacing w:after="0"/>
              <w:rPr>
                <w:sz w:val="17"/>
                <w:szCs w:val="17"/>
                <w:color w:val="auto"/>
              </w:rPr>
            </w:pPr>
          </w:p>
        </w:tc>
        <w:tc>
          <w:tcPr>
            <w:tcW w:w="98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Stock Option and Incentive Plan (incorporated herein by reference to Exhibit 10.3 to the Company’s Current Report on Form 10-Q filed</w:t>
              </w:r>
            </w:hyperlink>
          </w:p>
        </w:tc>
        <w:tc>
          <w:tcPr>
            <w:tcW w:w="18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85">
              <w:r>
                <w:rPr>
                  <w:rFonts w:ascii="Times New Roman" w:cs="Times New Roman" w:eastAsia="Times New Roman" w:hAnsi="Times New Roman"/>
                  <w:sz w:val="18"/>
                  <w:szCs w:val="18"/>
                  <w:color w:val="auto"/>
                </w:rPr>
                <w:t>on November 8, 2017).</w:t>
              </w:r>
            </w:hyperlink>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10.12.3#</w:t>
            </w:r>
          </w:p>
        </w:tc>
        <w:tc>
          <w:tcPr>
            <w:tcW w:w="994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Form of Non-Qualified Stock Option Agreement for Non-Employee Directors under CRISPR Therapeutics AG’s Amended and Restated</w:t>
              </w:r>
            </w:hyperlink>
          </w:p>
        </w:tc>
        <w:tc>
          <w:tcPr>
            <w:tcW w:w="10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2016 Stock Option and Incentive Plan (incorporated herein by reference to Exhibit 10.4 to the Company’s Current Report on Form 10-Q</w:t>
              </w:r>
            </w:hyperlink>
          </w:p>
        </w:tc>
        <w:tc>
          <w:tcPr>
            <w:tcW w:w="140" w:type="dxa"/>
            <w:vAlign w:val="bottom"/>
            <w:gridSpan w:val="5"/>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186">
              <w:r>
                <w:rPr>
                  <w:rFonts w:ascii="Times New Roman" w:cs="Times New Roman" w:eastAsia="Times New Roman" w:hAnsi="Times New Roman"/>
                  <w:sz w:val="18"/>
                  <w:szCs w:val="18"/>
                  <w:color w:val="auto"/>
                  <w:w w:val="99"/>
                </w:rPr>
                <w:t>filed on November 8, 2017).</w:t>
              </w:r>
            </w:hyperlink>
          </w:p>
        </w:tc>
        <w:tc>
          <w:tcPr>
            <w:tcW w:w="7980" w:type="dxa"/>
            <w:vAlign w:val="bottom"/>
            <w:gridSpan w:val="23"/>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10.12.4#</w:t>
            </w:r>
          </w:p>
        </w:tc>
        <w:tc>
          <w:tcPr>
            <w:tcW w:w="992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Form of Restricted Stock Award Agreement under CRISPR Therapeutics AG’s Amended and Restated 2016 Stock Option and Incentive</w:t>
              </w:r>
            </w:hyperlink>
          </w:p>
        </w:tc>
        <w:tc>
          <w:tcPr>
            <w:tcW w:w="12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Plan (incorporated herein by reference to Exhibit 10.5 to the Company’s Current Report on Form 10-Q filed on November 8, 2017).</w:t>
              </w:r>
            </w:hyperlink>
          </w:p>
        </w:tc>
        <w:tc>
          <w:tcPr>
            <w:tcW w:w="500" w:type="dxa"/>
            <w:vAlign w:val="bottom"/>
            <w:gridSpan w:val="12"/>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10.12.5#</w:t>
            </w:r>
          </w:p>
        </w:tc>
        <w:tc>
          <w:tcPr>
            <w:tcW w:w="974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Form of Restricted Stock Award Agreement for Company Employees under CRISPR Therapeutics AG’s Amended and Restated 2016</w:t>
              </w:r>
            </w:hyperlink>
          </w:p>
        </w:tc>
        <w:tc>
          <w:tcPr>
            <w:tcW w:w="300" w:type="dxa"/>
            <w:vAlign w:val="bottom"/>
            <w:gridSpan w:val="10"/>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8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Stock Option and Incentive Plan (incorporated herein by reference to Exhibit 10.6 to the Company’s Current Report on Form 10-Q filed</w:t>
              </w:r>
            </w:hyperlink>
          </w:p>
        </w:tc>
        <w:tc>
          <w:tcPr>
            <w:tcW w:w="18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on November 8, 2017).</w:t>
              </w:r>
            </w:hyperlink>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10.12.6#</w:t>
            </w:r>
          </w:p>
        </w:tc>
        <w:tc>
          <w:tcPr>
            <w:tcW w:w="1000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Form of Restricted Stock Award Agreement for Non-Employee Directors under CRISPR Therapeutics AG’s Amended and Restated 2016</w:t>
              </w:r>
            </w:hyperlink>
          </w:p>
        </w:tc>
        <w:tc>
          <w:tcPr>
            <w:tcW w:w="4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8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Stock Option and Incentive Plan (incorporated herein by reference to Exhibit 10.7 to the Company’s Current Report on Form 10-Q filed</w:t>
              </w:r>
            </w:hyperlink>
          </w:p>
        </w:tc>
        <w:tc>
          <w:tcPr>
            <w:tcW w:w="18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on November 8, 2017).</w:t>
              </w:r>
            </w:hyperlink>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190">
              <w:r>
                <w:rPr>
                  <w:rFonts w:ascii="Times New Roman" w:cs="Times New Roman" w:eastAsia="Times New Roman" w:hAnsi="Times New Roman"/>
                  <w:sz w:val="18"/>
                  <w:szCs w:val="18"/>
                  <w:color w:val="auto"/>
                </w:rPr>
                <w:t>CRISPR Therapeutics AG 2018 Stock Option and Incentive Plan and forms of agreements thereunder (incorporated herein by reference to</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6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190">
              <w:r>
                <w:rPr>
                  <w:rFonts w:ascii="Times New Roman" w:cs="Times New Roman" w:eastAsia="Times New Roman" w:hAnsi="Times New Roman"/>
                  <w:sz w:val="18"/>
                  <w:szCs w:val="18"/>
                  <w:color w:val="auto"/>
                  <w:w w:val="99"/>
                </w:rPr>
                <w:t>Exhibit 99.1 to the Company’s Registration Statement on Form S-8 filed on June 1, 2018).</w:t>
              </w:r>
            </w:hyperlink>
          </w:p>
        </w:tc>
        <w:tc>
          <w:tcPr>
            <w:tcW w:w="3500" w:type="dxa"/>
            <w:vAlign w:val="bottom"/>
            <w:gridSpan w:val="19"/>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10.13.1#</w:t>
            </w:r>
          </w:p>
        </w:tc>
        <w:tc>
          <w:tcPr>
            <w:tcW w:w="100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191">
              <w:r>
                <w:rPr>
                  <w:rFonts w:ascii="Times New Roman" w:cs="Times New Roman" w:eastAsia="Times New Roman" w:hAnsi="Times New Roman"/>
                  <w:sz w:val="18"/>
                  <w:szCs w:val="18"/>
                  <w:color w:val="auto"/>
                </w:rPr>
                <w:t>Form of Incentive Stock Option Agreement under CRISPR Therapeutics AG’s 2018 Stock Option and Incentive Plan (incorporated herein</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7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91">
              <w:r>
                <w:rPr>
                  <w:rFonts w:ascii="Times New Roman" w:cs="Times New Roman" w:eastAsia="Times New Roman" w:hAnsi="Times New Roman"/>
                  <w:sz w:val="18"/>
                  <w:szCs w:val="18"/>
                  <w:color w:val="auto"/>
                  <w:w w:val="99"/>
                </w:rPr>
                <w:t>by reference to Exhibit 99.2 to the Company’s Registration Statement on Form S-8 filed on June 1, 2018).</w:t>
              </w:r>
            </w:hyperlink>
          </w:p>
        </w:tc>
        <w:tc>
          <w:tcPr>
            <w:tcW w:w="2380" w:type="dxa"/>
            <w:vAlign w:val="bottom"/>
            <w:gridSpan w:val="17"/>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10.13.2#</w:t>
            </w:r>
          </w:p>
        </w:tc>
        <w:tc>
          <w:tcPr>
            <w:tcW w:w="966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Form of Non-Qualified Stock Option Agreement for Company Employees under CRISPR Therapeutics AG’s 2018 Stock Option and</w:t>
              </w:r>
            </w:hyperlink>
          </w:p>
        </w:tc>
        <w:tc>
          <w:tcPr>
            <w:tcW w:w="380" w:type="dxa"/>
            <w:vAlign w:val="bottom"/>
            <w:gridSpan w:val="11"/>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92">
              <w:r>
                <w:rPr>
                  <w:rFonts w:ascii="Times New Roman" w:cs="Times New Roman" w:eastAsia="Times New Roman" w:hAnsi="Times New Roman"/>
                  <w:sz w:val="18"/>
                  <w:szCs w:val="18"/>
                  <w:color w:val="auto"/>
                </w:rPr>
                <w:t>Incentive Plan (incorporated herein by reference to Exhibit 99.3 to the Company’s Registration Statement on Form S-8 filed on June 1,</w:t>
              </w:r>
            </w:hyperlink>
          </w:p>
        </w:tc>
      </w:tr>
      <w:tr>
        <w:trPr>
          <w:trHeight w:val="196"/>
        </w:trPr>
        <w:tc>
          <w:tcPr>
            <w:tcW w:w="12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192">
              <w:r>
                <w:rPr>
                  <w:rFonts w:ascii="Times New Roman" w:cs="Times New Roman" w:eastAsia="Times New Roman" w:hAnsi="Times New Roman"/>
                  <w:sz w:val="18"/>
                  <w:szCs w:val="18"/>
                  <w:color w:val="auto"/>
                  <w:w w:val="98"/>
                </w:rPr>
                <w:t>2018).</w:t>
              </w:r>
            </w:hyperlink>
          </w:p>
        </w:tc>
        <w:tc>
          <w:tcPr>
            <w:tcW w:w="12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10.13.3#</w:t>
            </w:r>
          </w:p>
        </w:tc>
        <w:tc>
          <w:tcPr>
            <w:tcW w:w="992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Form of Non-Qualified Stock Option Agreement for Non-Employee Directors under CRISPR Therapeutics AG’s 2018 Stock Option and</w:t>
              </w:r>
            </w:hyperlink>
          </w:p>
        </w:tc>
        <w:tc>
          <w:tcPr>
            <w:tcW w:w="12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93">
              <w:r>
                <w:rPr>
                  <w:rFonts w:ascii="Times New Roman" w:cs="Times New Roman" w:eastAsia="Times New Roman" w:hAnsi="Times New Roman"/>
                  <w:sz w:val="18"/>
                  <w:szCs w:val="18"/>
                  <w:color w:val="auto"/>
                </w:rPr>
                <w:t>Incentive Plan (incorporated herein by reference to Exhibit 99.4 to the Company’s Registration Statement on Form S-8 filed on June 1,</w:t>
              </w:r>
            </w:hyperlink>
          </w:p>
        </w:tc>
      </w:tr>
      <w:tr>
        <w:trPr>
          <w:trHeight w:val="196"/>
        </w:trPr>
        <w:tc>
          <w:tcPr>
            <w:tcW w:w="12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193">
              <w:r>
                <w:rPr>
                  <w:rFonts w:ascii="Times New Roman" w:cs="Times New Roman" w:eastAsia="Times New Roman" w:hAnsi="Times New Roman"/>
                  <w:sz w:val="18"/>
                  <w:szCs w:val="18"/>
                  <w:color w:val="auto"/>
                  <w:w w:val="98"/>
                </w:rPr>
                <w:t>2018).</w:t>
              </w:r>
            </w:hyperlink>
          </w:p>
        </w:tc>
        <w:tc>
          <w:tcPr>
            <w:tcW w:w="12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10.13.4#</w:t>
            </w:r>
          </w:p>
        </w:tc>
        <w:tc>
          <w:tcPr>
            <w:tcW w:w="946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194">
              <w:r>
                <w:rPr>
                  <w:rFonts w:ascii="Times New Roman" w:cs="Times New Roman" w:eastAsia="Times New Roman" w:hAnsi="Times New Roman"/>
                  <w:sz w:val="18"/>
                  <w:szCs w:val="18"/>
                  <w:color w:val="auto"/>
                </w:rPr>
                <w:t>Form of Restricted Stock Award under CRISPR Therapeutics AG’s 2018 Stock Option and Incentive Plan (incorporated herein by</w:t>
              </w:r>
            </w:hyperlink>
          </w:p>
        </w:tc>
        <w:tc>
          <w:tcPr>
            <w:tcW w:w="580" w:type="dxa"/>
            <w:vAlign w:val="bottom"/>
            <w:gridSpan w:val="1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7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94">
              <w:r>
                <w:rPr>
                  <w:rFonts w:ascii="Times New Roman" w:cs="Times New Roman" w:eastAsia="Times New Roman" w:hAnsi="Times New Roman"/>
                  <w:sz w:val="18"/>
                  <w:szCs w:val="18"/>
                  <w:color w:val="auto"/>
                  <w:w w:val="99"/>
                </w:rPr>
                <w:t>reference to Exhibit 99.5 to the Company’s Registration Statement on Form S-8 filed on June 1, 2018).</w:t>
              </w:r>
            </w:hyperlink>
          </w:p>
        </w:tc>
        <w:tc>
          <w:tcPr>
            <w:tcW w:w="2600" w:type="dxa"/>
            <w:vAlign w:val="bottom"/>
            <w:gridSpan w:val="18"/>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10.13.5#</w:t>
            </w:r>
          </w:p>
        </w:tc>
        <w:tc>
          <w:tcPr>
            <w:tcW w:w="1004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195">
              <w:r>
                <w:rPr>
                  <w:rFonts w:ascii="Times New Roman" w:cs="Times New Roman" w:eastAsia="Times New Roman" w:hAnsi="Times New Roman"/>
                  <w:sz w:val="18"/>
                  <w:szCs w:val="18"/>
                  <w:color w:val="auto"/>
                </w:rPr>
                <w:t>Form of Restricted Stock Award Agreement for Company Employees under CRISPR Therapeutics AG’s 2018 Stock Option and Incentive</w:t>
              </w:r>
            </w:hyperlink>
          </w:p>
        </w:tc>
      </w:tr>
      <w:tr>
        <w:trPr>
          <w:trHeight w:val="196"/>
        </w:trPr>
        <w:tc>
          <w:tcPr>
            <w:tcW w:w="1200" w:type="dxa"/>
            <w:vAlign w:val="bottom"/>
          </w:tcPr>
          <w:p>
            <w:pPr>
              <w:spacing w:after="0"/>
              <w:rPr>
                <w:sz w:val="17"/>
                <w:szCs w:val="17"/>
                <w:color w:val="auto"/>
              </w:rPr>
            </w:pPr>
          </w:p>
        </w:tc>
        <w:tc>
          <w:tcPr>
            <w:tcW w:w="9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9"/>
              </w:rPr>
            </w:pPr>
            <w:hyperlink r:id="rId195">
              <w:r>
                <w:rPr>
                  <w:rFonts w:ascii="Times New Roman" w:cs="Times New Roman" w:eastAsia="Times New Roman" w:hAnsi="Times New Roman"/>
                  <w:sz w:val="18"/>
                  <w:szCs w:val="18"/>
                  <w:color w:val="auto"/>
                  <w:w w:val="99"/>
                </w:rPr>
                <w:t>Plan (incorporated herein by reference to Exhibit 99.6 to the Company’s Registration Statement on Form S-8 filed on June 1, 2018).</w:t>
              </w:r>
            </w:hyperlink>
          </w:p>
        </w:tc>
        <w:tc>
          <w:tcPr>
            <w:tcW w:w="500" w:type="dxa"/>
            <w:vAlign w:val="bottom"/>
            <w:gridSpan w:val="12"/>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10.13.6#</w:t>
            </w:r>
          </w:p>
        </w:tc>
        <w:tc>
          <w:tcPr>
            <w:tcW w:w="984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Form of Restricted Stock Award for Non-Employee Directors under CRISPR Therapeutics AG’s 2018 Stock Option and Incentive Plan</w:t>
              </w:r>
            </w:hyperlink>
          </w:p>
        </w:tc>
        <w:tc>
          <w:tcPr>
            <w:tcW w:w="200" w:type="dxa"/>
            <w:vAlign w:val="bottom"/>
            <w:gridSpan w:val="8"/>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96">
              <w:r>
                <w:rPr>
                  <w:rFonts w:ascii="Times New Roman" w:cs="Times New Roman" w:eastAsia="Times New Roman" w:hAnsi="Times New Roman"/>
                  <w:sz w:val="18"/>
                  <w:szCs w:val="18"/>
                  <w:color w:val="auto"/>
                </w:rPr>
                <w:t>(incorporated herein by reference to Exhibit 99.7 to the Company’s Registration Statement on Form S-8 filed on June 1, 2018).</w:t>
              </w:r>
            </w:hyperlink>
          </w:p>
        </w:tc>
      </w:tr>
      <w:tr>
        <w:trPr>
          <w:trHeight w:val="20"/>
        </w:trPr>
        <w:tc>
          <w:tcPr>
            <w:tcW w:w="1200" w:type="dxa"/>
            <w:vAlign w:val="bottom"/>
          </w:tcPr>
          <w:p>
            <w:pPr>
              <w:spacing w:after="0" w:line="20" w:lineRule="exact"/>
              <w:rPr>
                <w:sz w:val="1"/>
                <w:szCs w:val="1"/>
                <w:color w:val="auto"/>
              </w:rPr>
            </w:pPr>
          </w:p>
        </w:tc>
        <w:tc>
          <w:tcPr>
            <w:tcW w:w="5060" w:type="dxa"/>
            <w:vAlign w:val="bottom"/>
            <w:gridSpan w:val="5"/>
            <w:shd w:val="clear" w:color="auto" w:fill="0000EE"/>
          </w:tcPr>
          <w:p>
            <w:pPr>
              <w:spacing w:after="0" w:line="20" w:lineRule="exact"/>
              <w:rPr>
                <w:sz w:val="1"/>
                <w:szCs w:val="1"/>
                <w:color w:val="auto"/>
              </w:rPr>
            </w:pPr>
          </w:p>
        </w:tc>
        <w:tc>
          <w:tcPr>
            <w:tcW w:w="410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52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Amendment No. 1 to the 2018 Stock Option and Incentive Plan (incorporated herein by reference to Appendix A to the Company’s</w:t>
              </w:r>
            </w:hyperlink>
          </w:p>
        </w:tc>
        <w:tc>
          <w:tcPr>
            <w:tcW w:w="520" w:type="dxa"/>
            <w:vAlign w:val="bottom"/>
            <w:gridSpan w:val="1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97">
              <w:r>
                <w:rPr>
                  <w:rFonts w:ascii="Times New Roman" w:cs="Times New Roman" w:eastAsia="Times New Roman" w:hAnsi="Times New Roman"/>
                  <w:sz w:val="18"/>
                  <w:szCs w:val="18"/>
                  <w:color w:val="auto"/>
                </w:rPr>
                <w:t>Definitive Proxy Statement on Schedule 14A filed on April 30, 2019).</w:t>
              </w:r>
            </w:hyperlink>
          </w:p>
        </w:tc>
      </w:tr>
      <w:tr>
        <w:trPr>
          <w:trHeight w:val="20"/>
        </w:trPr>
        <w:tc>
          <w:tcPr>
            <w:tcW w:w="1200" w:type="dxa"/>
            <w:vAlign w:val="bottom"/>
          </w:tcPr>
          <w:p>
            <w:pPr>
              <w:spacing w:after="0" w:line="20" w:lineRule="exact"/>
              <w:rPr>
                <w:sz w:val="1"/>
                <w:szCs w:val="1"/>
                <w:color w:val="auto"/>
              </w:rPr>
            </w:pPr>
          </w:p>
        </w:tc>
        <w:tc>
          <w:tcPr>
            <w:tcW w:w="5060" w:type="dxa"/>
            <w:vAlign w:val="bottom"/>
            <w:gridSpan w:val="5"/>
            <w:shd w:val="clear" w:color="auto" w:fill="0000EE"/>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52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Amendment No. 2 to the 2018 Stock Option and Incentive Plan (incorporated herein by reference to Appendix A to the Company’s</w:t>
              </w:r>
            </w:hyperlink>
          </w:p>
        </w:tc>
        <w:tc>
          <w:tcPr>
            <w:tcW w:w="520" w:type="dxa"/>
            <w:vAlign w:val="bottom"/>
            <w:gridSpan w:val="1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98">
              <w:r>
                <w:rPr>
                  <w:rFonts w:ascii="Times New Roman" w:cs="Times New Roman" w:eastAsia="Times New Roman" w:hAnsi="Times New Roman"/>
                  <w:sz w:val="18"/>
                  <w:szCs w:val="18"/>
                  <w:color w:val="auto"/>
                </w:rPr>
                <w:t>Definitive Proxy Statement on Schedule 14A filed on April 24, 2020).</w:t>
              </w:r>
            </w:hyperlink>
          </w:p>
        </w:tc>
      </w:tr>
      <w:tr>
        <w:trPr>
          <w:trHeight w:val="20"/>
        </w:trPr>
        <w:tc>
          <w:tcPr>
            <w:tcW w:w="1200" w:type="dxa"/>
            <w:vAlign w:val="bottom"/>
          </w:tcPr>
          <w:p>
            <w:pPr>
              <w:spacing w:after="0" w:line="20" w:lineRule="exact"/>
              <w:rPr>
                <w:sz w:val="1"/>
                <w:szCs w:val="1"/>
                <w:color w:val="auto"/>
              </w:rPr>
            </w:pPr>
          </w:p>
        </w:tc>
        <w:tc>
          <w:tcPr>
            <w:tcW w:w="5060" w:type="dxa"/>
            <w:vAlign w:val="bottom"/>
            <w:gridSpan w:val="5"/>
            <w:shd w:val="clear" w:color="auto" w:fill="0000EE"/>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48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Amendment No. 3 to the 2018 Stock Option and Incentive Plan (incorporated herein by reference to Appendix A to the Company's</w:t>
              </w:r>
            </w:hyperlink>
          </w:p>
        </w:tc>
        <w:tc>
          <w:tcPr>
            <w:tcW w:w="560" w:type="dxa"/>
            <w:vAlign w:val="bottom"/>
            <w:gridSpan w:val="1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26"/>
          </w:tcPr>
          <w:p>
            <w:pPr>
              <w:spacing w:after="0" w:line="196" w:lineRule="exact"/>
              <w:rPr>
                <w:rFonts w:ascii="Times New Roman" w:cs="Times New Roman" w:eastAsia="Times New Roman" w:hAnsi="Times New Roman"/>
                <w:sz w:val="18"/>
                <w:szCs w:val="18"/>
                <w:color w:val="auto"/>
              </w:rPr>
            </w:pPr>
            <w:hyperlink r:id="rId199">
              <w:r>
                <w:rPr>
                  <w:rFonts w:ascii="Times New Roman" w:cs="Times New Roman" w:eastAsia="Times New Roman" w:hAnsi="Times New Roman"/>
                  <w:sz w:val="18"/>
                  <w:szCs w:val="18"/>
                  <w:color w:val="auto"/>
                </w:rPr>
                <w:t>Definitive Proxy Statement on Schedule 14A filed on April 25, 2022).</w:t>
              </w:r>
            </w:hyperlink>
          </w:p>
        </w:tc>
      </w:tr>
      <w:tr>
        <w:trPr>
          <w:trHeight w:val="547"/>
        </w:trPr>
        <w:tc>
          <w:tcPr>
            <w:tcW w:w="1200" w:type="dxa"/>
            <w:vAlign w:val="bottom"/>
          </w:tcPr>
          <w:p>
            <w:pPr>
              <w:spacing w:after="0"/>
              <w:rPr>
                <w:sz w:val="24"/>
                <w:szCs w:val="24"/>
                <w:color w:val="auto"/>
              </w:rPr>
            </w:pPr>
          </w:p>
        </w:tc>
        <w:tc>
          <w:tcPr>
            <w:tcW w:w="4720" w:type="dxa"/>
            <w:vAlign w:val="bottom"/>
            <w:tcBorders>
              <w:top w:val="single" w:sz="8" w:color="0000EE"/>
            </w:tcBorders>
            <w:gridSpan w:val="4"/>
          </w:tcPr>
          <w:p>
            <w:pPr>
              <w:ind w:left="4280"/>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Amendment No. 4 to the 2018 Stock Option and Incentive Plan (incorporated herein by reference to Appendix B to the Company's</w:t>
              </w:r>
            </w:hyperlink>
          </w:p>
        </w:tc>
        <w:tc>
          <w:tcPr>
            <w:tcW w:w="560" w:type="dxa"/>
            <w:vAlign w:val="bottom"/>
            <w:gridSpan w:val="1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7"/>
          </w:tcPr>
          <w:p>
            <w:pPr>
              <w:spacing w:after="0" w:line="196" w:lineRule="exact"/>
              <w:rPr>
                <w:rFonts w:ascii="Times New Roman" w:cs="Times New Roman" w:eastAsia="Times New Roman" w:hAnsi="Times New Roman"/>
                <w:sz w:val="18"/>
                <w:szCs w:val="18"/>
                <w:color w:val="auto"/>
              </w:rPr>
            </w:pPr>
            <w:hyperlink r:id="rId202">
              <w:r>
                <w:rPr>
                  <w:rFonts w:ascii="Times New Roman" w:cs="Times New Roman" w:eastAsia="Times New Roman" w:hAnsi="Times New Roman"/>
                  <w:sz w:val="18"/>
                  <w:szCs w:val="18"/>
                  <w:color w:val="auto"/>
                </w:rPr>
                <w:t>Definitive Proxy Statement on Schedule 14A filed on April 26, 2023).</w:t>
              </w:r>
            </w:hyperlink>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03">
              <w:r>
                <w:rPr>
                  <w:rFonts w:ascii="Times New Roman" w:cs="Times New Roman" w:eastAsia="Times New Roman" w:hAnsi="Times New Roman"/>
                  <w:sz w:val="18"/>
                  <w:szCs w:val="18"/>
                  <w:color w:val="auto"/>
                </w:rPr>
                <w:t>Amendment No. 5 to the 2018 Stock Option and Incentive Plan (incorporated herein by reference to Appendix A to the Company's</w:t>
              </w:r>
            </w:hyperlink>
          </w:p>
        </w:tc>
        <w:tc>
          <w:tcPr>
            <w:tcW w:w="560" w:type="dxa"/>
            <w:vAlign w:val="bottom"/>
            <w:gridSpan w:val="17"/>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203">
              <w:r>
                <w:rPr>
                  <w:rFonts w:ascii="Times New Roman" w:cs="Times New Roman" w:eastAsia="Times New Roman" w:hAnsi="Times New Roman"/>
                  <w:sz w:val="18"/>
                  <w:szCs w:val="18"/>
                  <w:color w:val="auto"/>
                  <w:w w:val="99"/>
                </w:rPr>
                <w:t>Definitive Proxy Statement on Schedule 14A filed on April 9, 2024).</w:t>
              </w:r>
            </w:hyperlink>
          </w:p>
        </w:tc>
        <w:tc>
          <w:tcPr>
            <w:tcW w:w="5060" w:type="dxa"/>
            <w:vAlign w:val="bottom"/>
            <w:gridSpan w:val="31"/>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64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204">
              <w:r>
                <w:rPr>
                  <w:rFonts w:ascii="Times New Roman" w:cs="Times New Roman" w:eastAsia="Times New Roman" w:hAnsi="Times New Roman"/>
                  <w:sz w:val="18"/>
                  <w:szCs w:val="18"/>
                  <w:color w:val="auto"/>
                </w:rPr>
                <w:t>CRISPR Therapeutics AG 2016 Employee Stock Purchase Plan (incorporated herein by reference to Exhibit 10.16 to the Company’s</w:t>
              </w:r>
            </w:hyperlink>
          </w:p>
        </w:tc>
        <w:tc>
          <w:tcPr>
            <w:tcW w:w="400" w:type="dxa"/>
            <w:vAlign w:val="bottom"/>
            <w:gridSpan w:val="11"/>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204">
              <w:r>
                <w:rPr>
                  <w:rFonts w:ascii="Times New Roman" w:cs="Times New Roman" w:eastAsia="Times New Roman" w:hAnsi="Times New Roman"/>
                  <w:sz w:val="18"/>
                  <w:szCs w:val="18"/>
                  <w:color w:val="auto"/>
                  <w:w w:val="99"/>
                </w:rPr>
                <w:t>Registration Statement on Form S-1 filed on September 9, 2016).</w:t>
              </w:r>
            </w:hyperlink>
          </w:p>
        </w:tc>
        <w:tc>
          <w:tcPr>
            <w:tcW w:w="5320" w:type="dxa"/>
            <w:vAlign w:val="bottom"/>
            <w:gridSpan w:val="32"/>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24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Consent to Assignments, Licensing and Common Ownership and Invention Management Agreement for a Programmable DNA</w:t>
              </w:r>
            </w:hyperlink>
          </w:p>
        </w:tc>
        <w:tc>
          <w:tcPr>
            <w:tcW w:w="800" w:type="dxa"/>
            <w:vAlign w:val="bottom"/>
            <w:gridSpan w:val="2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Restriction Enzyme for Genome Editing, dated December 15, 2016, by and among CRISPR Therapeutics AG, The Regents of the</w:t>
              </w:r>
            </w:hyperlink>
          </w:p>
        </w:tc>
        <w:tc>
          <w:tcPr>
            <w:tcW w:w="640" w:type="dxa"/>
            <w:vAlign w:val="bottom"/>
            <w:gridSpan w:val="20"/>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98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University of California, University of Vienna, Dr. Emmanuelle Charpentier, Intellia Therapeutics, Inc., Caribou Biosciences, Inc., ERS</w:t>
              </w:r>
            </w:hyperlink>
          </w:p>
        </w:tc>
        <w:tc>
          <w:tcPr>
            <w:tcW w:w="180" w:type="dxa"/>
            <w:vAlign w:val="bottom"/>
            <w:gridSpan w:val="6"/>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96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Genomics Ltd., and TRACR Hematology Ltd. (incorporated herein by reference to Exhibit 10.1 to the Company’s Current Report on</w:t>
              </w:r>
            </w:hyperlink>
          </w:p>
        </w:tc>
        <w:tc>
          <w:tcPr>
            <w:tcW w:w="400" w:type="dxa"/>
            <w:vAlign w:val="bottom"/>
            <w:gridSpan w:val="11"/>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7"/>
          </w:tcPr>
          <w:p>
            <w:pPr>
              <w:spacing w:after="0" w:line="196" w:lineRule="exact"/>
              <w:rPr>
                <w:rFonts w:ascii="Times New Roman" w:cs="Times New Roman" w:eastAsia="Times New Roman" w:hAnsi="Times New Roman"/>
                <w:sz w:val="18"/>
                <w:szCs w:val="18"/>
                <w:color w:val="auto"/>
              </w:rPr>
            </w:pPr>
            <w:hyperlink r:id="rId205">
              <w:r>
                <w:rPr>
                  <w:rFonts w:ascii="Times New Roman" w:cs="Times New Roman" w:eastAsia="Times New Roman" w:hAnsi="Times New Roman"/>
                  <w:sz w:val="18"/>
                  <w:szCs w:val="18"/>
                  <w:color w:val="auto"/>
                </w:rPr>
                <w:t>Form 8-K filed on December 16, 2016).</w:t>
              </w:r>
            </w:hyperlink>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62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Strategic Collaboration, Option and License Agreement, dated October 26, 2015, by and among CRISPR Therapeutics AG, CRISPR</w:t>
              </w:r>
            </w:hyperlink>
          </w:p>
        </w:tc>
        <w:tc>
          <w:tcPr>
            <w:tcW w:w="420" w:type="dxa"/>
            <w:vAlign w:val="bottom"/>
            <w:gridSpan w:val="1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Therapeutics Limited, CRISPR Therapeutics, Inc., TRACR Hematology Limited, Vertex Pharmaceuticals, Incorporated and Vertex</w:t>
              </w:r>
            </w:hyperlink>
          </w:p>
        </w:tc>
        <w:tc>
          <w:tcPr>
            <w:tcW w:w="500" w:type="dxa"/>
            <w:vAlign w:val="bottom"/>
            <w:gridSpan w:val="15"/>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7"/>
          </w:tcPr>
          <w:p>
            <w:pPr>
              <w:spacing w:after="0" w:line="196" w:lineRule="exact"/>
              <w:rPr>
                <w:rFonts w:ascii="Times New Roman" w:cs="Times New Roman" w:eastAsia="Times New Roman" w:hAnsi="Times New Roman"/>
                <w:sz w:val="18"/>
                <w:szCs w:val="18"/>
                <w:color w:val="auto"/>
              </w:rPr>
            </w:pPr>
            <w:hyperlink r:id="rId206">
              <w:r>
                <w:rPr>
                  <w:rFonts w:ascii="Times New Roman" w:cs="Times New Roman" w:eastAsia="Times New Roman" w:hAnsi="Times New Roman"/>
                  <w:sz w:val="18"/>
                  <w:szCs w:val="18"/>
                  <w:color w:val="auto"/>
                </w:rPr>
                <w:t>Pharmaceuticals (Europe) Limited (incorporated herein by reference to Exhibit 10.4 to the Company’s Registration Statement on Form S-1</w:t>
              </w:r>
            </w:hyperlink>
          </w:p>
        </w:tc>
      </w:tr>
      <w:tr>
        <w:trPr>
          <w:trHeight w:val="196"/>
        </w:trPr>
        <w:tc>
          <w:tcPr>
            <w:tcW w:w="12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206">
              <w:r>
                <w:rPr>
                  <w:rFonts w:ascii="Times New Roman" w:cs="Times New Roman" w:eastAsia="Times New Roman" w:hAnsi="Times New Roman"/>
                  <w:sz w:val="18"/>
                  <w:szCs w:val="18"/>
                  <w:color w:val="auto"/>
                  <w:w w:val="99"/>
                </w:rPr>
                <w:t>filed on October 7, 2016).</w:t>
              </w:r>
            </w:hyperlink>
          </w:p>
        </w:tc>
        <w:tc>
          <w:tcPr>
            <w:tcW w:w="8140" w:type="dxa"/>
            <w:vAlign w:val="bottom"/>
            <w:tcBorders>
              <w:top w:val="single" w:sz="8" w:color="0000EE"/>
            </w:tcBorders>
            <w:gridSpan w:val="33"/>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88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Amendment No. 1 to the Strategic Collaboration, Option and License Agreement by and between, on the one hand, Vertex</w:t>
              </w:r>
            </w:hyperlink>
          </w:p>
        </w:tc>
        <w:tc>
          <w:tcPr>
            <w:tcW w:w="1160" w:type="dxa"/>
            <w:vAlign w:val="bottom"/>
            <w:gridSpan w:val="2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9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Pharmaceuticals Incorporated and Vertex Pharmaceuticals (Europe) Limited, and on the other hand, CRISPR Therapeutics AG, CRISPR</w:t>
              </w:r>
            </w:hyperlink>
          </w:p>
        </w:tc>
        <w:tc>
          <w:tcPr>
            <w:tcW w:w="14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9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207">
              <w:r>
                <w:rPr>
                  <w:rFonts w:ascii="Times New Roman" w:cs="Times New Roman" w:eastAsia="Times New Roman" w:hAnsi="Times New Roman"/>
                  <w:sz w:val="18"/>
                  <w:szCs w:val="18"/>
                  <w:color w:val="auto"/>
                </w:rPr>
                <w:t>Therapeutics, Inc., CRISPR Therapeutics Limited and TRACR Hematology Ltd., dated as of December 12, 2017 (incorporated by</w:t>
              </w:r>
            </w:hyperlink>
          </w:p>
        </w:tc>
        <w:tc>
          <w:tcPr>
            <w:tcW w:w="580" w:type="dxa"/>
            <w:vAlign w:val="bottom"/>
            <w:gridSpan w:val="18"/>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4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207">
              <w:r>
                <w:rPr>
                  <w:rFonts w:ascii="Times New Roman" w:cs="Times New Roman" w:eastAsia="Times New Roman" w:hAnsi="Times New Roman"/>
                  <w:sz w:val="18"/>
                  <w:szCs w:val="18"/>
                  <w:color w:val="auto"/>
                  <w:w w:val="99"/>
                </w:rPr>
                <w:t>reference to Exhibit 10.2 to the Company’s Current Report on Form 8-K filed on December 18, 2017).</w:t>
              </w:r>
            </w:hyperlink>
          </w:p>
        </w:tc>
        <w:tc>
          <w:tcPr>
            <w:tcW w:w="2640" w:type="dxa"/>
            <w:vAlign w:val="bottom"/>
            <w:gridSpan w:val="27"/>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88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Amendment No. 2 to the Strategic Collaboration, Option and License Agreement by and between, on the one hand, Vertex</w:t>
              </w:r>
            </w:hyperlink>
          </w:p>
        </w:tc>
        <w:tc>
          <w:tcPr>
            <w:tcW w:w="1160" w:type="dxa"/>
            <w:vAlign w:val="bottom"/>
            <w:gridSpan w:val="2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9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Pharmaceuticals Incorporated and Vertex Pharmaceuticals (Europe) Limited, and on the other hand, CRISPR Therapeutics AG, CRISPR</w:t>
              </w:r>
            </w:hyperlink>
          </w:p>
        </w:tc>
        <w:tc>
          <w:tcPr>
            <w:tcW w:w="14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94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208">
              <w:r>
                <w:rPr>
                  <w:rFonts w:ascii="Times New Roman" w:cs="Times New Roman" w:eastAsia="Times New Roman" w:hAnsi="Times New Roman"/>
                  <w:sz w:val="18"/>
                  <w:szCs w:val="18"/>
                  <w:color w:val="auto"/>
                </w:rPr>
                <w:t>Therapeutics, Inc., CRISPR Therapeutics Limited and TRACR Hematology Ltd., dated as of June 6, 2019 (incorporated herein by</w:t>
              </w:r>
            </w:hyperlink>
          </w:p>
        </w:tc>
        <w:tc>
          <w:tcPr>
            <w:tcW w:w="600" w:type="dxa"/>
            <w:vAlign w:val="bottom"/>
            <w:gridSpan w:val="19"/>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208">
              <w:r>
                <w:rPr>
                  <w:rFonts w:ascii="Times New Roman" w:cs="Times New Roman" w:eastAsia="Times New Roman" w:hAnsi="Times New Roman"/>
                  <w:sz w:val="18"/>
                  <w:szCs w:val="18"/>
                  <w:color w:val="auto"/>
                  <w:w w:val="99"/>
                </w:rPr>
                <w:t>reference to Exhibit 10.1 to the Company’s Quarterly Report on Form 10-Q filed on July 29, 2019).</w:t>
              </w:r>
            </w:hyperlink>
          </w:p>
        </w:tc>
        <w:tc>
          <w:tcPr>
            <w:tcW w:w="2840" w:type="dxa"/>
            <w:vAlign w:val="bottom"/>
            <w:gridSpan w:val="28"/>
          </w:tcPr>
          <w:p>
            <w:pPr>
              <w:spacing w:after="0"/>
              <w:rPr>
                <w:sz w:val="17"/>
                <w:szCs w:val="17"/>
                <w:color w:val="auto"/>
              </w:rPr>
            </w:pPr>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58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209">
              <w:r>
                <w:rPr>
                  <w:rFonts w:ascii="Times New Roman" w:cs="Times New Roman" w:eastAsia="Times New Roman" w:hAnsi="Times New Roman"/>
                  <w:sz w:val="18"/>
                  <w:szCs w:val="18"/>
                  <w:color w:val="auto"/>
                </w:rPr>
                <w:t>Strategic Collaboration and License Agreement dated June 6, 2019, between CRISPR Therapeutics AG and Vertex Pharmaceuticals</w:t>
              </w:r>
            </w:hyperlink>
          </w:p>
        </w:tc>
        <w:tc>
          <w:tcPr>
            <w:tcW w:w="460" w:type="dxa"/>
            <w:vAlign w:val="bottom"/>
            <w:gridSpan w:val="1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7"/>
          </w:tcPr>
          <w:p>
            <w:pPr>
              <w:spacing w:after="0" w:line="196" w:lineRule="exact"/>
              <w:rPr>
                <w:rFonts w:ascii="Times New Roman" w:cs="Times New Roman" w:eastAsia="Times New Roman" w:hAnsi="Times New Roman"/>
                <w:sz w:val="18"/>
                <w:szCs w:val="18"/>
                <w:color w:val="auto"/>
              </w:rPr>
            </w:pPr>
            <w:hyperlink r:id="rId209">
              <w:r>
                <w:rPr>
                  <w:rFonts w:ascii="Times New Roman" w:cs="Times New Roman" w:eastAsia="Times New Roman" w:hAnsi="Times New Roman"/>
                  <w:sz w:val="18"/>
                  <w:szCs w:val="18"/>
                  <w:color w:val="auto"/>
                </w:rPr>
                <w:t>Incorporated (incorporated herein by reference to Exhibit 10.2 to the Company’s Quarterly Report on Form 10-Q filed on July 29, 2019).</w:t>
              </w:r>
            </w:hyperlink>
          </w:p>
        </w:tc>
      </w:tr>
      <w:tr>
        <w:trPr>
          <w:trHeight w:val="29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800" w:type="dxa"/>
            <w:vAlign w:val="bottom"/>
            <w:tcBorders>
              <w:top w:val="single" w:sz="8" w:color="0000EE"/>
              <w:bottom w:val="single" w:sz="8" w:color="0000EE"/>
            </w:tcBorders>
            <w:gridSpan w:val="30"/>
          </w:tcPr>
          <w:p>
            <w:pPr>
              <w:spacing w:after="0"/>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First Amendment to the Strategic Collaboration and License Agreement dated March 17, 2021, between CRISPR Therapeutics AG and</w:t>
              </w:r>
            </w:hyperlink>
          </w:p>
        </w:tc>
        <w:tc>
          <w:tcPr>
            <w:tcW w:w="80" w:type="dxa"/>
            <w:vAlign w:val="bottom"/>
            <w:tcBorders>
              <w:top w:val="single" w:sz="8" w:color="0000EE"/>
            </w:tcBorders>
            <w:gridSpan w:val="2"/>
          </w:tcPr>
          <w:p>
            <w:pPr>
              <w:spacing w:after="0"/>
              <w:rPr>
                <w:sz w:val="24"/>
                <w:szCs w:val="24"/>
                <w:color w:val="auto"/>
              </w:rPr>
            </w:pPr>
          </w:p>
        </w:tc>
        <w:tc>
          <w:tcPr>
            <w:tcW w:w="16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96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Vertex Pharmaceuticals Incorporated (incorporated herein by reference to Exhibit 10.3 to the Company’s Quarterly Report on Form 10-Q</w:t>
              </w:r>
            </w:hyperlink>
          </w:p>
        </w:tc>
        <w:tc>
          <w:tcPr>
            <w:tcW w:w="8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7"/>
          </w:tcPr>
          <w:p>
            <w:pPr>
              <w:spacing w:after="0" w:line="196" w:lineRule="exact"/>
              <w:rPr>
                <w:rFonts w:ascii="Times New Roman" w:cs="Times New Roman" w:eastAsia="Times New Roman" w:hAnsi="Times New Roman"/>
                <w:sz w:val="18"/>
                <w:szCs w:val="18"/>
                <w:color w:val="auto"/>
              </w:rPr>
            </w:pPr>
            <w:hyperlink r:id="rId210">
              <w:r>
                <w:rPr>
                  <w:rFonts w:ascii="Times New Roman" w:cs="Times New Roman" w:eastAsia="Times New Roman" w:hAnsi="Times New Roman"/>
                  <w:sz w:val="18"/>
                  <w:szCs w:val="18"/>
                  <w:color w:val="auto"/>
                </w:rPr>
                <w:t>filed on April 27, 2021).</w:t>
              </w:r>
            </w:hyperlink>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38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Amended and Restated Joint Development and Commercialization Agreement between, on the one hand, Vertex Pharmaceuticals</w:t>
              </w:r>
            </w:hyperlink>
          </w:p>
        </w:tc>
        <w:tc>
          <w:tcPr>
            <w:tcW w:w="660" w:type="dxa"/>
            <w:vAlign w:val="bottom"/>
            <w:gridSpan w:val="21"/>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6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Incorporated and Vertex Pharmaceuticals (Europe) Limited, and on the other hand, CRISPR Therapeutics AG, CRISPR Therapeutics</w:t>
              </w:r>
            </w:hyperlink>
          </w:p>
        </w:tc>
        <w:tc>
          <w:tcPr>
            <w:tcW w:w="380" w:type="dxa"/>
            <w:vAlign w:val="bottom"/>
            <w:gridSpan w:val="10"/>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9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211">
              <w:r>
                <w:rPr>
                  <w:rFonts w:ascii="Times New Roman" w:cs="Times New Roman" w:eastAsia="Times New Roman" w:hAnsi="Times New Roman"/>
                  <w:sz w:val="18"/>
                  <w:szCs w:val="18"/>
                  <w:color w:val="auto"/>
                </w:rPr>
                <w:t>Limited, CRISPR Therapeutics, Inc., and TRACR Hematology Ltd., dated as of April 16, 2021 (incorporated herein by reference to</w:t>
              </w:r>
            </w:hyperlink>
          </w:p>
        </w:tc>
        <w:tc>
          <w:tcPr>
            <w:tcW w:w="500" w:type="dxa"/>
            <w:vAlign w:val="bottom"/>
            <w:gridSpan w:val="15"/>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211">
              <w:r>
                <w:rPr>
                  <w:rFonts w:ascii="Times New Roman" w:cs="Times New Roman" w:eastAsia="Times New Roman" w:hAnsi="Times New Roman"/>
                  <w:sz w:val="18"/>
                  <w:szCs w:val="18"/>
                  <w:color w:val="auto"/>
                  <w:w w:val="99"/>
                </w:rPr>
                <w:t>Exhibit 10.4 to the Company’s Quarterly Report on Form 10-Q filed on April 27, 2021).</w:t>
              </w:r>
            </w:hyperlink>
          </w:p>
        </w:tc>
        <w:tc>
          <w:tcPr>
            <w:tcW w:w="3660" w:type="dxa"/>
            <w:vAlign w:val="bottom"/>
            <w:gridSpan w:val="29"/>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20" w:type="dxa"/>
            <w:vAlign w:val="bottom"/>
            <w:tcBorders>
              <w:bottom w:val="single" w:sz="8" w:color="0000EE"/>
            </w:tcBorders>
            <w:gridSpan w:val="36"/>
          </w:tcPr>
          <w:p>
            <w:pPr>
              <w:spacing w:after="0"/>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Amendment No. 1 to the Amended and Restated Joint Development and Commercialization Agreement, dated December 12, 2023, by and</w:t>
              </w:r>
            </w:hyperlink>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7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between, on the one hand, Vertex Pharmaceuticals Incorporated and Vertex Pharmaceuticals (Europe) Limited, and on the other hand,</w:t>
              </w:r>
            </w:hyperlink>
          </w:p>
        </w:tc>
        <w:tc>
          <w:tcPr>
            <w:tcW w:w="320" w:type="dxa"/>
            <w:vAlign w:val="bottom"/>
            <w:gridSpan w:val="8"/>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95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212">
              <w:r>
                <w:rPr>
                  <w:rFonts w:ascii="Times New Roman" w:cs="Times New Roman" w:eastAsia="Times New Roman" w:hAnsi="Times New Roman"/>
                  <w:sz w:val="18"/>
                  <w:szCs w:val="18"/>
                  <w:color w:val="auto"/>
                </w:rPr>
                <w:t>CRISPR Therapeutics AG, CRISPR Therapeutics Limited, CRISPR Therapeutics, Inc., and TRACR Hematology Ltd. (incorporated</w:t>
              </w:r>
            </w:hyperlink>
          </w:p>
        </w:tc>
        <w:tc>
          <w:tcPr>
            <w:tcW w:w="460" w:type="dxa"/>
            <w:vAlign w:val="bottom"/>
            <w:gridSpan w:val="1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212">
              <w:r>
                <w:rPr>
                  <w:rFonts w:ascii="Times New Roman" w:cs="Times New Roman" w:eastAsia="Times New Roman" w:hAnsi="Times New Roman"/>
                  <w:sz w:val="18"/>
                  <w:szCs w:val="18"/>
                  <w:color w:val="auto"/>
                  <w:w w:val="99"/>
                </w:rPr>
                <w:t>herein by reference to Exhibit 10.1 to the Company’s Current Report on Form 8-K filed on December 13, 2023).</w:t>
              </w:r>
            </w:hyperlink>
          </w:p>
        </w:tc>
        <w:tc>
          <w:tcPr>
            <w:tcW w:w="1920" w:type="dxa"/>
            <w:vAlign w:val="bottom"/>
            <w:gridSpan w:val="25"/>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16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213">
              <w:r>
                <w:rPr>
                  <w:rFonts w:ascii="Times New Roman" w:cs="Times New Roman" w:eastAsia="Times New Roman" w:hAnsi="Times New Roman"/>
                  <w:sz w:val="18"/>
                  <w:szCs w:val="18"/>
                  <w:color w:val="auto"/>
                </w:rPr>
                <w:t>Non-Exclusive License Agreement, dated March 23, 2023, by and between Vertex Pharmaceuticals Incorporated and CRISPR</w:t>
              </w:r>
            </w:hyperlink>
          </w:p>
        </w:tc>
        <w:tc>
          <w:tcPr>
            <w:tcW w:w="880" w:type="dxa"/>
            <w:vAlign w:val="bottom"/>
            <w:gridSpan w:val="2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7"/>
          </w:tcPr>
          <w:p>
            <w:pPr>
              <w:spacing w:after="0" w:line="196" w:lineRule="exact"/>
              <w:rPr>
                <w:rFonts w:ascii="Times New Roman" w:cs="Times New Roman" w:eastAsia="Times New Roman" w:hAnsi="Times New Roman"/>
                <w:sz w:val="18"/>
                <w:szCs w:val="18"/>
                <w:color w:val="auto"/>
              </w:rPr>
            </w:pPr>
            <w:hyperlink r:id="rId213">
              <w:r>
                <w:rPr>
                  <w:rFonts w:ascii="Times New Roman" w:cs="Times New Roman" w:eastAsia="Times New Roman" w:hAnsi="Times New Roman"/>
                  <w:sz w:val="18"/>
                  <w:szCs w:val="18"/>
                  <w:color w:val="auto"/>
                </w:rPr>
                <w:t>Therapeutics AG (incorporated herein by reference to Exhibit 10.1 to the Company’s Current Report on Form 8-K filed on March 27,</w:t>
              </w:r>
            </w:hyperlink>
          </w:p>
        </w:tc>
      </w:tr>
      <w:tr>
        <w:trPr>
          <w:trHeight w:val="196"/>
        </w:trPr>
        <w:tc>
          <w:tcPr>
            <w:tcW w:w="12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213">
              <w:r>
                <w:rPr>
                  <w:rFonts w:ascii="Times New Roman" w:cs="Times New Roman" w:eastAsia="Times New Roman" w:hAnsi="Times New Roman"/>
                  <w:sz w:val="18"/>
                  <w:szCs w:val="18"/>
                  <w:color w:val="auto"/>
                  <w:w w:val="98"/>
                </w:rPr>
                <w:t>2023).</w:t>
              </w:r>
            </w:hyperlink>
          </w:p>
        </w:tc>
        <w:tc>
          <w:tcPr>
            <w:tcW w:w="1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60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14">
              <w:r>
                <w:rPr>
                  <w:rFonts w:ascii="Times New Roman" w:cs="Times New Roman" w:eastAsia="Times New Roman" w:hAnsi="Times New Roman"/>
                  <w:sz w:val="18"/>
                  <w:szCs w:val="18"/>
                  <w:color w:val="auto"/>
                </w:rPr>
                <w:t>Lease, dated May 5, 2020, by and between CRISPR Therapeutics, Inc. and CRP/KING 33 NY AVE. OWNER, L.L.C. (incorporated</w:t>
              </w:r>
            </w:hyperlink>
          </w:p>
        </w:tc>
        <w:tc>
          <w:tcPr>
            <w:tcW w:w="440" w:type="dxa"/>
            <w:vAlign w:val="bottom"/>
            <w:gridSpan w:val="1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7"/>
          </w:tcPr>
          <w:p>
            <w:pPr>
              <w:spacing w:after="0" w:line="196" w:lineRule="exact"/>
              <w:rPr>
                <w:rFonts w:ascii="Times New Roman" w:cs="Times New Roman" w:eastAsia="Times New Roman" w:hAnsi="Times New Roman"/>
                <w:sz w:val="18"/>
                <w:szCs w:val="18"/>
                <w:color w:val="auto"/>
              </w:rPr>
            </w:pPr>
            <w:hyperlink r:id="rId214">
              <w:r>
                <w:rPr>
                  <w:rFonts w:ascii="Times New Roman" w:cs="Times New Roman" w:eastAsia="Times New Roman" w:hAnsi="Times New Roman"/>
                  <w:sz w:val="18"/>
                  <w:szCs w:val="18"/>
                  <w:color w:val="auto"/>
                </w:rPr>
                <w:t>herein by reference to Exhibit 10.1 to the Company’s Quarterly Report on Form 10-Q filed on April 27, 2021).</w:t>
              </w:r>
            </w:hyperlink>
          </w:p>
        </w:tc>
      </w:tr>
      <w:tr>
        <w:trPr>
          <w:trHeight w:val="20"/>
        </w:trPr>
        <w:tc>
          <w:tcPr>
            <w:tcW w:w="1200" w:type="dxa"/>
            <w:vAlign w:val="bottom"/>
          </w:tcPr>
          <w:p>
            <w:pPr>
              <w:spacing w:after="0" w:line="20" w:lineRule="exact"/>
              <w:rPr>
                <w:sz w:val="1"/>
                <w:szCs w:val="1"/>
                <w:color w:val="auto"/>
              </w:rPr>
            </w:pPr>
          </w:p>
        </w:tc>
        <w:tc>
          <w:tcPr>
            <w:tcW w:w="7980" w:type="dxa"/>
            <w:vAlign w:val="bottom"/>
            <w:gridSpan w:val="11"/>
            <w:shd w:val="clear" w:color="auto" w:fill="0000EE"/>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9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tcBorders>
              <w:bottom w:val="single" w:sz="8" w:color="0000EE"/>
            </w:tcBorders>
            <w:gridSpan w:val="34"/>
          </w:tcPr>
          <w:p>
            <w:pPr>
              <w:spacing w:after="0"/>
              <w:rPr>
                <w:rFonts w:ascii="Times New Roman" w:cs="Times New Roman" w:eastAsia="Times New Roman" w:hAnsi="Times New Roman"/>
                <w:sz w:val="18"/>
                <w:szCs w:val="18"/>
                <w:color w:val="auto"/>
              </w:rPr>
            </w:pPr>
            <w:hyperlink r:id="rId215">
              <w:r>
                <w:rPr>
                  <w:rFonts w:ascii="Times New Roman" w:cs="Times New Roman" w:eastAsia="Times New Roman" w:hAnsi="Times New Roman"/>
                  <w:sz w:val="18"/>
                  <w:szCs w:val="18"/>
                  <w:color w:val="auto"/>
                </w:rPr>
                <w:t>First Amendment to Lease dated December 2, 2020, by and between CRISPR Therapeutics, Inc. and CRP/KING 33 NY AVE. OWNER,</w:t>
              </w:r>
            </w:hyperlink>
          </w:p>
        </w:tc>
        <w:tc>
          <w:tcPr>
            <w:tcW w:w="12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40" w:type="dxa"/>
            <w:vAlign w:val="bottom"/>
            <w:gridSpan w:val="37"/>
          </w:tcPr>
          <w:p>
            <w:pPr>
              <w:spacing w:after="0" w:line="196" w:lineRule="exact"/>
              <w:rPr>
                <w:rFonts w:ascii="Times New Roman" w:cs="Times New Roman" w:eastAsia="Times New Roman" w:hAnsi="Times New Roman"/>
                <w:sz w:val="18"/>
                <w:szCs w:val="18"/>
                <w:color w:val="auto"/>
              </w:rPr>
            </w:pPr>
            <w:hyperlink r:id="rId215">
              <w:r>
                <w:rPr>
                  <w:rFonts w:ascii="Times New Roman" w:cs="Times New Roman" w:eastAsia="Times New Roman" w:hAnsi="Times New Roman"/>
                  <w:sz w:val="18"/>
                  <w:szCs w:val="18"/>
                  <w:color w:val="auto"/>
                </w:rPr>
                <w:t>L.L.C. (incorporated herein by reference to Exhibit 10.2 to the Company’s Quarterly Report on Form 10-Q filed on April 27, 2021).</w:t>
              </w:r>
            </w:hyperlink>
          </w:p>
        </w:tc>
      </w:tr>
      <w:tr>
        <w:trPr>
          <w:trHeight w:val="547"/>
        </w:trPr>
        <w:tc>
          <w:tcPr>
            <w:tcW w:w="1200" w:type="dxa"/>
            <w:vAlign w:val="bottom"/>
          </w:tcPr>
          <w:p>
            <w:pPr>
              <w:spacing w:after="0"/>
              <w:rPr>
                <w:sz w:val="24"/>
                <w:szCs w:val="24"/>
                <w:color w:val="auto"/>
              </w:rPr>
            </w:pPr>
          </w:p>
        </w:tc>
        <w:tc>
          <w:tcPr>
            <w:tcW w:w="4720" w:type="dxa"/>
            <w:vAlign w:val="bottom"/>
            <w:tcBorders>
              <w:top w:val="single" w:sz="8" w:color="0000EE"/>
            </w:tcBorders>
            <w:gridSpan w:val="5"/>
          </w:tcPr>
          <w:p>
            <w:pPr>
              <w:ind w:left="428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20" w:name="page121"/>
    <w:bookmarkEnd w:id="120"/>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64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218">
              <w:r>
                <w:rPr>
                  <w:rFonts w:ascii="Times New Roman" w:cs="Times New Roman" w:eastAsia="Times New Roman" w:hAnsi="Times New Roman"/>
                  <w:sz w:val="18"/>
                  <w:szCs w:val="18"/>
                  <w:color w:val="auto"/>
                </w:rPr>
                <w:t>Second Amendment to Lease dated April __, 2021, by and between CRISPR Therapeutics, Inc. and 33 NYA OWNER (DE) LLC, as</w:t>
              </w:r>
            </w:hyperlink>
          </w:p>
        </w:tc>
        <w:tc>
          <w:tcPr>
            <w:tcW w:w="32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218">
              <w:r>
                <w:rPr>
                  <w:rFonts w:ascii="Times New Roman" w:cs="Times New Roman" w:eastAsia="Times New Roman" w:hAnsi="Times New Roman"/>
                  <w:sz w:val="18"/>
                  <w:szCs w:val="18"/>
                  <w:color w:val="auto"/>
                </w:rPr>
                <w:t>successor in interest to CRP/KING 33 NY AVE. OWNER, L.L.C. (incorporated herein by reference to Exhibit 10.1 to the Company’s</w:t>
              </w:r>
            </w:hyperlink>
          </w:p>
        </w:tc>
        <w:tc>
          <w:tcPr>
            <w:tcW w:w="24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218">
              <w:r>
                <w:rPr>
                  <w:rFonts w:ascii="Times New Roman" w:cs="Times New Roman" w:eastAsia="Times New Roman" w:hAnsi="Times New Roman"/>
                  <w:sz w:val="18"/>
                  <w:szCs w:val="18"/>
                  <w:color w:val="auto"/>
                  <w:w w:val="99"/>
                </w:rPr>
                <w:t>Quarterly Report on Form 10-Q filed on July 29, 2021).</w:t>
              </w:r>
            </w:hyperlink>
          </w:p>
        </w:tc>
        <w:tc>
          <w:tcPr>
            <w:tcW w:w="5920" w:type="dxa"/>
            <w:vAlign w:val="bottom"/>
            <w:gridSpan w:val="14"/>
          </w:tcPr>
          <w:p>
            <w:pPr>
              <w:spacing w:after="0"/>
              <w:rPr>
                <w:sz w:val="17"/>
                <w:szCs w:val="17"/>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70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219">
              <w:r>
                <w:rPr>
                  <w:rFonts w:ascii="Times New Roman" w:cs="Times New Roman" w:eastAsia="Times New Roman" w:hAnsi="Times New Roman"/>
                  <w:sz w:val="18"/>
                  <w:szCs w:val="18"/>
                  <w:color w:val="auto"/>
                </w:rPr>
                <w:t>Lease, dated July 24, 2020, by and between CRISPR Therapeutics, Inc. and 105 W First Street Owner, L.L.C. (incorporated herein by</w:t>
              </w:r>
            </w:hyperlink>
          </w:p>
        </w:tc>
        <w:tc>
          <w:tcPr>
            <w:tcW w:w="26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219">
              <w:r>
                <w:rPr>
                  <w:rFonts w:ascii="Times New Roman" w:cs="Times New Roman" w:eastAsia="Times New Roman" w:hAnsi="Times New Roman"/>
                  <w:sz w:val="18"/>
                  <w:szCs w:val="18"/>
                  <w:color w:val="auto"/>
                  <w:w w:val="99"/>
                </w:rPr>
                <w:t>reference to Exhibit 10.1 to the Company’s Quarterly Report on Form 10-Q filed on July 27, 2020).</w:t>
              </w:r>
            </w:hyperlink>
          </w:p>
        </w:tc>
        <w:tc>
          <w:tcPr>
            <w:tcW w:w="2760" w:type="dxa"/>
            <w:vAlign w:val="bottom"/>
            <w:gridSpan w:val="11"/>
          </w:tcPr>
          <w:p>
            <w:pPr>
              <w:spacing w:after="0"/>
              <w:rPr>
                <w:sz w:val="17"/>
                <w:szCs w:val="17"/>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96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220">
              <w:r>
                <w:rPr>
                  <w:rFonts w:ascii="Times New Roman" w:cs="Times New Roman" w:eastAsia="Times New Roman" w:hAnsi="Times New Roman"/>
                  <w:sz w:val="18"/>
                  <w:szCs w:val="18"/>
                  <w:color w:val="auto"/>
                </w:rPr>
                <w:t>Letter Agreement dated January 6, 2022, by and between CRISPR Therapeutics, Inc. and 105 W First Street Owner, L.L.C. (incorporated</w:t>
              </w:r>
            </w:hyperlink>
          </w:p>
        </w:tc>
      </w:tr>
      <w:tr>
        <w:trPr>
          <w:trHeight w:val="196"/>
        </w:trPr>
        <w:tc>
          <w:tcPr>
            <w:tcW w:w="118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auto"/>
              </w:rPr>
            </w:pPr>
            <w:hyperlink r:id="rId220">
              <w:r>
                <w:rPr>
                  <w:rFonts w:ascii="Times New Roman" w:cs="Times New Roman" w:eastAsia="Times New Roman" w:hAnsi="Times New Roman"/>
                  <w:sz w:val="18"/>
                  <w:szCs w:val="18"/>
                  <w:color w:val="auto"/>
                </w:rPr>
                <w:t>herein by reference to Exhibit 10.37 to the Company’s Annual Report on Form 10-K filed on February 15, 2022).</w:t>
              </w:r>
            </w:hyperlink>
          </w:p>
        </w:tc>
      </w:tr>
      <w:tr>
        <w:trPr>
          <w:trHeight w:val="20"/>
        </w:trPr>
        <w:tc>
          <w:tcPr>
            <w:tcW w:w="11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7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221">
              <w:r>
                <w:rPr>
                  <w:rFonts w:ascii="Times New Roman" w:cs="Times New Roman" w:eastAsia="Times New Roman" w:hAnsi="Times New Roman"/>
                  <w:sz w:val="18"/>
                  <w:szCs w:val="18"/>
                  <w:color w:val="auto"/>
                </w:rPr>
                <w:t>Lease Commencement Date Agreement, dated May 1, 2022, by and between CRISPR Therapeutics AG and 105 W First Street Owner,</w:t>
              </w:r>
            </w:hyperlink>
          </w:p>
        </w:tc>
        <w:tc>
          <w:tcPr>
            <w:tcW w:w="18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221">
              <w:r>
                <w:rPr>
                  <w:rFonts w:ascii="Times New Roman" w:cs="Times New Roman" w:eastAsia="Times New Roman" w:hAnsi="Times New Roman"/>
                  <w:sz w:val="18"/>
                  <w:szCs w:val="18"/>
                  <w:color w:val="auto"/>
                </w:rPr>
                <w:t>L.L.C. (incorporated herein by reference to Exhibit 10.2 to the Company’s Quarterly Report on Form 10-Q filed on August 8, 2022).</w:t>
              </w:r>
            </w:hyperlink>
          </w:p>
        </w:tc>
        <w:tc>
          <w:tcPr>
            <w:tcW w:w="360" w:type="dxa"/>
            <w:vAlign w:val="bottom"/>
            <w:gridSpan w:val="8"/>
          </w:tcPr>
          <w:p>
            <w:pPr>
              <w:spacing w:after="0"/>
              <w:rPr>
                <w:sz w:val="17"/>
                <w:szCs w:val="17"/>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CRISPR Therapeutics AG Organizational Rules.</w:t>
            </w:r>
          </w:p>
        </w:tc>
      </w:tr>
      <w:tr>
        <w:trPr>
          <w:trHeight w:val="20"/>
        </w:trPr>
        <w:tc>
          <w:tcPr>
            <w:tcW w:w="11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CRISPR Therapeutics AG Insider Trading Policy.</w:t>
            </w:r>
          </w:p>
        </w:tc>
        <w:tc>
          <w:tcPr>
            <w:tcW w:w="6340" w:type="dxa"/>
            <w:vAlign w:val="bottom"/>
            <w:gridSpan w:val="15"/>
          </w:tcPr>
          <w:p>
            <w:pPr>
              <w:spacing w:after="0"/>
              <w:rPr>
                <w:sz w:val="24"/>
                <w:szCs w:val="24"/>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0"/>
        </w:trPr>
        <w:tc>
          <w:tcPr>
            <w:tcW w:w="11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0"/>
        </w:trPr>
        <w:tc>
          <w:tcPr>
            <w:tcW w:w="118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c>
          <w:tcPr>
            <w:tcW w:w="28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0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Adopted Pursuant to Section 302 of the Sarbanes-Oxley Act of 2002.</w:t>
            </w:r>
          </w:p>
        </w:tc>
        <w:tc>
          <w:tcPr>
            <w:tcW w:w="4960" w:type="dxa"/>
            <w:vAlign w:val="bottom"/>
            <w:gridSpan w:val="13"/>
          </w:tcPr>
          <w:p>
            <w:pPr>
              <w:spacing w:after="0"/>
              <w:rPr>
                <w:sz w:val="17"/>
                <w:szCs w:val="17"/>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c>
          <w:tcPr>
            <w:tcW w:w="34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0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Adopted Pursuant to Section 302 of the Sarbanes-Oxley Act of 2002.</w:t>
            </w:r>
          </w:p>
        </w:tc>
        <w:tc>
          <w:tcPr>
            <w:tcW w:w="4960" w:type="dxa"/>
            <w:vAlign w:val="bottom"/>
            <w:gridSpan w:val="13"/>
          </w:tcPr>
          <w:p>
            <w:pPr>
              <w:spacing w:after="0"/>
              <w:rPr>
                <w:sz w:val="17"/>
                <w:szCs w:val="17"/>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 Pursuant to</w:t>
            </w:r>
          </w:p>
        </w:tc>
        <w:tc>
          <w:tcPr>
            <w:tcW w:w="14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20"/>
        </w:trPr>
        <w:tc>
          <w:tcPr>
            <w:tcW w:w="118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58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222">
              <w:r>
                <w:rPr>
                  <w:rFonts w:ascii="Times New Roman" w:cs="Times New Roman" w:eastAsia="Times New Roman" w:hAnsi="Times New Roman"/>
                  <w:sz w:val="18"/>
                  <w:szCs w:val="18"/>
                  <w:color w:val="auto"/>
                </w:rPr>
                <w:t>CRISPR Therapeutics AG Policy Relating to Recovery of Erroneously Awarded Compensation (incorporated herein by reference to</w:t>
              </w:r>
            </w:hyperlink>
          </w:p>
        </w:tc>
        <w:tc>
          <w:tcPr>
            <w:tcW w:w="38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960" w:type="dxa"/>
            <w:vAlign w:val="bottom"/>
            <w:gridSpan w:val="19"/>
          </w:tcPr>
          <w:p>
            <w:pPr>
              <w:spacing w:after="0" w:line="196" w:lineRule="exact"/>
              <w:rPr>
                <w:rFonts w:ascii="Times New Roman" w:cs="Times New Roman" w:eastAsia="Times New Roman" w:hAnsi="Times New Roman"/>
                <w:sz w:val="18"/>
                <w:szCs w:val="18"/>
                <w:color w:val="auto"/>
              </w:rPr>
            </w:pPr>
            <w:hyperlink r:id="rId222">
              <w:r>
                <w:rPr>
                  <w:rFonts w:ascii="Times New Roman" w:cs="Times New Roman" w:eastAsia="Times New Roman" w:hAnsi="Times New Roman"/>
                  <w:sz w:val="18"/>
                  <w:szCs w:val="18"/>
                  <w:color w:val="auto"/>
                </w:rPr>
                <w:t>Exhibit 97.1 to the Company’s Annual Report on Form 10-K filed on February 21, 2024).</w:t>
              </w:r>
            </w:hyperlink>
          </w:p>
        </w:tc>
      </w:tr>
      <w:tr>
        <w:trPr>
          <w:trHeight w:val="20"/>
        </w:trPr>
        <w:tc>
          <w:tcPr>
            <w:tcW w:w="1180" w:type="dxa"/>
            <w:vAlign w:val="bottom"/>
          </w:tcPr>
          <w:p>
            <w:pPr>
              <w:spacing w:after="0" w:line="20" w:lineRule="exact"/>
              <w:rPr>
                <w:sz w:val="1"/>
                <w:szCs w:val="1"/>
                <w:color w:val="auto"/>
              </w:rPr>
            </w:pPr>
          </w:p>
        </w:tc>
        <w:tc>
          <w:tcPr>
            <w:tcW w:w="6480" w:type="dxa"/>
            <w:vAlign w:val="bottom"/>
            <w:gridSpan w:val="7"/>
            <w:shd w:val="clear" w:color="auto" w:fill="0000EE"/>
          </w:tcPr>
          <w:p>
            <w:pPr>
              <w:spacing w:after="0" w:line="20" w:lineRule="exact"/>
              <w:rPr>
                <w:sz w:val="1"/>
                <w:szCs w:val="1"/>
                <w:color w:val="auto"/>
              </w:rPr>
            </w:pPr>
          </w:p>
        </w:tc>
        <w:tc>
          <w:tcPr>
            <w:tcW w:w="3480" w:type="dxa"/>
            <w:vAlign w:val="bottom"/>
            <w:gridSpan w:val="12"/>
          </w:tcPr>
          <w:p>
            <w:pPr>
              <w:spacing w:after="0" w:line="20" w:lineRule="exact"/>
              <w:rPr>
                <w:sz w:val="1"/>
                <w:szCs w:val="1"/>
                <w:color w:val="auto"/>
              </w:rPr>
            </w:pPr>
          </w:p>
        </w:tc>
      </w:tr>
      <w:tr>
        <w:trPr>
          <w:trHeight w:val="31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r>
      <w:tr>
        <w:trPr>
          <w:trHeight w:val="234"/>
        </w:trPr>
        <w:tc>
          <w:tcPr>
            <w:tcW w:w="1180" w:type="dxa"/>
            <w:vAlign w:val="bottom"/>
          </w:tcPr>
          <w:p>
            <w:pPr>
              <w:spacing w:after="0"/>
              <w:rPr>
                <w:sz w:val="20"/>
                <w:szCs w:val="20"/>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30" w:lineRule="exact"/>
        <w:rPr>
          <w:sz w:val="20"/>
          <w:szCs w:val="20"/>
          <w:color w:val="auto"/>
        </w:rPr>
      </w:pPr>
    </w:p>
    <w:p>
      <w:pPr>
        <w:ind w:right="4200" w:firstLine="21"/>
        <w:spacing w:after="0" w:line="347" w:lineRule="auto"/>
        <w:tabs>
          <w:tab w:leader="none" w:pos="120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1912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right="440" w:firstLine="8"/>
        <w:spacing w:after="0" w:line="250" w:lineRule="auto"/>
        <w:tabs>
          <w:tab w:leader="none" w:pos="1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they are not material and the registrant customarily and actually treats that information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management contract or compensatory plan or arrangement required to be filed as an exhibit pursuant to Item 15(a)(3) of Form 10-K.</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to these agreements have been omitted pursuant to Item 601 of Regulation S-K. The registrant will furnish copies of any of the exhibits and schedules to the Securities and Exchange Commission upon request.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96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CRISPR Therapeutics AG</w:t>
            </w:r>
          </w:p>
        </w:tc>
      </w:tr>
      <w:tr>
        <w:trPr>
          <w:trHeight w:val="45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2025</w:t>
            </w:r>
          </w:p>
        </w:tc>
        <w:tc>
          <w:tcPr>
            <w:tcW w:w="29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Samarth Kulkarni</w:t>
            </w:r>
          </w:p>
        </w:tc>
      </w:tr>
      <w:tr>
        <w:trPr>
          <w:trHeight w:val="211"/>
        </w:trPr>
        <w:tc>
          <w:tcPr>
            <w:tcW w:w="4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Samarth Kulkarni</w:t>
            </w:r>
          </w:p>
        </w:tc>
      </w:tr>
    </w:tbl>
    <w:p>
      <w:pPr>
        <w:ind w:left="83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the undersigned directors and officers of CRISPR Therapeutics AG (the “Company”), hereby severally constitute and appoint Samarth Kulkarni, Raju Prasad and James R. Kasinger,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981" w:right="339" w:bottom="1440" w:gutter="0" w:footer="0" w:header="0"/>
        </w:sectPr>
      </w:pPr>
    </w:p>
    <w:p>
      <w:pPr>
        <w:spacing w:after="0" w:line="155" w:lineRule="exact"/>
        <w:rPr>
          <w:sz w:val="20"/>
          <w:szCs w:val="20"/>
          <w:color w:val="auto"/>
        </w:rPr>
      </w:pPr>
    </w:p>
    <w:p>
      <w:pPr>
        <w:ind w:left="1680"/>
        <w:spacing w:after="0"/>
        <w:tabs>
          <w:tab w:leader="none" w:pos="61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289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Samarth Kulkarni</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Chief Executive Officer, Chairman and 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Samarth Kulkarni</w:t>
            </w: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Raju Prasad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Raju Prasad</w:t>
            </w: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 Behbahani</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Ali Behbahani</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Maria Fardis</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Fardis</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 Edward Fleming, Jr.</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 Edward Fleming, Jr.</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Simeon J. George</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Simeon J. George</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Greene</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Greene</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Katherine A. High</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Katherine A. High</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Sandesh Mahatme</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Sandesh Mahatme</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Christian Rommel</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Christian Rommel</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A. Treco</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A. Treco</w:t>
            </w:r>
          </w:p>
        </w:tc>
        <w:tc>
          <w:tcPr>
            <w:tcW w:w="3620" w:type="dxa"/>
            <w:vAlign w:val="bottom"/>
          </w:tcPr>
          <w:p>
            <w:pPr>
              <w:spacing w:after="0"/>
              <w:rPr>
                <w:sz w:val="19"/>
                <w:szCs w:val="19"/>
                <w:color w:val="auto"/>
              </w:rPr>
            </w:pPr>
          </w:p>
        </w:tc>
      </w:tr>
      <w:tr>
        <w:trPr>
          <w:trHeight w:val="31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Raju Prasad</w:t>
            </w:r>
          </w:p>
        </w:tc>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Raju Prasad</w:t>
            </w:r>
          </w:p>
        </w:tc>
        <w:tc>
          <w:tcPr>
            <w:tcW w:w="3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7620</wp:posOffset>
            </wp:positionV>
            <wp:extent cx="1534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461" w:lineRule="exact"/>
        <w:rPr>
          <w:sz w:val="20"/>
          <w:szCs w:val="20"/>
          <w:color w:val="auto"/>
        </w:rPr>
      </w:pPr>
    </w:p>
    <w:p>
      <w:pPr>
        <w:sectPr>
          <w:pgSz w:w="11900" w:h="16838" w:orient="portrait"/>
          <w:cols w:equalWidth="0" w:num="2">
            <w:col w:w="8640" w:space="720"/>
            <w:col w:w="1880"/>
          </w:cols>
          <w:pgMar w:left="320" w:top="981" w:right="3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104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20" w:type="dxa"/>
            <w:vAlign w:val="bottom"/>
          </w:tcPr>
          <w:p>
            <w:pPr>
              <w:spacing w:after="0"/>
              <w:rPr>
                <w:sz w:val="15"/>
                <w:szCs w:val="15"/>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69"/>
        </w:trPr>
        <w:tc>
          <w:tcPr>
            <w:tcW w:w="20" w:type="dxa"/>
            <w:vAlign w:val="bottom"/>
          </w:tcPr>
          <w:p>
            <w:pPr>
              <w:spacing w:after="0"/>
              <w:rPr>
                <w:sz w:val="14"/>
                <w:szCs w:val="14"/>
                <w:color w:val="auto"/>
              </w:rPr>
            </w:pPr>
          </w:p>
        </w:tc>
        <w:tc>
          <w:tcPr>
            <w:tcW w:w="5760" w:type="dxa"/>
            <w:vAlign w:val="bottom"/>
            <w:tcBorders>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w w:val="99"/>
              </w:rPr>
              <w:t>Report of Independent Registered Public Accounting Firm (PCAOB ID No. 42)</w:t>
            </w: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400"/>
              <w:spacing w:after="0" w:line="169" w:lineRule="exact"/>
              <w:rPr>
                <w:sz w:val="20"/>
                <w:szCs w:val="20"/>
                <w:color w:val="auto"/>
              </w:rPr>
            </w:pPr>
            <w:r>
              <w:rPr>
                <w:rFonts w:ascii="Times New Roman" w:cs="Times New Roman" w:eastAsia="Times New Roman" w:hAnsi="Times New Roman"/>
                <w:sz w:val="18"/>
                <w:szCs w:val="18"/>
                <w:color w:val="auto"/>
                <w:w w:val="95"/>
              </w:rPr>
              <w:t>F-1</w:t>
            </w:r>
          </w:p>
        </w:tc>
      </w:tr>
      <w:tr>
        <w:trPr>
          <w:trHeight w:val="196"/>
        </w:trPr>
        <w:tc>
          <w:tcPr>
            <w:tcW w:w="2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Balance Sheets</w:t>
            </w:r>
          </w:p>
        </w:tc>
        <w:tc>
          <w:tcPr>
            <w:tcW w:w="83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20" w:type="dxa"/>
            <w:vAlign w:val="bottom"/>
          </w:tcPr>
          <w:p>
            <w:pPr>
              <w:spacing w:after="0"/>
              <w:rPr>
                <w:sz w:val="17"/>
                <w:szCs w:val="17"/>
                <w:color w:val="auto"/>
              </w:rPr>
            </w:pPr>
          </w:p>
        </w:tc>
        <w:tc>
          <w:tcPr>
            <w:tcW w:w="4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Operations and Comprehensive Loss</w:t>
            </w:r>
          </w:p>
        </w:tc>
        <w:tc>
          <w:tcPr>
            <w:tcW w:w="5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20" w:type="dxa"/>
            <w:vAlign w:val="bottom"/>
          </w:tcPr>
          <w:p>
            <w:pPr>
              <w:spacing w:after="0"/>
              <w:rPr>
                <w:sz w:val="17"/>
                <w:szCs w:val="17"/>
                <w:color w:val="auto"/>
              </w:rPr>
            </w:pPr>
          </w:p>
        </w:tc>
        <w:tc>
          <w:tcPr>
            <w:tcW w:w="10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Consolidated Statements of Shareholders' Equity</w:t>
            </w:r>
          </w:p>
        </w:tc>
        <w:tc>
          <w:tcPr>
            <w:tcW w:w="120" w:type="dxa"/>
            <w:vAlign w:val="bottom"/>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640" w:type="dxa"/>
            <w:vAlign w:val="bottom"/>
            <w:tcBorders>
              <w:top w:val="single" w:sz="8" w:color="0000EE"/>
            </w:tcBorders>
            <w:gridSpan w:val="2"/>
          </w:tcPr>
          <w:p>
            <w:pPr>
              <w:spacing w:after="0"/>
              <w:rPr>
                <w:sz w:val="17"/>
                <w:szCs w:val="17"/>
                <w:color w:val="auto"/>
              </w:rPr>
            </w:pPr>
          </w:p>
        </w:tc>
        <w:tc>
          <w:tcPr>
            <w:tcW w:w="69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20" w:type="dxa"/>
            <w:vAlign w:val="bottom"/>
          </w:tcPr>
          <w:p>
            <w:pPr>
              <w:spacing w:after="0"/>
              <w:rPr>
                <w:sz w:val="17"/>
                <w:szCs w:val="17"/>
                <w:color w:val="auto"/>
              </w:rPr>
            </w:pPr>
          </w:p>
        </w:tc>
        <w:tc>
          <w:tcPr>
            <w:tcW w:w="10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0" w:type="dxa"/>
            <w:vAlign w:val="bottom"/>
          </w:tcPr>
          <w:p>
            <w:pPr>
              <w:spacing w:after="0"/>
              <w:rPr>
                <w:sz w:val="17"/>
                <w:szCs w:val="17"/>
                <w:color w:val="auto"/>
              </w:rPr>
            </w:pPr>
          </w:p>
        </w:tc>
        <w:tc>
          <w:tcPr>
            <w:tcW w:w="66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CRISPR Therapeutics AG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CRISPR Therapeutics AG (the Company) as of December 31, 2024 and 2023, the related consolidated statements of operations and comprehensive loss,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3" w:name="page124"/>
    <w:bookmarkEnd w:id="123"/>
    <w:tbl>
      <w:tblPr>
        <w:tblLayout w:type="fixed"/>
        <w:tblInd w:w="20" w:type="dxa"/>
        <w:tblCellMar>
          <w:top w:w="0" w:type="dxa"/>
          <w:left w:w="0" w:type="dxa"/>
          <w:bottom w:w="0" w:type="dxa"/>
          <w:right w:w="0" w:type="dxa"/>
        </w:tblCellMar>
      </w:tblPr>
      <w:tr>
        <w:trPr>
          <w:trHeight w:val="2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Estimation of Variable Consideration for ongoing Collaboration Agreements</w:t>
            </w:r>
          </w:p>
        </w:tc>
        <w:tc>
          <w:tcPr>
            <w:tcW w:w="0" w:type="dxa"/>
            <w:vAlign w:val="bottom"/>
          </w:tcPr>
          <w:p>
            <w:pPr>
              <w:spacing w:after="0"/>
              <w:rPr>
                <w:sz w:val="1"/>
                <w:szCs w:val="1"/>
                <w:color w:val="auto"/>
              </w:rPr>
            </w:pPr>
          </w:p>
        </w:tc>
      </w:tr>
      <w:tr>
        <w:trPr>
          <w:trHeight w:val="214"/>
        </w:trPr>
        <w:tc>
          <w:tcPr>
            <w:tcW w:w="1680" w:type="dxa"/>
            <w:vAlign w:val="bottom"/>
            <w:vMerge w:val="continue"/>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discussed in Note 8 to the consolidated financial statements, the Company has multiple ongoing collaboration agreements</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which include rights to future payments in excess of $2 billion as of December 31, 2024 that are payable upon the achievement</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various developmental, regulatory and commercial milestones related to certain programs under development. These future</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represent variable consideration that is included in the transaction price for these collaboration agreements to the</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extent that the Company determines it is probable that a significant revenue reversal of cumulative revenue recognized under</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contract will not occur. When the Company cannot conclude that it is probable that a significant revenue reversal of</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cumulative revenue under the contract will not occur, the Company constrains the related variable consideration resulting in its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exclusion from the transaction price. The Company’s estimation of variable consideration to be constrained impacts the reported</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amounts of revenue and deferred revenue within the consolidated financial statements.</w:t>
            </w: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determining the portion of the transaction price to be constrained, management considers the probability and uncertainty of</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whether the related developmental, regulatory and commercial milestones will be achieved given the nature of clinical</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development and the stage of the underlying programs. This assessment is performed at each reporting period. In making this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evaluation, management considers both internal and external information available including information from industry</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publications, the stage of development of the underlying programs and other relevant factors. Changes to the constraint of</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variable consideration can have a material effect on the amount of revenue recognized in the financial reporting period. As a</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result, auditing the accounting for the application of constraint to variable consideration required auditor judgment.</w:t>
            </w:r>
          </w:p>
        </w:tc>
        <w:tc>
          <w:tcPr>
            <w:tcW w:w="0" w:type="dxa"/>
            <w:vAlign w:val="bottom"/>
          </w:tcPr>
          <w:p>
            <w:pPr>
              <w:spacing w:after="0"/>
              <w:rPr>
                <w:sz w:val="1"/>
                <w:szCs w:val="1"/>
                <w:color w:val="auto"/>
              </w:rPr>
            </w:pPr>
          </w:p>
        </w:tc>
      </w:tr>
      <w:tr>
        <w:trPr>
          <w:trHeight w:val="412"/>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recognition process. For example, we tested controls over management's estimation of the total transaction price for its</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collaboration agreements including those related to the application of constraint to variable consideration associated with future</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developmental, regulatory and commercial milestones.</w:t>
            </w:r>
          </w:p>
        </w:tc>
        <w:tc>
          <w:tcPr>
            <w:tcW w:w="0" w:type="dxa"/>
            <w:vAlign w:val="bottom"/>
          </w:tcPr>
          <w:p>
            <w:pPr>
              <w:spacing w:after="0"/>
              <w:rPr>
                <w:sz w:val="1"/>
                <w:szCs w:val="1"/>
                <w:color w:val="auto"/>
              </w:rPr>
            </w:pPr>
          </w:p>
        </w:tc>
      </w:tr>
      <w:tr>
        <w:trPr>
          <w:trHeight w:val="414"/>
        </w:trPr>
        <w:tc>
          <w:tcPr>
            <w:tcW w:w="1680" w:type="dxa"/>
            <w:vAlign w:val="bottom"/>
          </w:tcPr>
          <w:p>
            <w:pPr>
              <w:spacing w:after="0"/>
              <w:rPr>
                <w:sz w:val="24"/>
                <w:szCs w:val="24"/>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audit the Company’s judgments related to the application of constraint to variable consideration, we performed audit</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procedures that included, among others, evaluating the Company’s judgments related to the probability of achieving the related</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future developmental, regulatory and commercial milestones. To evaluate the Company’s estimated probability of achieving</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developmental, regulatory and commercial milestones, we considered the nature of clinical development and the stage of</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development of the underlying programs in relation to relevant external data and assessed the reasonableness of the probabilities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achieving the milestones through inspection of observable third-party information.  We also discussed the probability of</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achieving the milestones in relation to each program’s phase of development with the personnel involved in oversight of the</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Company’s collaborations.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298,257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389,477</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1,605,569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1,304,215</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14,386</w:t>
            </w:r>
          </w:p>
        </w:tc>
        <w:tc>
          <w:tcPr>
            <w:tcW w:w="12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1,937,132</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1,908,078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151,945</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12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2,242,034</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2,229,571</w:t>
            </w:r>
          </w:p>
        </w:tc>
        <w:tc>
          <w:tcPr>
            <w:tcW w:w="1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38,147</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tax liabilities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87,782</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206,405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223,007</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309,954</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6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Common shares, CHF 0.03 nominal value, 132,477,166 and 126,536,183 shares authorized at</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2024 and December 31, 2023, respectively, 85,912,297 and 80,214,694 shares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at December 31, 2024 and December 31, 2023, respectively, 85,741,981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80,044,378 shares outstanding at December 31, 2024 and December 31, 2023,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Pr>
          <w:p>
            <w:pPr>
              <w:spacing w:after="0"/>
              <w:rPr>
                <w:sz w:val="20"/>
                <w:szCs w:val="20"/>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shares, at cost, 170,316 shares at December 31, 2024 and at December 31, 2023</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(62 )</w:t>
            </w:r>
          </w:p>
        </w:tc>
        <w:tc>
          <w:tcPr>
            <w:tcW w:w="4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3,293,556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2,878,155</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(1,365,952 )</w:t>
            </w:r>
          </w:p>
        </w:tc>
        <w:tc>
          <w:tcPr>
            <w:tcW w:w="4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(999,700 )</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1,932,080</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1,882,803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2,242,034</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2,229,571</w:t>
            </w:r>
          </w:p>
        </w:tc>
        <w:tc>
          <w:tcPr>
            <w:tcW w:w="1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-4508500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-4508500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-3676650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-2262505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-1696720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461,645</w:t>
            </w:r>
          </w:p>
        </w:tc>
        <w:tc>
          <w:tcPr>
            <w:tcW w:w="120" w:type="dxa"/>
            <w:vAlign w:val="bottom"/>
          </w:tcPr>
          <w:p>
            <w:pPr>
              <w:spacing w:after="0"/>
              <w:rPr>
                <w:sz w:val="18"/>
                <w:szCs w:val="18"/>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102,464</w:t>
            </w: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Collaboration expense,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130,250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110,250</w:t>
            </w:r>
          </w:p>
        </w:tc>
        <w:tc>
          <w:tcPr>
            <w:tcW w:w="120" w:type="dxa"/>
            <w:vAlign w:val="bottom"/>
          </w:tcPr>
          <w:p>
            <w:pPr>
              <w:spacing w:after="0"/>
              <w:rPr>
                <w:sz w:val="18"/>
                <w:szCs w:val="18"/>
                <w:color w:val="auto"/>
              </w:rPr>
            </w:pPr>
          </w:p>
        </w:tc>
      </w:tr>
      <w:tr>
        <w:trPr>
          <w:trHeight w:val="210"/>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503,880</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593,744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674,359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(466,566 )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(222,538 )</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(673,161 )</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20" w:type="dxa"/>
            <w:vAlign w:val="bottom"/>
          </w:tcPr>
          <w:p>
            <w:pPr>
              <w:spacing w:after="0"/>
              <w:rPr>
                <w:sz w:val="18"/>
                <w:szCs w:val="18"/>
                <w:color w:val="auto"/>
              </w:rPr>
            </w:pPr>
          </w:p>
        </w:tc>
      </w:tr>
      <w:tr>
        <w:trPr>
          <w:trHeight w:val="210"/>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103,901</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(362,665 )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(150,722 )</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(650,500 )</w:t>
            </w: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(2,888 )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FF0FC"/>
          </w:tcPr>
          <w:p>
            <w:pPr>
              <w:spacing w:after="0"/>
              <w:rPr>
                <w:sz w:val="18"/>
                <w:szCs w:val="18"/>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(366,252 )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(153,610 )</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(650,175 )</w:t>
            </w: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(10,500 )</w:t>
            </w:r>
          </w:p>
        </w:tc>
      </w:tr>
      <w:tr>
        <w:trPr>
          <w:trHeight w:val="20"/>
        </w:trPr>
        <w:tc>
          <w:tcPr>
            <w:tcW w:w="6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(366,325 )</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(136,050 )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(660,755 )</w:t>
            </w:r>
          </w:p>
        </w:tc>
      </w:tr>
      <w:tr>
        <w:trPr>
          <w:trHeight w:val="196"/>
        </w:trPr>
        <w:tc>
          <w:tcPr>
            <w:tcW w:w="66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(8.36 )</w:t>
            </w:r>
          </w:p>
        </w:tc>
      </w:tr>
      <w:tr>
        <w:trPr>
          <w:trHeight w:val="197"/>
        </w:trPr>
        <w:tc>
          <w:tcPr>
            <w:tcW w:w="66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84,359,126</w:t>
            </w: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79,220,930</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77,746,575</w:t>
            </w:r>
          </w:p>
        </w:tc>
        <w:tc>
          <w:tcPr>
            <w:tcW w:w="120" w:type="dxa"/>
            <w:vAlign w:val="bottom"/>
            <w:tcBorders>
              <w:top w:val="single" w:sz="8" w:color="CFF0FC"/>
            </w:tcBorders>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6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 diluted</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(4.34 )</w:t>
            </w:r>
          </w:p>
        </w:tc>
        <w:tc>
          <w:tcPr>
            <w:tcW w:w="4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(1.94 )</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(8.36 )</w:t>
            </w:r>
          </w:p>
        </w:tc>
      </w:tr>
      <w:tr>
        <w:trPr>
          <w:trHeight w:val="197"/>
        </w:trPr>
        <w:tc>
          <w:tcPr>
            <w:tcW w:w="66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84,359,126</w:t>
            </w: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79,220,930</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77,746,575</w:t>
            </w:r>
          </w:p>
        </w:tc>
        <w:tc>
          <w:tcPr>
            <w:tcW w:w="120" w:type="dxa"/>
            <w:vAlign w:val="bottom"/>
            <w:tcBorders>
              <w:top w:val="single" w:sz="8" w:color="CFF0FC"/>
            </w:tcBorders>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-3230880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-3230880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-3230880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-2382520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-2382520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-2382520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-1816735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-1816735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-1525270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-1525270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-950595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-934085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-950595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-934085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-950595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-650875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-633730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-650875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-633730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-650875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-325120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-307975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-325120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-307975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-325120</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Pr>
          <w:p>
            <w:pPr>
              <w:spacing w:after="0"/>
              <w:rPr>
                <w:sz w:val="18"/>
                <w:szCs w:val="18"/>
                <w:color w:val="auto"/>
              </w:rPr>
            </w:pPr>
          </w:p>
        </w:tc>
        <w:tc>
          <w:tcPr>
            <w:tcW w:w="192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0" w:type="dxa"/>
            <w:vAlign w:val="bottom"/>
          </w:tcPr>
          <w:p>
            <w:pPr>
              <w:spacing w:after="0"/>
              <w:rPr>
                <w:sz w:val="18"/>
                <w:szCs w:val="18"/>
                <w:color w:val="auto"/>
              </w:rPr>
            </w:pPr>
          </w:p>
        </w:tc>
        <w:tc>
          <w:tcPr>
            <w:tcW w:w="1640" w:type="dxa"/>
            <w:vAlign w:val="bottom"/>
            <w:gridSpan w:val="6"/>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Treasury Shares</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60" w:type="dxa"/>
            <w:vAlign w:val="bottom"/>
          </w:tcPr>
          <w:p>
            <w:pPr>
              <w:spacing w:after="0"/>
              <w:rPr>
                <w:sz w:val="17"/>
                <w:szCs w:val="17"/>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CHF</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Comprehen</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Shareholde</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0.03</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Amou</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Accumula</w:t>
            </w:r>
          </w:p>
        </w:tc>
        <w:tc>
          <w:tcPr>
            <w:tcW w:w="8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sive</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rs' Equity</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nt,</w:t>
            </w: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0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ted</w:t>
            </w:r>
          </w:p>
        </w:tc>
        <w:tc>
          <w:tcPr>
            <w:tcW w:w="84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20"/>
                <w:szCs w:val="20"/>
                <w:color w:val="auto"/>
              </w:rPr>
            </w:pPr>
          </w:p>
        </w:tc>
        <w:tc>
          <w:tcPr>
            <w:tcW w:w="10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76,990,066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180,316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2,598,114</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(195,915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2,399,460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restricted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vested options, net of issuance costs of</w:t>
            </w: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$0.9 million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1,235,528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35,771</w:t>
            </w: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97,947</w:t>
            </w:r>
          </w:p>
        </w:tc>
        <w:tc>
          <w:tcPr>
            <w:tcW w:w="1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(10,580 )</w:t>
            </w:r>
          </w:p>
        </w:tc>
        <w:tc>
          <w:tcPr>
            <w:tcW w:w="1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(10,580 )</w:t>
            </w: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(650,175 )</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(650,175 )</w:t>
            </w: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78,512,450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180,316</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(63 )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2,734,838</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(846,090 )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(15,647 )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shd w:val="clear" w:color="auto" w:fill="CFF0FC"/>
          </w:tcPr>
          <w:p>
            <w:pPr>
              <w:ind w:left="200"/>
              <w:spacing w:after="0" w:line="169" w:lineRule="exact"/>
              <w:rPr>
                <w:sz w:val="20"/>
                <w:szCs w:val="20"/>
                <w:color w:val="auto"/>
              </w:rPr>
            </w:pPr>
            <w:r>
              <w:rPr>
                <w:rFonts w:ascii="Times New Roman" w:cs="Times New Roman" w:eastAsia="Times New Roman" w:hAnsi="Times New Roman"/>
                <w:sz w:val="16"/>
                <w:szCs w:val="16"/>
                <w:color w:val="auto"/>
              </w:rPr>
              <w:t>Issuance of common shares, net of issuance costs of</w:t>
            </w: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$2.9 million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458,547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32,379</w:t>
            </w: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restricted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vested options, net of issuance costs of</w:t>
            </w: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$0.5 million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742,291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(10,000 )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28,071</w:t>
            </w: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81,028</w:t>
            </w:r>
          </w:p>
        </w:tc>
        <w:tc>
          <w:tcPr>
            <w:tcW w:w="1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(153,610 )</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(153,610 )</w:t>
            </w: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80,044,378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170,316</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(62 )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2,878,155</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(999,700 )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shd w:val="clear" w:color="auto" w:fill="CFF0FC"/>
          </w:tcPr>
          <w:p>
            <w:pPr>
              <w:ind w:left="200"/>
              <w:spacing w:after="0" w:line="169" w:lineRule="exact"/>
              <w:rPr>
                <w:sz w:val="20"/>
                <w:szCs w:val="20"/>
                <w:color w:val="auto"/>
              </w:rPr>
            </w:pPr>
            <w:r>
              <w:rPr>
                <w:rFonts w:ascii="Times New Roman" w:cs="Times New Roman" w:eastAsia="Times New Roman" w:hAnsi="Times New Roman"/>
                <w:sz w:val="16"/>
                <w:szCs w:val="16"/>
                <w:color w:val="auto"/>
              </w:rPr>
              <w:t>Issuance of common shares, net of issuance costs of</w:t>
            </w: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$4.0 million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4,309,521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297,557</w:t>
            </w: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297,702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Vesting of restricted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vested options, net of issuance costs of</w:t>
            </w: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$0.8 million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900,136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29,539</w:t>
            </w:r>
          </w:p>
        </w:tc>
        <w:tc>
          <w:tcPr>
            <w:tcW w:w="1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86,567</w:t>
            </w:r>
          </w:p>
        </w:tc>
        <w:tc>
          <w:tcPr>
            <w:tcW w:w="1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(366,252 )</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(366,252 )</w:t>
            </w:r>
          </w:p>
        </w:tc>
        <w:tc>
          <w:tcPr>
            <w:tcW w:w="0" w:type="dxa"/>
            <w:vAlign w:val="bottom"/>
          </w:tcPr>
          <w:p>
            <w:pPr>
              <w:spacing w:after="0"/>
              <w:rPr>
                <w:sz w:val="1"/>
                <w:szCs w:val="1"/>
                <w:color w:val="auto"/>
              </w:rPr>
            </w:pPr>
          </w:p>
        </w:tc>
      </w:tr>
      <w:tr>
        <w:trPr>
          <w:trHeight w:val="182"/>
        </w:trPr>
        <w:tc>
          <w:tcPr>
            <w:tcW w:w="3780" w:type="dxa"/>
            <w:vAlign w:val="bottom"/>
            <w:tcBorders>
              <w:top w:val="single" w:sz="8" w:color="CFF0FC"/>
            </w:tcBorders>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(1,365,95</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85,741,981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3,293,556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-2931160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-2931160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-2931160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-2931160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-2931160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-2931160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-2931160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-1610995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-1610995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-1610995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-1610995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-1610995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-1610995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-1610995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-290830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-290830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-290830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-290830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-290830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-290830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-290830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See accompanying notes to these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9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(366,252 )</w:t>
            </w:r>
          </w:p>
        </w:tc>
        <w:tc>
          <w:tcPr>
            <w:tcW w:w="5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(153,610 )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(650,175 )</w:t>
            </w:r>
          </w:p>
        </w:tc>
      </w:tr>
      <w:tr>
        <w:trPr>
          <w:trHeight w:val="20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Reconciliation of net loss to net cash used in operating activities: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24,172</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86,567</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81,028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97,947</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non-cash items, net</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(38,618 )</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(16,545 )</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(200,000 )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(27,283 )</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(20,247 )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(1,949 )</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(1,011 )</w:t>
            </w:r>
          </w:p>
        </w:tc>
      </w:tr>
      <w:tr>
        <w:trPr>
          <w:trHeight w:val="203"/>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(4,407 )</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(2,461 )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15,310</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liabilities, net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(1,521 )</w:t>
            </w: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(142,774 )</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(260,375 )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(495,741 )</w:t>
            </w:r>
          </w:p>
        </w:tc>
      </w:tr>
      <w:tr>
        <w:trPr>
          <w:trHeight w:val="196"/>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(1,901 )</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(9,470 )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(37,188 )</w:t>
            </w: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in-process research and development</w:t>
            </w:r>
          </w:p>
        </w:tc>
        <w:tc>
          <w:tcPr>
            <w:tcW w:w="3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(2,500 )</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in equity securities</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(23,183 )</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debt securities</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(1,463,196 )</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(1,065,911 )</w:t>
            </w:r>
          </w:p>
        </w:tc>
        <w:tc>
          <w:tcPr>
            <w:tcW w:w="3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(1,417,800 )</w:t>
            </w:r>
          </w:p>
        </w:tc>
      </w:tr>
      <w:tr>
        <w:trPr>
          <w:trHeight w:val="20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marketable debt securities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1,207,799</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1,452,528</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1,196,333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(280,481 )</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374,647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(258,655 )</w:t>
            </w:r>
          </w:p>
        </w:tc>
      </w:tr>
      <w:tr>
        <w:trPr>
          <w:trHeight w:val="19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shares, net of issuance costs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options and ESPP contributions, net of issuance costs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31,289</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29,943</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331,984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62,664</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38,592</w:t>
            </w:r>
          </w:p>
        </w:tc>
        <w:tc>
          <w:tcPr>
            <w:tcW w:w="100" w:type="dxa"/>
            <w:vAlign w:val="bottom"/>
          </w:tcPr>
          <w:p>
            <w:pPr>
              <w:spacing w:after="0"/>
              <w:rPr>
                <w:sz w:val="17"/>
                <w:szCs w:val="17"/>
                <w:color w:val="auto"/>
              </w:rPr>
            </w:pPr>
          </w:p>
        </w:tc>
      </w:tr>
      <w:tr>
        <w:trPr>
          <w:trHeight w:val="19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(80 )</w:t>
            </w:r>
          </w:p>
        </w:tc>
      </w:tr>
      <w:tr>
        <w:trPr>
          <w:trHeight w:val="203"/>
        </w:trPr>
        <w:tc>
          <w:tcPr>
            <w:tcW w:w="6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(Decrease) increase in cash</w:t>
            </w:r>
          </w:p>
        </w:tc>
        <w:tc>
          <w:tcPr>
            <w:tcW w:w="3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(91,292 )</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177,009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(715,884 )</w:t>
            </w:r>
          </w:p>
        </w:tc>
      </w:tr>
      <w:tr>
        <w:trPr>
          <w:trHeight w:val="19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401,068</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224,060</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939,944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309,776</w:t>
            </w:r>
          </w:p>
        </w:tc>
        <w:tc>
          <w:tcPr>
            <w:tcW w:w="80" w:type="dxa"/>
            <w:vAlign w:val="bottom"/>
          </w:tcPr>
          <w:p>
            <w:pPr>
              <w:spacing w:after="0"/>
              <w:rPr>
                <w:sz w:val="17"/>
                <w:szCs w:val="17"/>
                <w:color w:val="auto"/>
              </w:rPr>
            </w:pPr>
          </w:p>
        </w:tc>
        <w:tc>
          <w:tcPr>
            <w:tcW w:w="5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401,068</w:t>
            </w:r>
          </w:p>
        </w:tc>
        <w:tc>
          <w:tcPr>
            <w:tcW w:w="2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224,060</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7"/>
                <w:szCs w:val="17"/>
                <w:color w:val="auto"/>
              </w:rPr>
            </w:pPr>
          </w:p>
        </w:tc>
        <w:tc>
          <w:tcPr>
            <w:tcW w:w="5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issuance costs in accounts payable and accrued expenses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8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to amounts within the consolidated balance sheets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298,257</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389,477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211,885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11,519</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309,776</w:t>
            </w:r>
          </w:p>
        </w:tc>
        <w:tc>
          <w:tcPr>
            <w:tcW w:w="80" w:type="dxa"/>
            <w:vAlign w:val="bottom"/>
          </w:tcPr>
          <w:p>
            <w:pPr>
              <w:spacing w:after="0"/>
              <w:rPr>
                <w:sz w:val="17"/>
                <w:szCs w:val="17"/>
                <w:color w:val="auto"/>
              </w:rPr>
            </w:pPr>
          </w:p>
        </w:tc>
        <w:tc>
          <w:tcPr>
            <w:tcW w:w="5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401,068</w:t>
            </w:r>
          </w:p>
        </w:tc>
        <w:tc>
          <w:tcPr>
            <w:tcW w:w="2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224,060</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-3411220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-3411220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-2613660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-2613660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-2082165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-2082165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-1542415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-1542415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-967740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-950595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-967740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-950595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-161925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-161925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CRISPR Therapeutics AG (“CRISPR” or the “Company”) was incorporated on October 31, 2013 in Basel, Switzerland. The Company was established to translate CRISPR/Cas9, a genome editing technology, into transformative gene-based medicines for the treatment of serious human diseases. The foundational intellectual property underlying the Company’s operations was licensed to the Company in April 2014. The Company devotes substantially all of its efforts to product research and development activities, initial market development and raising capital. The Company’s principal offices are in Zug, Switzerland, with the U.S. headquarters for research and development in Boston, Massachusetts, additional research and development based in San Francisco, California, and a cell therapy manufacturing facility in Framingham, Massachusetts.</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third party collaborations, dependence on key personnel, protection of proprietary technology, compliance with government regulations, development by competitors of technological innovations and ability to transition from pilot-scale manufacturing to large-scale production of products.</w:t>
      </w:r>
    </w:p>
    <w:p>
      <w:pPr>
        <w:spacing w:after="0" w:line="75"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The Company had an accumulated deficit of $1,366.0 million as of December 31, 2024 and has financed its operations to date from a series of preferred shares and convertible loan issuances, proceeds obtained from its initial public offering, or IPO, subsequent public offerings of its common shares, at-the-market offerings, as well as upfront fees and milestones received under its collaboration, license and joint venture arrangements. The Company will require additional capital to fund its research and development and ongoing operating expenses.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cash, cash equivalents and marketable securities of $1,903.8 million. While the Company was in a net income position in certain previous years due to upfront payments associated with the Company's collaborations and license agreements with Vertex Pharmaceuticals Incorporated and certain of its subsidiaries, or Vertex, the Company has a history of recurring losses and expects to continue to incur losses for the foreseeable future. The Company expects its cash and cash equivalents and marketable securities will be sufficient to fund current planned operations for at least the next twenty-four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Use of Estimates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or GAAP, and include the accounts of the Company and its wholly-owned subsidiaries as of December 31, 2024. All intercompany accounts and transactions have been eliminated. Any reference in these notes to applicable guidance is meant to refer to the authoritative GAAP as found in the Accounting Standards Codification, or ASC, and Accounting Standards Updates, or ASUs, of the Financial Accounting Standards Board, or FASB.</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revenue recognition, equity-based compensation expense and reported amounts of research and development expenses during the period. The Company bases its estimates on historical experience and other market-specific or other relevant assumptions that it believes to be reasonable under the circumstances. Actual results may differ from those estimates or assumptions.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CODM, in deciding how to allocate resources and in assessing performance. The CODM is the Company's Chief Executive Officer. The Company views its operations as and manages its business in one operating segment, which is the business of discovering, developing and commercializing therapies derived from or incorporating genome-editing technology. Segment information is further described in Note 15 to the consolidated financial statements included in this Annual Report on Form 10-K.</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majority of the Company’s operations occur in entities that have the U.S. dollar as their functional currency. Non-U.S. dollar denominated functional currency subsidiaries have assets and liabilities translated into U.S. dollars at rates of exchange in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9" w:name="page130"/>
    <w:bookmarkEnd w:id="129"/>
    <w:p>
      <w:pPr>
        <w:ind w:right="20"/>
        <w:spacing w:after="0" w:line="261" w:lineRule="auto"/>
        <w:rPr>
          <w:sz w:val="20"/>
          <w:szCs w:val="20"/>
          <w:color w:val="auto"/>
        </w:rPr>
      </w:pPr>
      <w:r>
        <w:rPr>
          <w:rFonts w:ascii="Times New Roman" w:cs="Times New Roman" w:eastAsia="Times New Roman" w:hAnsi="Times New Roman"/>
          <w:sz w:val="18"/>
          <w:szCs w:val="18"/>
          <w:color w:val="auto"/>
        </w:rPr>
        <w:t>at the end of the year. Revenue and expense amounts are translated using the average exchange rates for the period. Net unrealized gains and losses resulting from foreign currency translation are included in “Accumulated other comprehensive income" on the Company's consolidated balance sheets. Net foreign currency exchange transaction gains or losses are included in “Other income, net” on the Company’s consolidated statement of operations, the impact of which is not significant.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from the purchase date to be cash equivalents. As of December 31, 2024 and 2023, the Company had $298.3 million and $389.5 million in cash and cash equivalents, respectively.</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As of December 31, 2024 and 2023, the Company had $11.5 million and $11.6 million, respectively, in restricted cash representing letters of credit securing the Company’s obligations under certain leased facilities, as well as certain credit card arrangements. The letters of credit are secured by cash held in a restricted depository account and are included in restricted cash in the accompanying consolidated balance sheets as of December 31, 2024 and 2023.</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Company had $1,605.6 million and $1,306.2 million, respectively, in marketable securities. The Company’s investment strategy is focused on capital preservation. The Company invests in instruments that meet the credit quality standards outlined in the Company’s investment policy. The Company classifies marketable securities with a remaining maturity, when purchased, of greater than three months as available-for-sale. Marketable securities are classified as current assets on the consolidated balance sheets if the marketable securities are available to be converted into cash to fund current operations. Marketable securities in an unrealized loss position for greater than one year with a remaining maturity date greater than one year are classified as non-current assets.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Marketable securities classified as Level 1 within the valuation hierarchy consist of corporate equity securities with quoted prices in active markets. Marketable securities classified as Level 2 within the valuation hierarchy generally consist of U.S. Treasury securities and government agency securities, corporate bonds, commercial paper and prefunded warrants. Debt securities are carried at fair value with the unrealized gains and losses included in other comprehensive loss as a component of stockholders’ equity until realized. Any premium arising at purchase is amortized to interest expense over the period of the earliest call date, and any discount arising at purchase is accreted to interest income over the life of the instrument. Realized gains and losses on debt securities are determined using the specific identification method and are included in other income, net.</w:t>
      </w:r>
    </w:p>
    <w:p>
      <w:pPr>
        <w:spacing w:after="0" w:line="7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assesses its available-for-sale debt securities under the available-for-sale debt security impairment model in ASU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 Credit Losses (Topic 326): Measurement of Credit Losses on Financial Statements</w:t>
      </w:r>
      <w:r>
        <w:rPr>
          <w:rFonts w:ascii="Times New Roman" w:cs="Times New Roman" w:eastAsia="Times New Roman" w:hAnsi="Times New Roman"/>
          <w:sz w:val="18"/>
          <w:szCs w:val="18"/>
          <w:color w:val="auto"/>
        </w:rPr>
        <w:t>, or ASC 326, as of each reporting date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if a portion of any decline in fair value below carrying value recognized on its available-for-sale debt securities is the result of a credit loss. The Company records credit losses in the consolidated statements of operations and comprehensive loss as credit loss expense within other income, net, which is limited to the difference between the fair value and the amortized cost of the security. To date, the Company has not recorded any credit losses on its available-for-sale debt securities.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cash equivalents and marketable securities. The Company’s cash is held in accounts with financial institutions that management believes are creditworthy. The Company has not experienced any credit losses in such accounts and does not believe it is exposed to any significant credit risk on these funds. The Company has no financial instruments with off-balance sheet risk of loss.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that are accessible at the market date for identical unrestricted assets or liabilities.</w:t>
      </w:r>
    </w:p>
    <w:p>
      <w:pPr>
        <w:spacing w:after="0" w:line="117"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0" w:name="page131"/>
    <w:bookmarkEnd w:id="130"/>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0" w:lineRule="exact"/>
        <w:rPr>
          <w:sz w:val="20"/>
          <w:szCs w:val="20"/>
          <w:color w:val="auto"/>
        </w:rPr>
      </w:pPr>
    </w:p>
    <w:p>
      <w:pPr>
        <w:ind w:right="4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Items measured at fair value on a recurring basis include marketable securities (see Note 3, </w:t>
      </w:r>
      <w:r>
        <w:rPr>
          <w:rFonts w:ascii="Times New Roman" w:cs="Times New Roman" w:eastAsia="Times New Roman" w:hAnsi="Times New Roman"/>
          <w:sz w:val="18"/>
          <w:szCs w:val="18"/>
          <w:i w:val="1"/>
          <w:iCs w:val="1"/>
          <w:color w:val="auto"/>
        </w:rPr>
        <w:t>Marketable Securities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carrying amount of accounts receivable, other receivables, accounts payable and accrued expenses as reported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as of December 31, 2024 and 2023 approximate fair value, due to the short-term duration of these instruments.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Depreciation is recorded using the straight-line method over the estimated useful lives of the respective assets, which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0" w:type="dxa"/>
            <w:vAlign w:val="bottom"/>
          </w:tcPr>
          <w:p>
            <w:pPr>
              <w:spacing w:after="0"/>
              <w:rPr>
                <w:sz w:val="15"/>
                <w:szCs w:val="15"/>
                <w:color w:val="auto"/>
              </w:rPr>
            </w:pPr>
          </w:p>
        </w:tc>
        <w:tc>
          <w:tcPr>
            <w:tcW w:w="55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1"/>
        </w:trPr>
        <w:tc>
          <w:tcPr>
            <w:tcW w:w="56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10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useful life or remaining lease term</w:t>
            </w: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when events or changes in circumstances indicate the carrying value of the assets may not be recoverable. Recoverability is measured by comparison of the book values of the assets to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records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ASC 606 applies to all contracts with customers, except for contracts that are within the scope of other standards, such as leases and collaboration arrangements. To determine revenue recognition for arrangements that an entity determines are within the scope of ASC 606, the entity performs the following five steps: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 Identify the contract with the customer</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If these criteria are not met, the promised goods and services are accounted for as a combined performance obligation.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To the extent the transaction price includes variable consideration such as research, development, regulatory and commercial milestones, the Company determines if it is probable that it will receive such amounts and there is no risk of a significant revenue reversal. When the Company cannot conclude that receipt of such amounts is probable, the Company constrains the related variable consideration resulting in its exclusion from transaction consideration. In determining the portion of the transaction consideration to be constrained, the Company considers the probability and uncertainty that the related research, developmental, regulatory and commercial milestones will be achieved given the nature of research and clinical development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1" w:name="page132"/>
    <w:bookmarkEnd w:id="131"/>
    <w:p>
      <w:pPr>
        <w:ind w:right="240"/>
        <w:spacing w:after="0" w:line="266" w:lineRule="auto"/>
        <w:rPr>
          <w:sz w:val="20"/>
          <w:szCs w:val="20"/>
          <w:color w:val="auto"/>
        </w:rPr>
      </w:pPr>
      <w:r>
        <w:rPr>
          <w:rFonts w:ascii="Times New Roman" w:cs="Times New Roman" w:eastAsia="Times New Roman" w:hAnsi="Times New Roman"/>
          <w:sz w:val="18"/>
          <w:szCs w:val="18"/>
          <w:color w:val="auto"/>
        </w:rPr>
        <w:t>and the stage of the underlying programs. This assessment is performed at each reporting period. In making this evaluation, the Company considers both internal and external information available, including information from industry publications and other relevant factors. Changes to the constraint of variable consideration can have a material effect on the amount of revenue recognized in the period.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 Allocate the transaction consideration to performance obligations in the contract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consideration is allocated to the single performance obligation. Contracts that contain multiple performance obligations require an allocation of the transaction consideration to each performance obligation on a relative standalone selling price basis unless the transaction consideration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In determining these estimated standalone selling prices, the Company makes a number of significant judgments including, for licenses, management’s assumptions regarding probability weighted projected discounted cash flows for each of the collaboration development programs. The estimated standalone selling prices are sensitive to changes in assumptions, such as probabilities of scientific success, discount rate and certain assumptions that form the basis of forecasted cash flows. In developing these assumptions, management considers both internal and external information available, including information from other guideline companies within the same industry and other relevant factors. Changes to these assumptions can have a material effect on the allocation of the transaction consideration to performance obligations, as well as the amount and timing of revenue recognized.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satisfies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accounts receivable consists primarily of milestones due under its licensing and collaboration agreements accounted for under ASC</w:t>
      </w:r>
    </w:p>
    <w:p>
      <w:pPr>
        <w:spacing w:after="0" w:line="27" w:lineRule="exact"/>
        <w:rPr>
          <w:sz w:val="20"/>
          <w:szCs w:val="20"/>
          <w:color w:val="auto"/>
        </w:rPr>
      </w:pPr>
    </w:p>
    <w:p>
      <w:pPr>
        <w:jc w:val="both"/>
        <w:ind w:right="100" w:firstLine="8"/>
        <w:spacing w:after="0" w:line="253" w:lineRule="auto"/>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accounts receivable was $25.0 million and $200.0 million, respectively, related to the achievement of milestones under the Company's license and collaboration agreements with Vertex, as further described in Note 8 of the notes to the consolidated financial statements included in this Annual Report on Form 10-K. Vertex is a creditworthy entity that maintains an ongoing relationship with the Company and as such, the Company does not have an allowance for estimated credit losses recorded related to these other receivables.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a contract asset when the Company transfers goods or services to a customer before the customer pays consideration or before payment is due, excluding any amounts presented as an accounts receivable. A contract asset is an entity’s right to consideration in exchange for goods or services that the entity has transferred to a customer. Contract liabilities, or deferred revenue, primarily relate to contracts where we have received payment, but we have not yet satisfied the related performance obligations. Contract assets are not significant as of December 31, 2024 and 2023. Contract liabilities recorded as deferred revenue as of December 31, 2024 are $12.3 million, which was unchanged from December 31,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w:t>
      </w:r>
    </w:p>
    <w:p>
      <w:pPr>
        <w:spacing w:after="0" w:line="121"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The Company records the elements of its collaboration agreements that represent joint operating activities in accordance with ASC 808. Accordingly, the elements of the collaboration agreements that represent activities in which both parties are active participants and to which both parties are exposed to the significant risks and rewards that are dependent on the commercial success of the activities, are recorded as collaborative arrangements.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the proper presentation of the commercial activities and the profit and loss sharing associated with the collaboration agreements. ASC 808 states that when payments between parties in a collaborative arrangement are not within the scope of other authoritative accounting literature, the income statement classification should be based on the nature of the arrangement, the nature of its business operations and the contractual terms of the arrangement. To the extent that these payments are not within the scope of other authoritative accounting literature, the income statement classification for the payments shall be based on an analogy to authoritative accounting literature or if there is no appropriate analogy, a reasonable, rational and consistently applied accounting policy election.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 costs specific to CASGEVY under the Vertex Hemoglobinopathy Agreements accounted for under ASC 808 are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2" w:name="page133"/>
    <w:bookmarkEnd w:id="132"/>
    <w:p>
      <w:pPr>
        <w:ind w:right="200"/>
        <w:spacing w:after="0" w:line="282" w:lineRule="auto"/>
        <w:rPr>
          <w:sz w:val="20"/>
          <w:szCs w:val="20"/>
          <w:color w:val="auto"/>
        </w:rPr>
      </w:pPr>
      <w:r>
        <w:rPr>
          <w:rFonts w:ascii="Times New Roman" w:cs="Times New Roman" w:eastAsia="Times New Roman" w:hAnsi="Times New Roman"/>
          <w:sz w:val="18"/>
          <w:szCs w:val="18"/>
          <w:color w:val="auto"/>
        </w:rPr>
        <w:t>presented within “collaboration expense, net” in the consolidated statements of operations and comprehensive loss. Refer to Note 8 to these consolidated financial statements for further discussion on the Vertex Hemoglobinopathy Agreements.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Receivables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Amounts due from collaboration partners where activities are accounted for under ASC 808 are considered other receivables and are included within prepaid and other current assets in the consolidated balance sheets. Other receivables consisted of $2.1 million and $6.5 million as of December 31, 2024 and 2023, respectively, and are due from Vertex. Other receivables are recorded at invoiced amounts due under the Vertex Hemoglobinopathy Agreements, as further described in Note 8 of the notes to the consolidated financial statements included in this Annual Report on Form 10-K.</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Vertex is a creditworthy entity that maintains an ongoing relationship with the Company and as such, the Company does not have an allowance for estimated credit losses recorded related to these other receivables.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charged to expense as costs are incurred in performing research and development activities, including salaries and benefits, facilities costs, overhead costs, clinical study and related clinical manufacturing costs, license and milestone fees, contract services and other related costs. Research and development costs, including up-front fees and milestones paid to collaborators, are also expensed as incurred. In circumstances where amounts have been paid in excess of costs incurred, the Company records a prepaid expense. The Company accrues costs for clinical trial activities based upon estimates of the services received and related expenses incurred that have yet to be invoiced by the contract research organizations, clinical study sites, laboratories, consultants or other clinical trial vendors that perform the activities. The Company recognizes the reimbursement associated with collaborative activities to its collaborative partners, excluding collaboration costs under the Vertex Hemoglobinopathy Agreements accounted for under ASC 808, as a reduction to research and development expense in the period the services are provided. Costs associated with collaborative activities to collaborative partners accounted for under ASC 808 and included in research and development expense was not significant for the years ended December 31, 2024, 2023 and 2022.</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 The Company does not have any material financing leases.</w:t>
      </w:r>
    </w:p>
    <w:p>
      <w:pPr>
        <w:spacing w:after="0" w:line="7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81"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recognize leases with an original term of one year or less on its consolidated balance sheets. The Company typically only includes an initial lease term in its assessment of a lease arrangement. Options to renew a lease are not included in the Company’s assessment unless there is reasonable certainty of renewal.</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 Expense</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programs grant awards that have included stock options, restricted stock units and restricted stock awards. Grants are awarded to employees and non-employees, including directors.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w:t>
      </w:r>
    </w:p>
    <w:p>
      <w:pPr>
        <w:spacing w:after="0" w:line="29" w:lineRule="exact"/>
        <w:rPr>
          <w:sz w:val="20"/>
          <w:szCs w:val="20"/>
          <w:color w:val="auto"/>
        </w:rPr>
      </w:pPr>
    </w:p>
    <w:p>
      <w:pPr>
        <w:ind w:right="20" w:firstLine="8"/>
        <w:spacing w:after="0" w:line="255"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718 requires all stock-based payments to employees and non-employee directors, including grants of employee stock options and restricted stock units and modifications to existing stock options, to be recognized in the consolidated statements of operations and comprehensive loss based on their fair values. The Company uses the Black-Scholes option pricing model to determine the fair value of options granted.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3" w:name="page134"/>
    <w:bookmarkEnd w:id="133"/>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forfeitures as they occur instead of estimating forfeitures at the time of grant and revising those estimates in subsequent periods if actual forfeitures differ from its estimates. Stock-based compensation expense recognized in the financial statements is based on awards for which performance or service conditions are expected to be satisfied.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stock-based awards are subject to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accelerated attribution method to the extent achievement of the performance condition is probable.</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expenses restricted stock unit awards to employees based on the fair value of the award on a straight-line basis over the associated service period of the award.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its option awards to employees, directors and non-employees using the Black-Scholes option pricing model, which requires the input of subjective assumptions, including (i) the expected stock price volatility, (ii) the calculation of expected term of the award, (iii) the risk-free interest rate and (iv) expected dividends. In 2023, we changed our calculation for our volatility estimate from using a blend of the Company's data as well as peer company data to using the historical volatility of the Company's publicly traded stock for awards granted during the year. In prior periods, expected volatility was calculated based on a blend of the Company’s reported volatility data for the length of time that market data is available for the Company’s stock and the historical data for a representative group of publicly traded companies, for which historical information is available. For these analyses, the Company selected companies with comparable characteristics to itself including enterprise value, risk profiles, position within the industry, and with historical share price information sufficient to meet the expected life of the stock-based awards. The Company computed the historical volatility data using the daily closing prices during the equivalent period of the calculated expected term of its stock-based awards. The Company has estimated the expected term of its employee stock options using the “simplified” method, whereby the expected term equals the arithmetic average of the vesting term and the original contractual term of the option, due to its lack of sufficient historical data. The risk-free interest rates for periods within the expected term of the option are based on the U.S. Treasury securities with a maturity date commensurate with the expected term of the associated award. The Company has never paid, and does not expect to pay, dividends in the foreseeable future.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Costs to secure and prosecute patent applications and other legal costs related to the protection of the Company’s intellectual property are expensed as incurred and are classified as general and administrative expenses in the Company’s consolidated statements of operations.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or ASC 740, which provides for deferred taxes using an asset and liability approach. Under this method, deferred tax assets and liabilities are determined based on the difference between the financial reporting and tax reporting basis of assets and liabilities and are measured using enacted tax rates and laws that are expected to be in effect when the differences are expected to reverse. Valuation allowances are provided if, based upon the weight of available evidence, it is more likely than not that some or all of the deferred tax assets will not be realized. The Company has evaluated available evidence and concluded that the Company may not realize all the benefit of its deferred tax assets; therefore, a valuation allowance has been established for the amount of the deferred tax assets that the Company does not believe is more likely than not to be realized.</w:t>
      </w:r>
    </w:p>
    <w:p>
      <w:pPr>
        <w:spacing w:after="0" w:line="7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2024 and 2023, the Company does not have any significant uncertain tax positions. The Company’s practice is to recognize interest and/or penalties related to income tax matters in income tax expense. Income taxes are further described in Note 14 of the notes to the consolidated financial statements included in this Annual Report on Form 10-K.</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other comprehensive loss. Other comprehensive loss consists of foreign currency translation adjustments and unrealized gains and losses on marketable securities.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4" w:name="page135"/>
    <w:bookmarkEnd w:id="13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Shareholders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shareholders by the weighted-average number of common shares outstanding during the period. Diluted net loss per share is calculated by dividing the net loss attributable to common shareholders by the weighted-average number of common equivalent shares outstanding for the period, including any dilutive effect from outstanding stock options and restricted stock units using the treasury stock method. See Note 12 for further details.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New and Recently Adopted Accounting Pronouncements</w:t>
      </w:r>
    </w:p>
    <w:p>
      <w:pPr>
        <w:spacing w:after="0" w:line="11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or ASU 2023-07. The amendments in this update expand segment disclosure requirements, including new segment disclosure requirements for entities with a single reportable segment among other disclosure requirements. This update is effective for fiscal years beginning after December 15, 2023, and interim periods within fiscal years beginning after December 15, 2024. The Company adopted ASU 2023-07 and applied the guidance retrospectively to all periods presented in the consolidated financial statements.</w:t>
      </w:r>
    </w:p>
    <w:p>
      <w:pPr>
        <w:spacing w:after="0" w:line="56" w:lineRule="exact"/>
        <w:rPr>
          <w:sz w:val="20"/>
          <w:szCs w:val="20"/>
          <w:color w:val="auto"/>
        </w:rPr>
      </w:pPr>
    </w:p>
    <w:p>
      <w:pPr>
        <w:ind w:right="2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The amendments in this update expand income tax disclosure requirements, including additional information pertaining to the rate reconciliation, income taxes paid, and other disclosures. This update is effective for annual periods beginning after December 15, 2024. The Company is currently evaluating the disclosure requirements related to this new standard.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summary of the Company’s cash equivalents and marketable securities as of December 31, 2024 and 2023, which are recorded at fair value (and excludes $193.9 million and $197.8 million of cash at December 31, 2024 and 2023, respectively) is shown below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8"/>
                <w:szCs w:val="8"/>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74,155</w:t>
            </w: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cash equivalents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104,308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(9 )</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104,299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1,136,255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(1,592 )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1,138,105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52,372</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Government-sponsored enterprise securities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266,877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(497 )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127,805</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(39 )</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marketable debt securities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1,589,245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(2,128 )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1,591,077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Corporate equity securities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10,387</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(495 )</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1,599,632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(2,623 )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1,605,569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cash equivalents and marketable securities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1,703,940</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8,560</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(2,632 )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1,709,868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8"/>
                <w:szCs w:val="8"/>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185,990</w:t>
            </w: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cash equivalents</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191,721</w:t>
            </w: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883,550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(1,559 )</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885,358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Government-sponsored enterprise securities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195,106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(352 )</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1,304,304</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(1,937 )</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1,306,188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cash equivalents and marketable securities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1,496,025</w:t>
            </w:r>
          </w:p>
        </w:tc>
        <w:tc>
          <w:tcPr>
            <w:tcW w:w="30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(1,937 )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1,497,909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-2708275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-2708275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-2708275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-2708275</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-2442210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-2442210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-2442210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-2442210</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-2167890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-2150745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-2167890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-2150745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-2167890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-2150745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-2167890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-2150745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-161925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-161925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-161925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5" w:name="page136"/>
    <w:bookmarkEnd w:id="135"/>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As of December 31, 2024 marketable debt securities were in a net unrealized gain position of $1.8 million. As of December 31, 2023, marketable debt securities were in a net unrealized gain position of $1.9 million. The Company has recorded a net unrealized loss of $0.1 million for the year ended December 31, 2024, related to its debt securities. The Company recorded a net unrealized gain of $17.5 million during the year ended December 31, 2023, related to its debt securities. These amounts are included in comprehensive loss on the consolidated statements of operations and comprehensive loss.</w:t>
      </w:r>
    </w:p>
    <w:p>
      <w:pPr>
        <w:spacing w:after="0" w:line="5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aggregate fair value of marketable securities that were in an unrealized loss position for less than twelve months was $451.9 million and $463.5 million, respectively. As of December 31, 2024 and 2023, the aggregate fair value of marketable securities that were in an unrealized loss position for more than twelve months was $31.8 million and $138.4 million, respectively. As of December 31, 2024, no securities in an unrealized loss position for more than twelve months will mature beyond one year. As of December 31, 2023, securities in an unrealized loss position for more than twelve months totaling $2.0 million had maturities beyond one year, which is included in marketable securities, non-current, on the consolidated balance sheet.</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marketable equity securities were in a net unrealized gain position of $4.1 million. The Company has recorded a net unrealized gain of $4.1 million for the year ended December 31, 2024, related to its equity securities. These amounts are included in comprehensive loss on the consolidated statements of operations and comprehensive loss.</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determined that there was no material credit risk of the above investments as of December 31, 2024 and 2023. The Company has the intent and ability to hold such securities until recovery. As a result, the Company did not record any charges for credit-related impairments for its marketable securities for the years ended December 31, 2024 and 2023. No available-for-sale debt securities held as of December 31, 2024 had remaining maturities greater than thirty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December 31, 2024 and 2023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9"/>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193,958</w:t>
            </w:r>
          </w:p>
        </w:tc>
        <w:tc>
          <w:tcPr>
            <w:tcW w:w="5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193,958</w:t>
            </w:r>
          </w:p>
        </w:tc>
        <w:tc>
          <w:tcPr>
            <w:tcW w:w="5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74,155</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74,155</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8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29,262</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29,262</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5,938</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5,938</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8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1,138,105</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1,138,105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52,372</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52,372</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Government-sponsored enterprise securities</w:t>
            </w:r>
          </w:p>
        </w:tc>
        <w:tc>
          <w:tcPr>
            <w:tcW w:w="28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266,862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266,862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127,800</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127,800</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equity securities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14,492</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2,391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12,101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50"/>
        </w:trPr>
        <w:tc>
          <w:tcPr>
            <w:tcW w:w="46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1,903,826</w:t>
            </w:r>
          </w:p>
        </w:tc>
        <w:tc>
          <w:tcPr>
            <w:tcW w:w="32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270,504</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1,633,322</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0"/>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gridSpan w:val="2"/>
          </w:tcPr>
          <w:p>
            <w:pPr>
              <w:spacing w:after="0"/>
              <w:rPr>
                <w:sz w:val="18"/>
                <w:szCs w:val="18"/>
                <w:color w:val="auto"/>
              </w:rPr>
            </w:pPr>
          </w:p>
        </w:tc>
      </w:tr>
      <w:tr>
        <w:trPr>
          <w:trHeight w:val="199"/>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197,756</w:t>
            </w:r>
          </w:p>
        </w:tc>
        <w:tc>
          <w:tcPr>
            <w:tcW w:w="40" w:type="dxa"/>
            <w:vAlign w:val="bottom"/>
          </w:tcPr>
          <w:p>
            <w:pPr>
              <w:spacing w:after="0"/>
              <w:rPr>
                <w:sz w:val="17"/>
                <w:szCs w:val="17"/>
                <w:color w:val="auto"/>
              </w:rPr>
            </w:pPr>
          </w:p>
        </w:tc>
        <w:tc>
          <w:tcPr>
            <w:tcW w:w="56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197,756</w:t>
            </w:r>
          </w:p>
        </w:tc>
        <w:tc>
          <w:tcPr>
            <w:tcW w:w="60" w:type="dxa"/>
            <w:vAlign w:val="bottom"/>
          </w:tcPr>
          <w:p>
            <w:pPr>
              <w:spacing w:after="0"/>
              <w:rPr>
                <w:sz w:val="17"/>
                <w:szCs w:val="17"/>
                <w:color w:val="auto"/>
              </w:rPr>
            </w:pPr>
          </w:p>
        </w:tc>
        <w:tc>
          <w:tcPr>
            <w:tcW w:w="5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185,990</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185,990</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885,358</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885,358</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Government-sponsored enterprise securities</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195,131</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195,131</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paper</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155,409</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155,409</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7"/>
                <w:szCs w:val="17"/>
                <w:color w:val="auto"/>
              </w:rPr>
            </w:pPr>
          </w:p>
        </w:tc>
      </w:tr>
      <w:tr>
        <w:trPr>
          <w:trHeight w:val="250"/>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1,695,665</w:t>
            </w: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383,746</w:t>
            </w: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1,311,919</w:t>
            </w: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-2030730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-2013585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-2030730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-2013585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-2030730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-2013585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Marketable securities classified as Level 1 within the valuation hierarchy consist of corporate equity securities with quoted prices in active markets. Marketable securities classified as Level 2 within the valuation hierarchy generally consist of U.S. Treasury securities and government agency securities, corporate bonds, commercial paper and warrants to purchase common shares of publicly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6" w:name="page137"/>
    <w:bookmarkEnd w:id="136"/>
    <w:p>
      <w:pPr>
        <w:ind w:right="180"/>
        <w:spacing w:after="0" w:line="282" w:lineRule="auto"/>
        <w:rPr>
          <w:sz w:val="20"/>
          <w:szCs w:val="20"/>
          <w:color w:val="auto"/>
        </w:rPr>
      </w:pPr>
      <w:r>
        <w:rPr>
          <w:rFonts w:ascii="Times New Roman" w:cs="Times New Roman" w:eastAsia="Times New Roman" w:hAnsi="Times New Roman"/>
          <w:sz w:val="18"/>
          <w:szCs w:val="18"/>
          <w:color w:val="auto"/>
        </w:rPr>
        <w:t>traded companies. The Company estimates the fair values of these marketable securities by taking into consideration valuations obtained from third-party pricing 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42,008</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143,260</w:t>
            </w:r>
          </w:p>
        </w:tc>
        <w:tc>
          <w:tcPr>
            <w:tcW w:w="12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work in process</w:t>
            </w:r>
          </w:p>
        </w:tc>
        <w:tc>
          <w:tcPr>
            <w:tcW w:w="9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206,365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205,378</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(72,272 )</w:t>
            </w:r>
          </w:p>
        </w:tc>
        <w:tc>
          <w:tcPr>
            <w:tcW w:w="5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(53,433 )</w:t>
            </w:r>
          </w:p>
        </w:tc>
      </w:tr>
      <w:tr>
        <w:trPr>
          <w:trHeight w:val="210"/>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134,093</w:t>
            </w:r>
          </w:p>
        </w:tc>
        <w:tc>
          <w:tcPr>
            <w:tcW w:w="30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151,945</w:t>
            </w:r>
          </w:p>
        </w:tc>
        <w:tc>
          <w:tcPr>
            <w:tcW w:w="12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-453390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 ended December 31, 2024, 2023 and 2022 was $19.2 million, $19.8 million, and $24.1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82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costs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costs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fees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41,072</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In May 2020, the Company entered into a lease agreement for a cell therapy manufacturing facility in Framingham, Massachusetts, or the Framingham Lease, for clinical and commercial production of the Company’s investigational cell therapy product candidates. The Framingham Lease expires in March 2036 and the Company has an option to extend the term of the lease for two additional seven-year periods. The right-of-use asset and corresponding lease liability does not include the additional seven-year periods under the renewal option as the Company is not reasonably certain to exercise that option.</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July 2020, the Company entered into a lease agreement for an office and laboratory facility in Boston, Massachusetts, with a commencement date of June 1, 2021, or the 2020 Lease. At lease commencement, the Company recorded a right-of-use asset of $149.8 million and a corresponding operating lease liability of $147.9 million. Tenant incentives of $49.2 million were recorded as a reduction to the operating lease asset and liability at lease commencement. The lease expires in March 2034 and the Company has an option to extend the term of the lease for two additional five-year periods. The right-of-use asset and corresponding lease liability does not include the additional five-year periods under the renewal option as the Company is not reasonably certain to exercise that option.</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also rents certain office space in Zug, Switzerland, on a short-term basis for which a right-of-use asset and liability are not recorded, in accordance with the practical expedient elected.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embedded leases in certain research and license agreements for which the Company has recorded a right of use asset and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not significant in comparison to the Company’s total operating lease assets and liabilities.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7" w:name="page138"/>
    <w:bookmarkEnd w:id="137"/>
    <w:p>
      <w:pPr>
        <w:ind w:left="520"/>
        <w:spacing w:after="0"/>
        <w:rPr>
          <w:sz w:val="20"/>
          <w:szCs w:val="20"/>
          <w:color w:val="auto"/>
        </w:rPr>
      </w:pPr>
      <w:r>
        <w:rPr>
          <w:rFonts w:ascii="Times New Roman" w:cs="Times New Roman" w:eastAsia="Times New Roman" w:hAnsi="Times New Roman"/>
          <w:sz w:val="18"/>
          <w:szCs w:val="18"/>
          <w:color w:val="auto"/>
        </w:rPr>
        <w:t>The Company identified and assessed the following estimates in recognizing the right-of-use asset and corresponding liability:</w:t>
      </w:r>
    </w:p>
    <w:p>
      <w:pPr>
        <w:spacing w:after="0" w:line="115" w:lineRule="exact"/>
        <w:rPr>
          <w:sz w:val="20"/>
          <w:szCs w:val="20"/>
          <w:color w:val="auto"/>
        </w:rPr>
      </w:pPr>
    </w:p>
    <w:p>
      <w:pPr>
        <w:ind w:left="520" w:right="20" w:hanging="512"/>
        <w:spacing w:after="0" w:line="267"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lease term</w:t>
      </w:r>
      <w:r>
        <w:rPr>
          <w:rFonts w:ascii="Times New Roman" w:cs="Times New Roman" w:eastAsia="Times New Roman" w:hAnsi="Times New Roman"/>
          <w:sz w:val="18"/>
          <w:szCs w:val="18"/>
          <w:color w:val="auto"/>
        </w:rPr>
        <w:t>: The expected lease term includes noncancelable lease periods and, when applicable, periods covered by an option to extend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if the Company is reasonably certain to exercise that option, as well as periods covered by an option to terminate the lease if the Company is reasonably certain not to exercise that option.</w:t>
      </w:r>
    </w:p>
    <w:p>
      <w:pPr>
        <w:spacing w:after="0" w:line="65" w:lineRule="exact"/>
        <w:rPr>
          <w:rFonts w:ascii="Times New Roman" w:cs="Times New Roman" w:eastAsia="Times New Roman" w:hAnsi="Times New Roman"/>
          <w:sz w:val="18"/>
          <w:szCs w:val="18"/>
          <w:color w:val="auto"/>
        </w:rPr>
      </w:pPr>
    </w:p>
    <w:p>
      <w:pPr>
        <w:ind w:left="520" w:right="120" w:hanging="512"/>
        <w:spacing w:after="0" w:line="284"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borrowing rate</w:t>
      </w:r>
      <w:r>
        <w:rPr>
          <w:rFonts w:ascii="Times New Roman" w:cs="Times New Roman" w:eastAsia="Times New Roman" w:hAnsi="Times New Roman"/>
          <w:sz w:val="18"/>
          <w:szCs w:val="18"/>
          <w:color w:val="auto"/>
        </w:rPr>
        <w:t>: As the discount rates in the Company’s leases are not implicit, the Company estimated the incremental borrowing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rate of interest the Company would have to pay to borrow a similar amount on a collateralized basis over a similar term.</w:t>
      </w:r>
    </w:p>
    <w:p>
      <w:pPr>
        <w:spacing w:after="0" w:line="5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lease assets and liabilities as of December 31, 2024 and 2023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200" w:type="dxa"/>
            <w:vAlign w:val="bottom"/>
          </w:tcPr>
          <w:p>
            <w:pPr>
              <w:spacing w:after="0"/>
              <w:rPr>
                <w:sz w:val="17"/>
                <w:szCs w:val="17"/>
                <w:color w:val="auto"/>
              </w:rPr>
            </w:pPr>
          </w:p>
        </w:tc>
        <w:tc>
          <w:tcPr>
            <w:tcW w:w="15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4"/>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520" w:type="dxa"/>
            <w:vAlign w:val="bottom"/>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143,461</w:t>
            </w:r>
          </w:p>
        </w:tc>
        <w:tc>
          <w:tcPr>
            <w:tcW w:w="10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100" w:type="dxa"/>
            <w:vAlign w:val="bottom"/>
          </w:tcPr>
          <w:p>
            <w:pPr>
              <w:spacing w:after="0"/>
              <w:rPr>
                <w:sz w:val="18"/>
                <w:szCs w:val="18"/>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15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143,461</w:t>
            </w:r>
          </w:p>
        </w:tc>
        <w:tc>
          <w:tcPr>
            <w:tcW w:w="2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206,405</w:t>
            </w:r>
          </w:p>
        </w:tc>
        <w:tc>
          <w:tcPr>
            <w:tcW w:w="2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223,007</w:t>
            </w:r>
          </w:p>
        </w:tc>
        <w:tc>
          <w:tcPr>
            <w:tcW w:w="100" w:type="dxa"/>
            <w:vAlign w:val="bottom"/>
          </w:tcPr>
          <w:p>
            <w:pPr>
              <w:spacing w:after="0"/>
              <w:rPr>
                <w:sz w:val="18"/>
                <w:szCs w:val="18"/>
                <w:color w:val="auto"/>
              </w:rPr>
            </w:pPr>
          </w:p>
        </w:tc>
      </w:tr>
      <w:tr>
        <w:trPr>
          <w:trHeight w:val="250"/>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20" w:type="dxa"/>
            <w:vAlign w:val="bottom"/>
            <w:tcBorders>
              <w:bottom w:val="single" w:sz="8" w:color="auto"/>
            </w:tcBorders>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223,693</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operating lease costs included in research and development and general and administrative expense, as well as sublease income for the years ended December 31, 2024, 2023 and 2022 (in thousands):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Sublease income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38747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6">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44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24,417</w:t>
            </w:r>
          </w:p>
        </w:tc>
        <w:tc>
          <w:tcPr>
            <w:tcW w:w="220" w:type="dxa"/>
            <w:vAlign w:val="bottom"/>
          </w:tcPr>
          <w:p>
            <w:pPr>
              <w:spacing w:after="0"/>
              <w:rPr>
                <w:sz w:val="17"/>
                <w:szCs w:val="17"/>
                <w:color w:val="auto"/>
              </w:rPr>
            </w:pPr>
          </w:p>
        </w:tc>
        <w:tc>
          <w:tcPr>
            <w:tcW w:w="44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25,870</w:t>
            </w:r>
          </w:p>
        </w:tc>
        <w:tc>
          <w:tcPr>
            <w:tcW w:w="220" w:type="dxa"/>
            <w:vAlign w:val="bottom"/>
          </w:tcPr>
          <w:p>
            <w:pPr>
              <w:spacing w:after="0"/>
              <w:rPr>
                <w:sz w:val="17"/>
                <w:szCs w:val="17"/>
                <w:color w:val="auto"/>
              </w:rPr>
            </w:pPr>
          </w:p>
        </w:tc>
        <w:tc>
          <w:tcPr>
            <w:tcW w:w="46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34,896</w:t>
            </w:r>
          </w:p>
        </w:tc>
      </w:tr>
      <w:tr>
        <w:trPr>
          <w:trHeight w:val="216"/>
        </w:trPr>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w:t>
            </w:r>
          </w:p>
        </w:tc>
      </w:tr>
      <w:tr>
        <w:trPr>
          <w:trHeight w:val="234"/>
        </w:trPr>
        <w:tc>
          <w:tcPr>
            <w:tcW w:w="44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(573 )</w:t>
            </w:r>
          </w:p>
        </w:tc>
        <w:tc>
          <w:tcPr>
            <w:tcW w:w="44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(137 )</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40,120</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-719455</wp:posOffset>
            </wp:positionV>
            <wp:extent cx="71323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-445135</wp:posOffset>
            </wp:positionV>
            <wp:extent cx="71323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-161925</wp:posOffset>
            </wp:positionV>
            <wp:extent cx="7132320"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300" w:space="720"/>
            <w:col w:w="6220"/>
          </w:cols>
          <w:pgMar w:left="320" w:top="1093"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maturity of undiscounted payments due under lease liabilities and the present value of those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29,416</w:t>
            </w:r>
          </w:p>
        </w:tc>
        <w:tc>
          <w:tcPr>
            <w:tcW w:w="120" w:type="dxa"/>
            <w:vAlign w:val="bottom"/>
            <w:shd w:val="clear" w:color="auto" w:fill="CFF0FC"/>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29,468</w:t>
            </w:r>
          </w:p>
        </w:tc>
        <w:tc>
          <w:tcPr>
            <w:tcW w:w="120" w:type="dxa"/>
            <w:vAlign w:val="bottom"/>
          </w:tcPr>
          <w:p>
            <w:pPr>
              <w:spacing w:after="0"/>
              <w:rPr>
                <w:sz w:val="18"/>
                <w:szCs w:val="18"/>
                <w:color w:val="auto"/>
              </w:rPr>
            </w:pPr>
          </w:p>
        </w:tc>
      </w:tr>
      <w:tr>
        <w:trPr>
          <w:trHeight w:val="21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28,704</w:t>
            </w:r>
          </w:p>
        </w:tc>
        <w:tc>
          <w:tcPr>
            <w:tcW w:w="120" w:type="dxa"/>
            <w:vAlign w:val="bottom"/>
            <w:shd w:val="clear" w:color="auto" w:fill="CFF0FC"/>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28,158</w:t>
            </w:r>
          </w:p>
        </w:tc>
        <w:tc>
          <w:tcPr>
            <w:tcW w:w="120" w:type="dxa"/>
            <w:vAlign w:val="bottom"/>
          </w:tcPr>
          <w:p>
            <w:pPr>
              <w:spacing w:after="0"/>
              <w:rPr>
                <w:sz w:val="18"/>
                <w:szCs w:val="18"/>
                <w:color w:val="auto"/>
              </w:rPr>
            </w:pPr>
          </w:p>
        </w:tc>
      </w:tr>
      <w:tr>
        <w:trPr>
          <w:trHeight w:val="21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27,314</w:t>
            </w:r>
          </w:p>
        </w:tc>
        <w:tc>
          <w:tcPr>
            <w:tcW w:w="12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151,570</w:t>
            </w:r>
          </w:p>
        </w:tc>
        <w:tc>
          <w:tcPr>
            <w:tcW w:w="120" w:type="dxa"/>
            <w:vAlign w:val="bottom"/>
          </w:tcPr>
          <w:p>
            <w:pPr>
              <w:spacing w:after="0"/>
              <w:rPr>
                <w:sz w:val="18"/>
                <w:szCs w:val="18"/>
                <w:color w:val="auto"/>
              </w:rPr>
            </w:pPr>
          </w:p>
        </w:tc>
      </w:tr>
      <w:tr>
        <w:trPr>
          <w:trHeight w:val="210"/>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294,630</w:t>
            </w:r>
          </w:p>
        </w:tc>
        <w:tc>
          <w:tcPr>
            <w:tcW w:w="120" w:type="dxa"/>
            <w:vAlign w:val="bottom"/>
            <w:shd w:val="clear" w:color="auto" w:fill="CFF0FC"/>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(70,937 )</w:t>
            </w:r>
          </w:p>
        </w:tc>
      </w:tr>
      <w:tr>
        <w:trPr>
          <w:trHeight w:val="250"/>
        </w:trPr>
        <w:tc>
          <w:tcPr>
            <w:tcW w:w="7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223,693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440"/>
        </w:trPr>
        <w:tc>
          <w:tcPr>
            <w:tcW w:w="1026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lease term (in years) and discount rate for operating leases as of December 31, 2024 and 2023:</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6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0" w:type="dxa"/>
            <w:vAlign w:val="bottom"/>
            <w:gridSpan w:val="4"/>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1"/>
        </w:trPr>
        <w:tc>
          <w:tcPr>
            <w:tcW w:w="6040" w:type="dxa"/>
            <w:vAlign w:val="bottom"/>
          </w:tcPr>
          <w:p>
            <w:pPr>
              <w:spacing w:after="0"/>
              <w:rPr>
                <w:sz w:val="19"/>
                <w:szCs w:val="19"/>
                <w:color w:val="auto"/>
              </w:rPr>
            </w:pPr>
          </w:p>
        </w:tc>
        <w:tc>
          <w:tcPr>
            <w:tcW w:w="16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gridSpan w:val="2"/>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7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5.9 %</w:t>
            </w:r>
          </w:p>
        </w:tc>
        <w:tc>
          <w:tcPr>
            <w:tcW w:w="158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r>
      <w:tr>
        <w:trPr>
          <w:trHeight w:val="630"/>
        </w:trPr>
        <w:tc>
          <w:tcPr>
            <w:tcW w:w="766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F-16</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60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-1842135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38" w:name="page139"/>
    <w:bookmarkEnd w:id="138"/>
    <w:p>
      <w:pPr>
        <w:ind w:right="120" w:firstLine="509"/>
        <w:spacing w:after="0" w:line="313" w:lineRule="auto"/>
        <w:rPr>
          <w:sz w:val="20"/>
          <w:szCs w:val="20"/>
          <w:color w:val="auto"/>
        </w:rPr>
      </w:pPr>
      <w:r>
        <w:rPr>
          <w:rFonts w:ascii="Times New Roman" w:cs="Times New Roman" w:eastAsia="Times New Roman" w:hAnsi="Times New Roman"/>
          <w:sz w:val="18"/>
          <w:szCs w:val="18"/>
          <w:color w:val="auto"/>
        </w:rPr>
        <w:t>The following table summarizes the cash paid for amounts included in the measurement of lease liabilities for the years ended December 31, 2024, 2023 and 2022 (in thousands):</w:t>
      </w:r>
    </w:p>
    <w:p>
      <w:pPr>
        <w:spacing w:after="0" w:line="48"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55" w:lineRule="exact"/>
        <w:rPr>
          <w:sz w:val="20"/>
          <w:szCs w:val="20"/>
          <w:color w:val="auto"/>
        </w:rPr>
      </w:pPr>
    </w:p>
    <w:p>
      <w:pPr>
        <w:ind w:left="5800"/>
        <w:spacing w:after="0"/>
        <w:tabs>
          <w:tab w:leader="none" w:pos="7900" w:val="left"/>
          <w:tab w:leader="none" w:pos="100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ectPr>
          <w:pgSz w:w="11900" w:h="16838" w:orient="portrait"/>
          <w:cols w:equalWidth="0" w:num="1">
            <w:col w:w="11200"/>
          </w:cols>
          <w:pgMar w:left="320" w:top="1201" w:right="37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5020" w:val="left"/>
        </w:tabs>
        <w:rPr>
          <w:sz w:val="20"/>
          <w:szCs w:val="20"/>
          <w:color w:val="auto"/>
        </w:rPr>
      </w:pPr>
      <w:r>
        <w:rPr>
          <w:rFonts w:ascii="Times New Roman" w:cs="Times New Roman" w:eastAsia="Times New Roman" w:hAnsi="Times New Roman"/>
          <w:sz w:val="18"/>
          <w:szCs w:val="18"/>
          <w:color w:val="auto"/>
        </w:rPr>
        <w:t>Operating cash flows used in operating leases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Operating lease non-cash items:</w:t>
      </w:r>
    </w:p>
    <w:p>
      <w:pPr>
        <w:spacing w:after="0" w:line="9" w:lineRule="exact"/>
        <w:rPr>
          <w:sz w:val="20"/>
          <w:szCs w:val="20"/>
          <w:color w:val="auto"/>
        </w:rPr>
      </w:pPr>
    </w:p>
    <w:p>
      <w:pPr>
        <w:ind w:left="120" w:right="1040"/>
        <w:spacing w:after="0" w:line="250" w:lineRule="auto"/>
        <w:rPr>
          <w:sz w:val="20"/>
          <w:szCs w:val="20"/>
          <w:color w:val="auto"/>
        </w:rPr>
      </w:pPr>
      <w:r>
        <w:rPr>
          <w:rFonts w:ascii="Times New Roman" w:cs="Times New Roman" w:eastAsia="Times New Roman" w:hAnsi="Times New Roman"/>
          <w:sz w:val="18"/>
          <w:szCs w:val="18"/>
          <w:color w:val="auto"/>
        </w:rPr>
        <w:t>Right-of-use assets increased through lease modifications and reassessments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0" w:right="1160"/>
        <w:spacing w:after="0" w:line="250"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Leasehold improvements paid directly by landlord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(28,949 )  $</w:t>
            </w:r>
          </w:p>
        </w:tc>
        <w:tc>
          <w:tcPr>
            <w:tcW w:w="2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(27,310 )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(17,004 )</w:t>
            </w:r>
          </w:p>
        </w:tc>
      </w:tr>
      <w:tr>
        <w:trPr>
          <w:trHeight w:val="540"/>
        </w:trPr>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525</w:t>
            </w:r>
          </w:p>
        </w:tc>
        <w:tc>
          <w:tcPr>
            <w:tcW w:w="21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2,660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w:t>
            </w:r>
          </w:p>
        </w:tc>
      </w:tr>
      <w:tr>
        <w:trPr>
          <w:trHeight w:val="432"/>
        </w:trPr>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243</w:t>
            </w:r>
          </w:p>
        </w:tc>
        <w:tc>
          <w:tcPr>
            <w:tcW w:w="21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7,552</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5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-1105535</wp:posOffset>
            </wp:positionV>
            <wp:extent cx="38747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880"/>
          </w:cols>
          <w:pgMar w:left="320" w:top="1201" w:right="379" w:bottom="1440" w:gutter="0" w:footer="0" w:header="0"/>
          <w:type w:val="continuous"/>
        </w:sectPr>
      </w:pPr>
    </w:p>
    <w:p>
      <w:pPr>
        <w:spacing w:after="0" w:line="115" w:lineRule="exact"/>
        <w:rPr>
          <w:sz w:val="20"/>
          <w:szCs w:val="20"/>
          <w:color w:val="auto"/>
        </w:rPr>
      </w:pPr>
    </w:p>
    <w:p>
      <w:pPr>
        <w:ind w:left="260" w:right="9160" w:hanging="252"/>
        <w:spacing w:after="0" w:line="400" w:lineRule="auto"/>
        <w:tabs>
          <w:tab w:leader="none" w:pos="185"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Contracts </w:t>
      </w:r>
      <w:r>
        <w:rPr>
          <w:rFonts w:ascii="Times New Roman" w:cs="Times New Roman" w:eastAsia="Times New Roman" w:hAnsi="Times New Roman"/>
          <w:sz w:val="17"/>
          <w:szCs w:val="17"/>
          <w:b w:val="1"/>
          <w:bCs w:val="1"/>
          <w:i w:val="1"/>
          <w:iCs w:val="1"/>
          <w:color w:val="auto"/>
        </w:rPr>
        <w:t>Agreements with Vertex</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purposes of this Note 8 and Note 9, CASGEVY (exagamglogene autotemcel [exa-cel]) is referred to as “CASGEVY”.</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2015 collaboration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2015, the Company entered into a strategic collaboration, option and license agreement, or the 2015 Collaboration Agreement, with Vertex. The 2015 Collaboration Agreement is focused on the use of the Company’s CRISPR/Cas9 gene editing technology to discover and develop potential new treatments aimed at the underlying genetic causes of human disease. The Company and Vertex amended the 2015 Collaboration Agreement in 2017 and 2019 with Amendment No. 1 and Amendment No. 2, respectively, namely to clarify Vertex’s option rights under the 2015 Collaboration Agreement and to modify certain definitions and provisions of the 2015 Collaboration Agreement to make them consistent with the JDA (as defined below) and a strategic collaboration and license agreement from 2019 for the development and commercialization of products for the treatment of Duchenne muscular dystrophy and myotonic dystrophy Type 1. In 2017, Vertex exercised an option granted to it under the 2015 Collaboration Agreement to obtain a co-exclusive license to develop and commercialize hemoglobinopathy and beta-globin targets, and in 2019, Vertex exercised the remaining options granted to it under the 2015 Collaboration Agreement to exclusively license certain collaboration targets developed under the 2015 Collaboration Agreement.</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Hemoglobinopathies collaboration</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2017, following Vertex's exercise of its option to obtain a co-exclusive license to develop and commercialize hemoglobinopathy and beta-globin targets, the Company and Vertex entered into a joint development and commercialization agreement, or the JDA, and agreed for potential hemoglobinopathy treatments, including CASGEVY, the Company and Vertex would share equally all research and development costs and worldwide revenues. In 2021, the Company and Vertex amended and restated the JDA, or the A&amp;R Vertex JDCA (as amended and in effect, from time to time), pursuant to which the parties agreed to, among other things, (a) adjust the governance structure for the collaboration and adjust the responsibilities of each party thereunder, whereby Vertex leads and has all decision making (i.e., control) in relation to the CASGEVY program prospectively; (b) adjust the allocation of net profits and net losses between the parties with respect to CASGEVY only, which will be allocated 40% to the Company and 60% to Vertex, prospectively; and (c) exclusively license (subject to the Company’s reserved rights to conduct certain activities) certain intellectual property rights to Vertex relating to the specified product candidates and products (including CASGEVY) that may be researched, developed, manufactured and commercialized on a worldwide basis under the A&amp;R Vertex JDCA. Additionally, the A&amp;R Vertex JDCA allows the Company to defer a portion of its share of costs under the arrangement if spending on the CASGEVY program exceeds specified amounts through 2024. In December 2023, the Company entered into an amendment to the A&amp;R Vertex JDCA, or Amendment No. 1 to the A&amp;R Vertex JDCA, with Vertex related to the global development, manufacturing, and commercialization of CASGEVY. Pursuant to Amendment No. 1 to the A&amp;R Vertex JDCA, among other things, the Company and Vertex agreed to (a) allocate certain costs arising from a license agreement with a third party, resulting in a current payment due to Vertex by the Company of $20.0 million upon an event specified in Amendment No. 1 to the A&amp;R Vertex JDCA, and (b) adjust, under certain specified circumstances, the timing of and portion of the Company’s share of costs it is permitted to defer under the agreement. Any deferred amounts under the A&amp;R Vertex JDCA, as amended, are only payable to Vertex as an offset against future profitability of the CASGEVY program and the amounts payable are capped at a specified maximum amount per year.</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139" w:name="page140"/>
    <w:bookmarkEnd w:id="139"/>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transaction contemplated by the A&amp;R Vertex JDCA, the Company received a $900.0 million up-front payment from Vertex. Additionally, in December 2023, the Company and Vertex received approval of CASGEVY by the U.S. Food and Drug Administration, or the FDA. The FDA’s approval of CASGEVY triggered Vertex’s obligation to make a $200.0 million milestone payment to the Company.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May 2024, Vertex and the Company entered into a letter agreement, or the Letter Agreement, with respect to the priority review voucher issued by the FDA to Vertex as the sponsor of the rare pediatric disease product application for CASGEVY. Vertex and the Company agreed that if Vertex utilizes or transfers the priority review voucher prior to the first calendar year in which the CASGEVY program generates a net profit, Vertex will pay the Company $43.0 million or an amount equal to 42% of the net proceeds from such transfer, as applicable. If the CASGEVY program begins generating calendar-year net profits prior to such utilization or transfer, Vertex will instead pay the Company up to $43.0 million, set-off by deductions Vertex would otherwise be eligible to take against the CASGEVY program's net profits due to the Company related to amounts deferred previously by the Company.</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Collaboration in the field of diabetes</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2021, the Company and ViaCyte, Inc., or ViaCyte, entered into a joint development and commercialization agreement, or the ViaCyte JDCA, to jointly develop and commercialize product candidates and shared products for the diagnosis, treatment or prevention of diabetes type 1, diabetes type 2 or insulin dependent / requiring diabetes throughout the world. In the third quarter of 2022, Vertex acquired ViaCyte, and ViaCyte became a wholly-owned subsidiary of Vertex. In March 2023, (1) the Company and ViaCyte entered into an amendment to the ViaCyte JDCA, or the ViaCyte JDCA Amendment, and adjusted certain rights and obligations of the Company and ViaCyte under the ViaCyte JDCA, and (2) the Company and Vertex entered into a non-exclusive license agreement, or the Non-Ex License Agreement, pursuant to which the Company agreed to license to Vertex, on a non-exclusive basis, certain of its gene editing intellectual property to exploit certain products for the diagnosis, treatment or prevention of diabetes type 1, diabetes type 2 or insulin dependent / requiring diabetes throughout the world. Subsequently, ViaCyte elected to opt-out of the ViaCyte JDCA. Per the opt-out terms, the on-going collaboration assets are now wholly owned by the Company, subject to a royalty on future sales owed to ViaCyte. The opt-out became effective in February 2024.</w:t>
      </w:r>
    </w:p>
    <w:p>
      <w:pPr>
        <w:spacing w:after="0" w:line="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entering into the Non-Ex License Agreement in 2023, the Company received a $100.0 million up front payment from Vertex and subsequently received a $70.0 million research milestone achieved in the second quarter of 2023. In 2024, the Company received a $10.0 million research milestone achieved in the fourth quarter of 2024 and recorded a receivable of $25.0 million as of December 31, 2024 related to an additional research milestone achieved under the Non-Ex License Agreement in the fourth quarter of 2024. The Company is eligible to receive additional milestone payments under the Non-Ex License Agreement of $125.0 million in aggregate, which are dependent on the achievement of pre-determined research, development and commercial milestones for certain products utilizing the licensed intellectual property. Additionally, the Company is eligible to receive tiered royalties on the sales of certain products in the low to mid-single digits.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0" w:name="page141"/>
    <w:bookmarkEnd w:id="140"/>
    <w:p>
      <w:pPr>
        <w:ind w:left="260"/>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purposes of this Note 8, the 2015 Collaboration Agreement, Amendment No. 1, Amendment No. 2, A&amp;R Vertex JDCA, and Amendment No. 1 to the A&amp;R Vertex JDCA are collectively referred to as the “Vertex Hemoglobinopathy Agreements” and the Non-Ex License Agreement and ViaCyte JDCA Amendment are collectively referred to as the “March 2023 Diabetes Agreements.”</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Vertex Hemoglobinopathy Agreements and the March 2023 Diabetes Agreements include components of a customer-vendor relationship as defined under ASC 606, collaborative arrangements as defined under ASC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or ASC 808, and research and development costs as defined under ASC 730</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 xml:space="preserve"> or ASC 730. Specifically, with regards to the March 2023 Diabetes Agreements, the Company concluded that the non-exclusive license is a performance obligation under ASC 606 and the ongoing research and development services under the ViaCyte JDCA Amendment are a unit of account under ASC 808.</w:t>
      </w:r>
    </w:p>
    <w:p>
      <w:pPr>
        <w:spacing w:after="0" w:line="7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recognition criteria for the Letter Agreement has not been met and will not be met until the priority review voucher is (i) utilized or (ii) there is sufficient profitability such that Vertex is obligated to pay the Company under the Letter Agreement.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 Under ASC 606</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March 2023 Diabetes Agreements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11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March 2023 Diabetes Agreements were negotiated as a package with a single commercial objective and, as such, the March 2023 Diabetes Agreements were combined for accounting purposes and treated as a single arrangement. The Company determined for accounting purposes that the combined contract terminated the original ViaCyte JDCA and created a new contract.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Identification of Performance Obligations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concluded the transfer of the non-exclusive license, including certain modified rights and obligations provided as part of the ViaCyte JDCA Amendment to support the delivery of the license, was both capable of being distinct and distinct within the context of the contract.</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Transaction Price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transaction price was comprised of the upfront payment of $100.0 million.</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second quarter of 2023, the Company adjusted the transaction price to include $70.0 million in previously constrained variable consideration related to a research milestone which was achieved in the second quarter of 2023. In the fourth quarter of 2024, the Company adjusted the transaction price to include $35.0 million in previously constrained variable considerations related to two research milestones that were achieved in the fourth quarter of 2024. The Company determined that all other possible variable consideration resulting from milestones and royalties discussed below was fully constrained as of December 31, 2024. The Company will re-evaluate the transaction price in each reporting period.</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Allocation of Transaction Price to Performance Obligations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identified one performance obligation for the March 2023 Diabetes Agreements and, as a result, no allocation of the transaction price was required.</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non-exclusive license, including certain modified rights and obligations provided as part of the ViaCyte JDCA Amendment to support the delivery of the license, represented functional intellectual property, as the intellectual property provides Vertex with the ability to perform a function or task in the form of research and development in the field of diabetes. In 2023, the Company recognized revenue of $100.0 million for the non-exclusive license at the onset of the arrangement, as this was the point in time in which the non-exclusive license was delivered, as well as revenue of $70.0 million from previously constrained variable consideration related to a research milestone achieved in the second quarter of 2023. Revenue recognized under the March 2023 Diabetes Agreements for the year ended December 31, 2023 was $170.0 million.</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Revenue recognized under the March 2023 Diabetes Agreements for year ended December 31, 2024 was $35.0 million and related to previously constrained variable consideration related to two research milestones achieved during the fourth quarter of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41" w:name="page142"/>
    <w:bookmarkEnd w:id="141"/>
    <w:p>
      <w:pPr>
        <w:ind w:left="260"/>
        <w:spacing w:after="0"/>
        <w:rPr>
          <w:sz w:val="20"/>
          <w:szCs w:val="20"/>
          <w:color w:val="auto"/>
        </w:rPr>
      </w:pPr>
      <w:r>
        <w:rPr>
          <w:rFonts w:ascii="Times New Roman" w:cs="Times New Roman" w:eastAsia="Times New Roman" w:hAnsi="Times New Roman"/>
          <w:sz w:val="18"/>
          <w:szCs w:val="18"/>
          <w:i w:val="1"/>
          <w:iCs w:val="1"/>
          <w:color w:val="auto"/>
        </w:rPr>
        <w:t>Milestones under the Non-Ex License Agreement</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is eligible to receive potential future milestone payments from Vertex of up to $125.0 million in the aggregate under the Non-Ex License Agreement depending on the achievement of pre-determined research, development and commercial milestones for certain products utilizing the licensed intellectual property. Additionally, the Company is eligible to receive tiered royalties on the sales of certain products in the low to mid-single digits.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Each of the remaining milestones under the Non-Ex License Agreement are fully constrained as of December 31, 2024. There is uncertainty as to whether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Accounting for the Vertex Hemoglobinopathy Agreements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under the Vertex Hemoglobinopathy Agreements for the year ended December 31, 2023 was $200.0 million of previously constrained variable consideration related to a milestone that was achieved upon approval of CASGEVY by the Food and Drug Administration, or FDA, in December 2023. No revenue was recognized under the Vertex Hemoglobinopathy Agreements for the year ended December 31, 2024.</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there was no current deferred revenue related to the Vertex Hemoglobinopathy Agreements. As of December 31, 2024 and 2023, there was $12.3 million of non-current deferred revenue related to the Vertex Hemoglobinopathy Agreements. The transaction price allocated to the remaining performance obligations was $12.3 million.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Milestones under the Vertex Hemoglobinopathy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evaluated the milestones that may be received in connection with the Vertex Hemoglobinopathy Agreements.</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Under the 2015 Collaboration Agreement and subsequent amendments, the Company is eligible to receive up to $410.0 million in additional development, regulatory and commercial milestones and royalties on net product sales for each of the three collaboration targets that Vertex licensed in 2019. Each milestone is payable only once per collaboration target, regardless of the number of products directed to such collaboration target that achieve the relevant milestone event.</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is eligible to receive potential future payments of up to $775.0 million under a strategic collaboration and license agreement from 2019 for the development and commercialization of products for the treatment of Duchenne muscular dystrophy and myotonic dystrophy Type 1. The Company is also eligible to receive tiered royalties on future net sales on any products that may result from this collaboration; however, the Company has the option to forego the DM1 milestones and royalties to co-develop and co-commercialize all DM1 products globally.</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the option to conduct research at its own cost in certain defined areas. If such research is beneficial to the CASGEVY program and CASGEVY ultimately achieves regulatory approval in such areas, the Company could be entitled to receive from Vertex certain milestone payments aggregating to high eight digits.</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Each of the remaining milestones described above are fully constrained as of December 31, 2024. There is uncertainty that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42" w:name="page143"/>
    <w:bookmarkEnd w:id="14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Accounting Analysis under ASC 808</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Vertex Hemoglobinopathy Agreements</w:t>
      </w:r>
    </w:p>
    <w:p>
      <w:pPr>
        <w:spacing w:after="0" w:line="119"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Vertex Hemoglobinopathy Agreements, the Company identified the following collaborative elements, which are accounted for under ASC 808: (i) development and commercialization services for shared products, including any transition services related to CASGEVY under the A&amp;R Vertex JDCA; (ii) R&amp;D Services for follow-on products; and (iii) committee participation. The related impact of the cost sharing is included within collaboration expense, net, in the consolidated statements of operations and comprehensive loss.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$110.3 million, $130.3 million and $110.3 million of collaboration expense, net, related to the CASGEVY program, respectively. Collaboration expense, net, during the years ended December 31, 2024, 2023 and 2022 was net of $3.2 million, $18.0 million and $37.8 million of reimbursements from Vertex related to the CASGEVY program, respectively.</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A&amp;R Vertex JDCA, the Company has an option to defer its portion of specified costs on the CASGEVY program in excess of $110.3 million for the years ended December 31, 2022, 2023 and 2024. Additionally, the Company is permitted, under certain specified circumstances as set forth in Amendment No. 1 to the A&amp;R Vertex JDCA, to adjust the timing of and portion of the Company's share of costs it is permitted to defer. The $110.3 million does not include a $20.0 million payment to Vertex recognized in the fourth quarter of 2023 and paid in the first quarter of 2024 in connection with Amendment No. 1 to the A&amp;R Vertex JDCA. In 2024, 2023 and 2022, the Company exercised its option to defer specified costs on the CASGEVY program in excess of the deferral limit under A&amp;R Vertex JDCA, as amended, which is further described in Note 9 of the notes to the consolidated financial statements included in this Annual Report on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Agreements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Charpentier License Agreements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April 2014, the Company entered into certain technology license agreements with Dr. Emmanuelle Charpentier pursuant to which the Company licensed certain intellectual property rights under joint ownership from Dr. Charpentier to develop and commercialize products for the treatment or prevention of human diseases. In connection therewith, Dr. Charpentier is entitled to receive nominal clinical milestone payments, low single digit percentage of sublicensing payments received under any sublicense agreement with a third party, and low single-digit percentage royalties based on annual net sales of licensed products and services by the Company and its affiliates and sublicensees. The Company paid an immaterial amount of fees to Dr. Charpentier under the Charpentier License Agreements.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Manufacturing and License Agreements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engaged several research institutions and companies to identify new delivery strategies and applications of the Company’s gene editing technology. The Company is also a party to a number of license agreements which require significant upfront payments and may be required to make future royalty payments and potential milestone payments from time to time. In addition, the Company is also a party to intellectual property agreements, which require maintenance and milestone payments from time to time. Further, the Company is a party to a number of manufacturing agreements that require upfront payments for the future performance of services.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these agreements, on a product-by-product basis, the counterparties are eligible to receive up to low eight-digit potential payments upon specified research, development and regulatory milestones. In addition, on a product-by-product basis, the counterparties are eligible to receive potential commercial milestone payments based on specified annual sales thresholds. The potential payments are low-single digit percentages of the specified annual sales thresholds. The counterparties are also eligible to receive low single-digit royalties on future net sales.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certain circumstances and if certain contingent future events occur, Vertex is eligible to receive up to $395.0 million in potential specified research, development, regulatory and commercial milestones and tiered single-digit percentage royalties on future net sales related to a specified target under an amendment to the 2015 Collaboration Agreement (as such term is defined in Note 8 above). In addition, Vertex has the option to conduct research at its own cost in certain defined areas that, if beneficial to the CASGEVY program and ultimately achieves regulatory approval, could result in the Company owing Vertex certain milestone payments aggregating to high eight digits, subject to certain limitations on the profitability of the CASGEVY program.</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A&amp;R Vertex JDCA, the Company has an option to defer specified costs on the CASGEVY program in excess of $110.3 million for the years ended December 31, 2022, 2023 and 2024. The $110.3 million for 2023 does not include amounts attributable to our share of certain costs arising from a license agreement between Vertex and a third party, which we agreed to pay to Vertex upon the occurrence of an event specified in Amendment No. 1 to the A&amp;R Vertex JDCA.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3" w:name="page144"/>
    <w:bookmarkEnd w:id="143"/>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2024, 2023 and 2022, the Company exercised its option to defer specified costs on the CASGEVY program in excess of the deferral limit under A&amp;R Vertex JDCA, as amended, resulting in deferred costs of $102.8 million, $80.9 million and $36.1 million, respectively. Any deferred amounts are only payable to Vertex as an offset against future profitability of the CASGEVY program and the amounts payable are capped at a specified maximum amount per year. These deferred costs on the CASGEVY program will be recognized by us when recoverability of such deferred amounts by Vertex is probable and the amount can be reasonably estimated. As of December 31, 2024, no contingent payments have been accrued to date. The Company's arrangements with Vertex are further described in Note 8 of the notes to the consolidated financial statements included in this Annual Report on Form 10-K.</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the ordinary course of business, the Company is from time to time involved in lawsuits, investigations, proceedings and threats of litigation related to, among other things, the Company’s intellectual property estate (including certain in-licensed intellectual property), commercial arrangements and other matters. Such proceedings may include quasi-litigation,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administrative proceedings in the U.S. Patent and Trademark Office, the European Patent Office and patent offices in other countries involving the Company’s intellectual property estate including certain in-licensed intellectual property. The outcome of any of the foregoing is inherently uncertain. In addition, litigation and related matters are costly and may divert the attention of Company’s management and other resources that would otherwise be engaged in other activities. If the Company is unable to prevail in any such proceedings, the Company’s business, results of operations, liquidity and financial condition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 Capital</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All of the Company's common shares are issued under Swiss corporate law with a nominal value of 0.03 CHF per share. Though the nominal value of common shares is stated in Swiss francs, the Company continues to use U.S. dollars as its reporting currency for preparing the consolidated financial statements.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Company's share capital consists of 88,517,810 registered common shares with a nominal value of CHF 0.03 per share, 8,202,832 registered common shares reserved for potential issuance of bonds or similar instruments and 20,925,932 registered common shares reserved for the Company's employee equity incentive plans. In addition, our board of directors is authorized to conduct one or more increases of the share capital at any time until June 8, 2028, or the expiration of the capital band if earlier, up to an upper limit of CHF 3,100,452.06 by issuing a corresponding number of registered shares with a nominal value of CHF 0.03 each to be fully paid in. As of December 31, 2024, the number of shares that may be issued under the capital band is 14,830,592 registered common shares.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Share Issuances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26" w:lineRule="exact"/>
        <w:rPr>
          <w:sz w:val="20"/>
          <w:szCs w:val="20"/>
          <w:color w:val="auto"/>
        </w:rPr>
      </w:pPr>
    </w:p>
    <w:p>
      <w:pPr>
        <w:ind w:right="20" w:firstLine="509"/>
        <w:spacing w:after="0" w:line="227" w:lineRule="auto"/>
        <w:rPr>
          <w:sz w:val="20"/>
          <w:szCs w:val="20"/>
          <w:color w:val="auto"/>
        </w:rPr>
      </w:pPr>
      <w:r>
        <w:rPr>
          <w:rFonts w:ascii="Times New Roman" w:cs="Times New Roman" w:eastAsia="Times New Roman" w:hAnsi="Times New Roman"/>
          <w:sz w:val="18"/>
          <w:szCs w:val="18"/>
          <w:color w:val="auto"/>
        </w:rPr>
        <w:t>In August 2019,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or Jefferies, under which the Company was able to offer and sell, from time to time at its sole discretion through Jefferies, as its sales agent, its common shares, or the August 2019 Sales Agreement.</w:t>
      </w:r>
    </w:p>
    <w:p>
      <w:pPr>
        <w:spacing w:after="0" w:line="90"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8"/>
          <w:szCs w:val="18"/>
          <w:color w:val="auto"/>
        </w:rPr>
        <w:t>In January 2021, in connection with the August 2019 Sales Agreement, the Company filed a prospectus supplement with the U.S. Securities and Exchange Commission, or SEC, to offer and sell, from time to time, common shares having aggregate gross proceeds of up to $600.0 million. In August 2024, the Company filed a new prospectus supplement with the SEC, which replaced the previous prospectus supplements filed in January 2021 and July 2021, respectively, to offer and sell, from time to time, the common shares remaining under the original prospectus supplement and July 2021 prospectus supplement having aggregate gross proceeds of up to $378.6 million, or, together with the January 2021 prospectus supplement and July 2021 prospectus supplement, the 2021 ATM.</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2022, the sale of common shares pursuant to the 2021 ATM was not significant.</w:t>
      </w:r>
    </w:p>
    <w:p>
      <w:pPr>
        <w:spacing w:after="0" w:line="117"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In 2023, the Company issued and sold 0.5 million common shares at an average price of $72.32 per share for aggregate proceeds of $32.7 million, which were net of equity issuance costs of $0.4 million. An additional $0.3 million of stamp taxes related to this amount was paid in 2023.</w:t>
      </w:r>
    </w:p>
    <w:p>
      <w:pPr>
        <w:spacing w:after="0" w:line="54"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In 2024, the Company issued and sold 0.4 million common shares at an average price of $55.81 per share for aggregate proceeds of $21.7 million, which were net of equity issuance costs of $0.3 million. An additional $0.2 million of stamp taxes related to this amount was paid in 2024.</w:t>
      </w:r>
    </w:p>
    <w:p>
      <w:pPr>
        <w:spacing w:after="0" w:line="54"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common shares having aggregate gross proceeds up to $363.7 million remain under the 2021 ATM, and the Company has issued and sold an aggregate of 1.9 million common shares at an average price of $122.73 per share for aggregate proceeds of $233.2 million, which were net of equity issuance costs of $3.1 million, excluding stamp tax.</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44" w:name="page145"/>
    <w:bookmarkEnd w:id="144"/>
    <w:p>
      <w:pPr>
        <w:ind w:left="260"/>
        <w:spacing w:after="0"/>
        <w:rPr>
          <w:sz w:val="20"/>
          <w:szCs w:val="20"/>
          <w:color w:val="auto"/>
        </w:rPr>
      </w:pPr>
      <w:r>
        <w:rPr>
          <w:rFonts w:ascii="Times New Roman" w:cs="Times New Roman" w:eastAsia="Times New Roman" w:hAnsi="Times New Roman"/>
          <w:sz w:val="18"/>
          <w:szCs w:val="18"/>
          <w:i w:val="1"/>
          <w:iCs w:val="1"/>
          <w:color w:val="auto"/>
        </w:rPr>
        <w:t>Additional Financings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entered into an investment agreement for the sale of approximately $280.0 million of its common shares to a group of institutional investors in a registered direct offering, at a price per share of $71.50. The Company received net proceeds of $279.0 million, excluding stamp taxes due of $2.8 million.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Common Share Characteristics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Common Shares have the following characteristics: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holders of common shares are entitled to one vote for each common share held at all meetings of shareholders.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holders of common shares are entitled to receive dividends, if and when resolved upon by the general meeting of shareholders based on a respective proposal by our board of directors and provided that the Company disposes of sufficient freely distributable reserves. As of December 31, 2024, no dividends have been declared or paid since the Company’s inception.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common shares are entitled to share ratably in the Company’s assets available for distribution to shareholders in the event of any voluntary or involuntary liquidation, dissolution or winding up of the Company or upon the occurrence of a deemed liquidation event.</w:t>
      </w:r>
    </w:p>
    <w:p>
      <w:pPr>
        <w:spacing w:after="0" w:line="266" w:lineRule="exact"/>
        <w:rPr>
          <w:sz w:val="20"/>
          <w:szCs w:val="20"/>
          <w:color w:val="auto"/>
        </w:rPr>
      </w:pPr>
    </w:p>
    <w:p>
      <w:pPr>
        <w:ind w:left="260" w:right="8780" w:hanging="252"/>
        <w:spacing w:after="0" w:line="378" w:lineRule="auto"/>
        <w:tabs>
          <w:tab w:leader="none" w:pos="275"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Equity-based Compensation </w:t>
      </w:r>
      <w:r>
        <w:rPr>
          <w:rFonts w:ascii="Times New Roman" w:cs="Times New Roman" w:eastAsia="Times New Roman" w:hAnsi="Times New Roman"/>
          <w:sz w:val="18"/>
          <w:szCs w:val="18"/>
          <w:b w:val="1"/>
          <w:bCs w:val="1"/>
          <w:i w:val="1"/>
          <w:iCs w:val="1"/>
          <w:color w:val="auto"/>
        </w:rPr>
        <w:t>Option and Grant Plans</w:t>
      </w: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In April 2015, the Company’s shareholders approved the 2015 Stock Option and Grant Plan, or the 2015 Plan, and in July 2016, the Company’s shareholders approved the 2016 Stock Option and Incentive Plan, or the 2016 Plan. In May 2018, the Company’s shareholders approved the 2018 Stock Option and Incentive Plan, or the 2018 Plan (collectively, the “Plans”). Subsequent to the IPO, no further options were granted under the 2015 Plan. The Plans provide for the issuance of equity awards in the form of restricted shares, options to purchase common shares which may constitute incentive stock options, or ISOs, or non-statutory stock options, or NSOs, unrestricted stock unit grants, and qualified performance and market-based awards to eligible employees, officers, directors, non-employee consultants and other key personnel. Terms of the equity awards, including vesting requirements, are determined by our board of directors, subject to the provisions of the Plans. Options granted by the Company typically vest over four years and have a contractual life of ten years. Restricted stock unit grants typically vest over two to four years. At December 31, 2024, the Company had 29,405,365 common shares authorized for issuance under the 2018 Plan and 9,536,673 common shares available for future grant under the 2018 Plan.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right="20" w:firstLine="509"/>
        <w:spacing w:after="0" w:line="222" w:lineRule="exact"/>
        <w:rPr>
          <w:sz w:val="20"/>
          <w:szCs w:val="20"/>
          <w:color w:val="auto"/>
        </w:rPr>
      </w:pPr>
      <w:r>
        <w:rPr>
          <w:rFonts w:ascii="Times New Roman" w:cs="Times New Roman" w:eastAsia="Times New Roman" w:hAnsi="Times New Roman"/>
          <w:sz w:val="18"/>
          <w:szCs w:val="18"/>
          <w:color w:val="auto"/>
        </w:rPr>
        <w:t>The Company recognized stock-based compensation expense totaling $86.6 million, $81.0 million, and $97.9 million during the years ended December 31, 2024, 2023 and 2022, respectively.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classification within the consolidated statements of operations and comprehensive loss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47,944</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53,956</w:t>
            </w: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38,623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43,991</w:t>
            </w:r>
          </w:p>
        </w:tc>
        <w:tc>
          <w:tcPr>
            <w:tcW w:w="12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86,567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97,947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$81.4 million and $95.5 million of unrecognized compensation expense related to unvested stock options and restricted stock units, respectively, that is expected to be recognized over a weighted-average period of 2.6 and 2.8 years,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45" w:name="page146"/>
    <w:bookmarkEnd w:id="14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issued to employees was estimated at the date of grant using the Black-Scholes option pricing model with the following weighted-average assumptions: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1,566,536</w:t>
            </w:r>
          </w:p>
        </w:tc>
        <w:tc>
          <w:tcPr>
            <w:tcW w:w="3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1,860,485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1,492,589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exercise price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62.40</w:t>
            </w:r>
          </w:p>
        </w:tc>
        <w:tc>
          <w:tcPr>
            <w:tcW w:w="320" w:type="dxa"/>
            <w:vAlign w:val="bottom"/>
          </w:tcPr>
          <w:p>
            <w:pPr>
              <w:spacing w:after="0"/>
              <w:rPr>
                <w:sz w:val="18"/>
                <w:szCs w:val="18"/>
                <w:color w:val="auto"/>
              </w:rPr>
            </w:pP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45.47</w:t>
            </w: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38.63</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28.39</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Assumptions: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63.9 %</w:t>
            </w:r>
          </w:p>
        </w:tc>
        <w:tc>
          <w:tcPr>
            <w:tcW w:w="86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65.1 %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70.2 %</w:t>
            </w: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4"/>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4.2 %</w:t>
            </w:r>
          </w:p>
        </w:tc>
        <w:tc>
          <w:tcPr>
            <w:tcW w:w="86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0.0 %</w:t>
            </w:r>
          </w:p>
        </w:tc>
        <w:tc>
          <w:tcPr>
            <w:tcW w:w="86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414"/>
        </w:trPr>
        <w:tc>
          <w:tcPr>
            <w:tcW w:w="9600" w:type="dxa"/>
            <w:vAlign w:val="bottom"/>
            <w:gridSpan w:val="14"/>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equity award plans (intrinsic value in thousands):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6"/>
            <w:vMerge w:val="restart"/>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6"/>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8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6"/>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7,204,372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115,681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1,566,536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62.40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(900,136 )</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or forfeited</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(581,889 )</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7,288,883</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4,851,838</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58.64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7,288,883</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58.07</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14,050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-925195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-908050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-925195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-908050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-925195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-908050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-350520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-333375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-350520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-333375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-333375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(the amount by which the fair market value exceeded the exercise price) of stock options exercised during the year ended December 31, 2024, 2023 and 2022 was $32.2 million, $13.9 million, and $40.8 million, respectively.</w:t>
      </w:r>
    </w:p>
    <w:p>
      <w:pPr>
        <w:spacing w:after="0" w:line="54" w:lineRule="exact"/>
        <w:rPr>
          <w:sz w:val="20"/>
          <w:szCs w:val="20"/>
          <w:color w:val="auto"/>
        </w:rPr>
      </w:pPr>
    </w:p>
    <w:p>
      <w:pPr>
        <w:jc w:val="both"/>
        <w:ind w:right="7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options to purchase 1,085,467 common shares subject to performance-based vesting conditions were vested, as performance conditions were satisfied in prior years, and there were no options to purchase common shares subject to performance-based vesting conditions outstanding. Activity related to stock options subject to performance-based vesting conditions is included in the table above.</w:t>
      </w:r>
    </w:p>
    <w:p>
      <w:pPr>
        <w:spacing w:after="0" w:line="6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options to purchase 150,000 common shares subject to market-based vesting conditions were vested, as market conditions were satisfied in prior years. 100,000 options to purchase common shares subject to market-based vesting conditions were outstanding as of December 31, 2024.</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grant stock options subject to performance-based or market-based vesting conditions during 2024, 2023, and 2022.</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under the Company’s equity award plans: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8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1,781,415</w:t>
            </w: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1,284,894</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(450,701 )</w:t>
            </w:r>
          </w:p>
        </w:tc>
        <w:tc>
          <w:tcPr>
            <w:tcW w:w="4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(217,965 )</w:t>
            </w:r>
          </w:p>
        </w:tc>
        <w:tc>
          <w:tcPr>
            <w:tcW w:w="4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2024</w:t>
            </w:r>
          </w:p>
        </w:tc>
        <w:tc>
          <w:tcPr>
            <w:tcW w:w="148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2,397,643</w:t>
            </w:r>
          </w:p>
        </w:tc>
        <w:tc>
          <w:tcPr>
            <w:tcW w:w="3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762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F-24</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-933450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-916305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6" w:name="page147"/>
    <w:bookmarkEnd w:id="146"/>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total fair value of restricted stock units vested was $30.0 million, $14.1 million, and $14.3 million, respectively.</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2022, the Company granted 150,000 performance stock units with market-based vesting conditions in which the recipient is eligible to receive between zero and 150,000 common shares at the end of a three-year service period based upon achieving a specified average stock price. Expense for these awards is being recognized over the requisite service period. As of December 31, 2024, 150,000 of the performance stock units were unvested. Activity related to stock units subject to market-based vesting conditions is included in the table above.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grant restricted stock units subject to performance-based or market-based vesting conditions during 2024 and 2023.</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July 19, 2016, our board of directors adopted its 2016 Employee Stock Purchase Plan, or the ESPP Plan, which was subsequently approved by its shareholders and became effective on October 19, 2016. The ESPP Plan authorizes the initial issuance of up to a total of 413,226 shares of the Company’s common stock to participating employees. The Company activated its ESPP Plan on January 1, 2020. The Company issued 37,245, 53,282, and 36,559 shares under the ESPP Plan during the years ended December 31, 2024,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Common Shareholders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shareholders by the weighted-average number of common shares outstanding during the period. Diluted net loss per share is calculated by adjusting weighted-average shares outstanding for the dilutive effect of common stock equivalents outstanding for the period using the treasury stock method. For purposes of the diluted net loss per share calculation, stock options, unvested restricted common shares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 The Company’s net loss is net loss attributable to common shareholders for all periods presented.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include the securities in the following table in the computation of the net loss per share calculations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because the effect would have been anti-dilutive during each period: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3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38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10"/>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options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7,288,883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7,204,372</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7,230,233</w:t>
            </w:r>
          </w:p>
        </w:tc>
        <w:tc>
          <w:tcPr>
            <w:tcW w:w="12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Unvested restricted common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2,397,643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1,781,415</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1,325,185</w:t>
            </w:r>
          </w:p>
        </w:tc>
        <w:tc>
          <w:tcPr>
            <w:tcW w:w="120" w:type="dxa"/>
            <w:vAlign w:val="bottom"/>
          </w:tcPr>
          <w:p>
            <w:pPr>
              <w:spacing w:after="0"/>
              <w:rPr>
                <w:sz w:val="18"/>
                <w:szCs w:val="18"/>
                <w:color w:val="auto"/>
              </w:rPr>
            </w:pPr>
          </w:p>
        </w:tc>
      </w:tr>
      <w:tr>
        <w:trPr>
          <w:trHeight w:val="216"/>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ESPP</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9,706,048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9,001,813</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8,574,523</w:t>
            </w:r>
          </w:p>
        </w:tc>
        <w:tc>
          <w:tcPr>
            <w:tcW w:w="12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Savings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defined-contribution savings plan under Section 401(k) of the Internal Revenue Code, or the “401(k) Plan”, in November 2016. The 401(k) Plan covers all employees who meet defined minimum age and service requirements and allows participants to defer a portion of their annual compensation on a pretax basis. The Company contributed $2.7 million, $3.0 million, and $3.2 million to the 401(k) Plan for the years ended December 31, 2024,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and various state corporate income taxes as well as taxes in foreign jurisdictions for the foreign parent and where foreign subsidiaries have been established.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 before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net loss before income taxes consist of the following (in thousands):</w:t>
      </w:r>
    </w:p>
    <w:p>
      <w:pPr>
        <w:spacing w:after="0" w:line="11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7620</wp:posOffset>
            </wp:positionV>
            <wp:extent cx="22713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ind w:left="6840"/>
        <w:spacing w:after="0"/>
        <w:tabs>
          <w:tab w:leader="none" w:pos="8060" w:val="left"/>
          <w:tab w:leader="none" w:pos="9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-3175</wp:posOffset>
            </wp:positionV>
            <wp:extent cx="22713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7" w:name="page148"/>
    <w:bookmarkEnd w:id="147"/>
    <w:tbl>
      <w:tblPr>
        <w:tblLayout w:type="fixed"/>
        <w:tblInd w:w="520" w:type="dxa"/>
        <w:tblCellMar>
          <w:top w:w="0" w:type="dxa"/>
          <w:left w:w="0" w:type="dxa"/>
          <w:bottom w:w="0" w:type="dxa"/>
          <w:right w:w="0" w:type="dxa"/>
        </w:tblCellMar>
      </w:tblPr>
      <w:tr>
        <w:trPr>
          <w:trHeight w:val="229"/>
        </w:trPr>
        <w:tc>
          <w:tcPr>
            <w:tcW w:w="62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16"/>
        </w:trPr>
        <w:tc>
          <w:tcPr>
            <w:tcW w:w="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(403,897 )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(181,079 )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(651,821 )</w:t>
            </w:r>
          </w:p>
        </w:tc>
      </w:tr>
      <w:tr>
        <w:trPr>
          <w:trHeight w:val="20"/>
        </w:trPr>
        <w:tc>
          <w:tcPr>
            <w:tcW w:w="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(362,665 )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(150,722 )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(650,500 )</w:t>
            </w:r>
          </w:p>
        </w:tc>
      </w:tr>
      <w:tr>
        <w:trPr>
          <w:trHeight w:val="20"/>
        </w:trPr>
        <w:tc>
          <w:tcPr>
            <w:tcW w:w="620" w:type="dxa"/>
            <w:vAlign w:val="bottom"/>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42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 of the following (in thousands):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6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42"/>
        </w:trPr>
        <w:tc>
          <w:tcPr>
            <w:tcW w:w="6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(444 )</w:t>
            </w:r>
          </w:p>
        </w:tc>
      </w:tr>
      <w:tr>
        <w:trPr>
          <w:trHeight w:val="216"/>
        </w:trPr>
        <w:tc>
          <w:tcPr>
            <w:tcW w:w="620" w:type="dxa"/>
            <w:vAlign w:val="bottom"/>
          </w:tcPr>
          <w:p>
            <w:pPr>
              <w:spacing w:after="0"/>
              <w:rPr>
                <w:sz w:val="18"/>
                <w:szCs w:val="18"/>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(1,479 )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(994 )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(241 )</w:t>
            </w:r>
          </w:p>
        </w:tc>
      </w:tr>
      <w:tr>
        <w:trPr>
          <w:trHeight w:val="216"/>
        </w:trPr>
        <w:tc>
          <w:tcPr>
            <w:tcW w:w="62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(4,071 )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(3,312 )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(685 )</w:t>
            </w:r>
          </w:p>
        </w:tc>
      </w:tr>
      <w:tr>
        <w:trPr>
          <w:trHeight w:val="216"/>
        </w:trPr>
        <w:tc>
          <w:tcPr>
            <w:tcW w:w="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FF0FC"/>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tcPr>
          <w:p>
            <w:pPr>
              <w:spacing w:after="0"/>
              <w:rPr>
                <w:sz w:val="18"/>
                <w:szCs w:val="18"/>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 w:type="dxa"/>
            <w:vAlign w:val="bottom"/>
          </w:tcPr>
          <w:p>
            <w:pPr>
              <w:spacing w:after="0"/>
              <w:rPr>
                <w:sz w:val="18"/>
                <w:szCs w:val="18"/>
                <w:color w:val="auto"/>
              </w:rPr>
            </w:pPr>
          </w:p>
        </w:tc>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top w:val="single" w:sz="8" w:color="CFF0FC"/>
            </w:tcBorders>
          </w:tcPr>
          <w:p>
            <w:pPr>
              <w:spacing w:after="0"/>
              <w:rPr>
                <w:sz w:val="18"/>
                <w:szCs w:val="18"/>
                <w:color w:val="auto"/>
              </w:rPr>
            </w:pPr>
          </w:p>
        </w:tc>
      </w:tr>
      <w:tr>
        <w:trPr>
          <w:trHeight w:val="229"/>
        </w:trPr>
        <w:tc>
          <w:tcPr>
            <w:tcW w:w="6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(3,587 )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(2,888 )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5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4923155</wp:posOffset>
            </wp:positionH>
            <wp:positionV relativeFrom="page">
              <wp:posOffset>637540</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page">
              <wp:posOffset>5746115</wp:posOffset>
            </wp:positionH>
            <wp:positionV relativeFrom="page">
              <wp:posOffset>637540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637540</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-2117090</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-2117090</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-2117090</wp:posOffset>
            </wp:positionV>
            <wp:extent cx="596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-316865</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-316865</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-316865</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03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income tax expense computed at the statutory corporate income tax rate to the effective income tax rate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is as follows: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10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10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10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11.9 %</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11.9 %</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1.1 %</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0.0 %</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(1.0 )%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to U.S. GAAP permanent differences</w:t>
            </w: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0.0 %</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0.0 %</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(0.4 )%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deferred rate change</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(0.1 )%</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2.7 %</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(15.2 )%</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(17.2 )%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Rate Items</w:t>
            </w: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0.0 %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(1.0 %)</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(1.9 %)</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-25400</wp:posOffset>
            </wp:positionV>
            <wp:extent cx="15430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1543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15430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15430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15430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1543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federal statutory rate reflects the Switzerland mixed company service rate.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are comprised of the following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178,061</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2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65,177</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2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credit</w:t>
            </w:r>
          </w:p>
        </w:tc>
        <w:tc>
          <w:tcPr>
            <w:tcW w:w="2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74,012</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307,783</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(282,739 )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(227,615 )</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72,745</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80,168</w:t>
            </w:r>
          </w:p>
        </w:tc>
        <w:tc>
          <w:tcPr>
            <w:tcW w:w="10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(34,078 )</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(38,725 )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assets</w:t>
            </w:r>
          </w:p>
        </w:tc>
        <w:tc>
          <w:tcPr>
            <w:tcW w:w="2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(38,845 )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(42,058 )</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68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80" w:type="dxa"/>
            <w:vAlign w:val="bottom"/>
            <w:gridSpan w:val="2"/>
          </w:tcPr>
          <w:p>
            <w:pPr>
              <w:jc w:val="right"/>
              <w:ind w:right="1440"/>
              <w:spacing w:after="0"/>
              <w:rPr>
                <w:sz w:val="20"/>
                <w:szCs w:val="20"/>
                <w:color w:val="auto"/>
              </w:rPr>
            </w:pPr>
            <w:r>
              <w:rPr>
                <w:rFonts w:ascii="Times New Roman" w:cs="Times New Roman" w:eastAsia="Times New Roman" w:hAnsi="Times New Roman"/>
                <w:sz w:val="18"/>
                <w:szCs w:val="18"/>
                <w:color w:val="auto"/>
              </w:rPr>
              <w:t>F-26</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-1748155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-1748155</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-1464945</wp:posOffset>
            </wp:positionV>
            <wp:extent cx="603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-1464945</wp:posOffset>
            </wp:positionV>
            <wp:extent cx="603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48" w:name="page149"/>
    <w:bookmarkEnd w:id="148"/>
    <w:tbl>
      <w:tblPr>
        <w:tblLayout w:type="fixed"/>
        <w:tblInd w:w="1700" w:type="dxa"/>
        <w:tblCellMar>
          <w:top w:w="0" w:type="dxa"/>
          <w:left w:w="0" w:type="dxa"/>
          <w:bottom w:w="0" w:type="dxa"/>
          <w:right w:w="0" w:type="dxa"/>
        </w:tblCellMar>
      </w:tblP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(72,959 )</w:t>
            </w:r>
          </w:p>
        </w:tc>
        <w:tc>
          <w:tcPr>
            <w:tcW w:w="3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(80,787 )</w:t>
            </w:r>
          </w:p>
        </w:tc>
      </w:tr>
      <w:tr>
        <w:trPr>
          <w:trHeight w:val="20"/>
        </w:trPr>
        <w:tc>
          <w:tcPr>
            <w:tcW w:w="5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deferred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(214 )  $</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(619 )</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-316230</wp:posOffset>
            </wp:positionV>
            <wp:extent cx="60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-316230</wp:posOffset>
            </wp:positionV>
            <wp:extent cx="60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Based on the Company’s history of worldwide operating losses, the Company has concluded that it is more-likely-than-not that the benefit of its U.S. and non-U.S. deferred tax assets will not be realized. Accordingly, as of December 31, 2024 and 2023, the Company has provided a full valuation allowance against its net deferred tax assets in Switzerland and the United Kingdom. The Company has also provided a valuation allowance against the U.S. deferred tax assets that cannot be realized by existing deferred tax liabilities based upon when they are scheduled to reverse. The valuation allowance increased by $55.1 million during 2024, which is primarily attributable to increase in net operating loss carryforwards as a result of current year net loss.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no available U.S. federal net operating loss carryforwards. As of December 31, 2024, the Company had available non-U.S. net operating loss carryforwards of $2,982.0 million of which $1,489.7 million relate to Switzerland, $1,489.7 million relate to the Canton of Zug, and $2.6 million relate to the Company’s wholly-owned subsidiary in the United Kingdom. The net operating losses generated in Switzerland and the Canton of Zug begin to expire in 2027 and the net operating losses generated in the United Kingdom can be carried forward indefinitely.</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U.S. domestic federal research and development credit carryforwards of $29.8 million that begin to expire in 2040 for federal purposes, which are net of uncertain tax positions of $22.3 million. As of December 31, 2024, the Company had U.S. domestic federal orphan drug credit carryforwards of $27.0 million which begin to expire in 2040 for federal purposes, which are net of uncertain tax positions of $11.5 million. As of December 31, 2024, the Company had U.S. domestic state research and development credit carryforwards of $21.8 million which begin to expire in 2035, which are net of uncertain tax positions of $14.5 million.</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ASC 740 clarifies the accounting for uncertainty in income taxes recognized in an enterprise’s financial statement by prescribing the minimum recognition threshold and measurement of a tax position taken or expected to be taken in a tax return.</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gross unrecognized tax benefits of $50.0 million of which $45.6 million would favorably impact the effective tax rate if recognized. The Company will recognize interest and penalties related to uncertain tax positions in income tax expense. As of December 31, 2024, interest and penalties recognized in the Company's financial statements related to uncertain tax positions were not material. As of December 31, 2023 and 2022, the Company had no accrued interest or penalties related to uncertain tax positions and no amounts had been recognized in the Company’s consolidated statements of operations and comprehensive loss.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changes in gross unrecognized tax benefits were as follows (in thousands):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21,395</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tax positions taken during current period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8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for tax positions taken in prior periods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Decreases for tax positions taken during current period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for tax positions taken in prior periods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(91 )</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49,959</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34,536</w:t>
            </w:r>
          </w:p>
        </w:tc>
        <w:tc>
          <w:tcPr>
            <w:tcW w:w="80" w:type="dxa"/>
            <w:vAlign w:val="bottom"/>
            <w:tcBorders>
              <w:top w:val="single" w:sz="8" w:color="CFF0FC"/>
            </w:tcBorders>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-170815</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603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Massachusetts, California and certain non-U.S. jurisdictions. The Company is subject to U.S. federal, Massachusetts, California and non-U.S. income tax examinations by authorities for tax years ending after December 31, 2020. Research credits generated in prior tax years that are closed for examination may still be adjusted upon future examination if they have or will be used in a future period. The Company is subject to income tax examinations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by authorities in its non-U.S. jurisdictions for all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the business of discovering, developing and commercializing therapies derived from or incorporating genome-editing technology.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CODM uses consolidated net loss to evaluate the Company's spend and monitor budget versus actual results. The monitoring of budgeted versus actual results is used in assessing performance of the segment and in establishing resource allocation across the organization.</w:t>
      </w:r>
    </w:p>
    <w:p>
      <w:pPr>
        <w:spacing w:after="0" w:line="54" w:lineRule="exact"/>
        <w:rPr>
          <w:sz w:val="20"/>
          <w:szCs w:val="20"/>
          <w:color w:val="auto"/>
        </w:rPr>
      </w:pPr>
    </w:p>
    <w:p>
      <w:pPr>
        <w:ind w:right="460" w:firstLine="509"/>
        <w:spacing w:after="0" w:line="289" w:lineRule="auto"/>
        <w:rPr>
          <w:sz w:val="20"/>
          <w:szCs w:val="20"/>
          <w:color w:val="auto"/>
        </w:rPr>
      </w:pPr>
      <w:r>
        <w:rPr>
          <w:rFonts w:ascii="Times New Roman" w:cs="Times New Roman" w:eastAsia="Times New Roman" w:hAnsi="Times New Roman"/>
          <w:sz w:val="17"/>
          <w:szCs w:val="17"/>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this Annual Report on Form 10-K.</w:t>
      </w:r>
    </w:p>
    <w:p>
      <w:pPr>
        <w:spacing w:after="0" w:line="5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the Company's reportable segment for the periods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660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8"/>
                <w:szCs w:val="18"/>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00" w:type="dxa"/>
            <w:vAlign w:val="bottom"/>
            <w:shd w:val="clear" w:color="auto" w:fill="CFF0FC"/>
          </w:tcPr>
          <w:p>
            <w:pPr>
              <w:ind w:left="380"/>
              <w:spacing w:after="0" w:line="216" w:lineRule="exact"/>
              <w:rPr>
                <w:sz w:val="20"/>
                <w:szCs w:val="20"/>
                <w:color w:val="auto"/>
              </w:rPr>
            </w:pPr>
            <w:r>
              <w:rPr>
                <w:rFonts w:ascii="Times New Roman" w:cs="Times New Roman" w:eastAsia="Times New Roman" w:hAnsi="Times New Roman"/>
                <w:sz w:val="18"/>
                <w:szCs w:val="18"/>
                <w:color w:val="auto"/>
              </w:rPr>
              <w:t>Research and development expense</w:t>
            </w:r>
            <w:r>
              <w:rPr>
                <w:rFonts w:ascii="Times New Roman" w:cs="Times New Roman" w:eastAsia="Times New Roman" w:hAnsi="Times New Roman"/>
                <w:sz w:val="24"/>
                <w:szCs w:val="24"/>
                <w:color w:val="auto"/>
                <w:vertAlign w:val="superscript"/>
              </w:rPr>
              <w:t>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262,427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330,121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397,067</w:t>
            </w: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General and administrative expense</w:t>
            </w:r>
            <w:r>
              <w:rPr>
                <w:rFonts w:ascii="Times New Roman" w:cs="Times New Roman" w:eastAsia="Times New Roman" w:hAnsi="Times New Roman"/>
                <w:sz w:val="24"/>
                <w:szCs w:val="24"/>
                <w:color w:val="auto"/>
                <w:vertAlign w:val="superscript"/>
              </w:rPr>
              <w:t>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45,012</w:t>
            </w:r>
          </w:p>
        </w:tc>
        <w:tc>
          <w:tcPr>
            <w:tcW w:w="120" w:type="dxa"/>
            <w:vAlign w:val="bottom"/>
          </w:tcPr>
          <w:p>
            <w:pPr>
              <w:spacing w:after="0"/>
              <w:rPr>
                <w:sz w:val="18"/>
                <w:szCs w:val="18"/>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Collaboration expense, net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110,250</w:t>
            </w: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97,947</w:t>
            </w:r>
          </w:p>
        </w:tc>
        <w:tc>
          <w:tcPr>
            <w:tcW w:w="120" w:type="dxa"/>
            <w:vAlign w:val="bottom"/>
          </w:tcPr>
          <w:p>
            <w:pPr>
              <w:spacing w:after="0"/>
              <w:rPr>
                <w:sz w:val="18"/>
                <w:szCs w:val="18"/>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5</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(103,901 )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(71,816 )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(22,661 )</w:t>
            </w: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(325 )</w:t>
            </w: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(366,252 )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(153,610 )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(650,175 )</w:t>
            </w: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Adjustments or reconciling items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(366,252 )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(153,610 )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(650,175 )</w:t>
            </w: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-582295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-582295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40" w:lineRule="exact"/>
        <w:rPr>
          <w:sz w:val="20"/>
          <w:szCs w:val="20"/>
          <w:color w:val="auto"/>
        </w:rPr>
      </w:pPr>
    </w:p>
    <w:p>
      <w:pPr>
        <w:ind w:right="340" w:firstLine="517"/>
        <w:spacing w:after="0" w:line="266" w:lineRule="auto"/>
        <w:tabs>
          <w:tab w:leader="none" w:pos="7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revenue for the years ended December 31, 2024, 2023 and 2022 is related to our license agreements and collaborations with Vertex, as further described in Note 8 of the notes to the consolidated financial statements included in this Annual Report on Form 10-K. Collaboration revenue is attributed to the CRISPR Therapeutics AG entity, which is domiciled in Switzerland.</w:t>
      </w:r>
    </w:p>
    <w:p>
      <w:pPr>
        <w:spacing w:after="0" w:line="1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CODM.</w:t>
      </w:r>
    </w:p>
    <w:p>
      <w:pPr>
        <w:spacing w:after="0" w:line="63" w:lineRule="exact"/>
        <w:rPr>
          <w:rFonts w:ascii="Times New Roman" w:cs="Times New Roman" w:eastAsia="Times New Roman" w:hAnsi="Times New Roman"/>
          <w:sz w:val="18"/>
          <w:szCs w:val="18"/>
          <w:color w:val="auto"/>
        </w:rPr>
      </w:pPr>
    </w:p>
    <w:p>
      <w:pPr>
        <w:ind w:right="40" w:firstLine="517"/>
        <w:spacing w:after="0" w:line="261" w:lineRule="auto"/>
        <w:tabs>
          <w:tab w:leader="none" w:pos="7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 for the years ended December 31, 2024, 2023 and 2022 is net of $47.9 million, $46.4 million, and $54.0 million of stock-based compensation expense, respectively, and $10.3 million, $10.9 million, and $10.6 million of depreciation expense, respectively. For the year ended December 31, 2024, the Company recorded a non-cash adjustment of $4.8 million related to an option expiration which was recognized as a benefit to research and development expense.</w:t>
      </w:r>
    </w:p>
    <w:p>
      <w:pPr>
        <w:spacing w:after="0" w:line="17" w:lineRule="exact"/>
        <w:rPr>
          <w:rFonts w:ascii="Times New Roman" w:cs="Times New Roman" w:eastAsia="Times New Roman" w:hAnsi="Times New Roman"/>
          <w:sz w:val="18"/>
          <w:szCs w:val="18"/>
          <w:color w:val="auto"/>
        </w:rPr>
      </w:pPr>
    </w:p>
    <w:p>
      <w:pPr>
        <w:ind w:right="360" w:firstLine="517"/>
        <w:spacing w:after="0" w:line="281" w:lineRule="auto"/>
        <w:tabs>
          <w:tab w:leader="none" w:pos="7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years ended December 31, 2024, 2023 and 2022 is net of $38.6 million, $34.7 million, and $44.0 million of stock-based compensation expense, respectively, and $8.9 million, $8.9 million, and $13.5 million of depreciation expense, respectively.</w:t>
      </w:r>
    </w:p>
    <w:p>
      <w:pPr>
        <w:spacing w:after="0" w:line="1" w:lineRule="exact"/>
        <w:rPr>
          <w:rFonts w:ascii="Times New Roman" w:cs="Times New Roman" w:eastAsia="Times New Roman" w:hAnsi="Times New Roman"/>
          <w:sz w:val="18"/>
          <w:szCs w:val="18"/>
          <w:color w:val="auto"/>
        </w:rPr>
      </w:pPr>
    </w:p>
    <w:p>
      <w:pPr>
        <w:ind w:right="140" w:firstLine="517"/>
        <w:spacing w:after="0" w:line="266" w:lineRule="auto"/>
        <w:tabs>
          <w:tab w:leader="none" w:pos="7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net, consists primarily of interest income on investments, as further described in Note 3 of the notes to the consolidated financial statements included in this Annual Report on Form 10-K. For the years ended December 31, 2024, 2023 and 2022, the Company recognized interest income of $104.3 million, $76.4 million, and $23.3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color w:val="auto"/>
        </w:rPr>
        <w:t>Exhibit 4.1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23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February 11, 2025, CRISPR Therapeutics AG has one class of securities registered under Section 12 of the Securities Exchange Act of 1934, as amended (the “Exchange Act”).</w:t>
      </w:r>
    </w:p>
    <w:p>
      <w:pPr>
        <w:spacing w:after="0" w:line="13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shares is a summary and does not purport to be complete. It is subject to and qualified in its entirety by reference to our Amended and Restated Articles of Association (the “Articles of Association”), which are incorporated by reference as an exhibit to the Annual Report on Form 10-K of which this Exhibit 4.1 is a part. We encourage you to read our Articles of Association and the applicable provisions of the Swiss Code of Obligations, or CO, for additional information.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Shares</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one class of common shares. Our share capital recorded in the commercial register as of February 11, 2025 is CHF 2,655,534.30 and is fully paid-in. It is divided into 88,517,810 common shares with a nominal value of CHF 0.03 each. The issued common shares are fully paid, non-assessable, and rank pari-passu with each other and all other shares.</w:t>
      </w:r>
    </w:p>
    <w:p>
      <w:pPr>
        <w:spacing w:after="0" w:line="14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shares are registered in book-entry form in DTC under the ISIN CH0334081137. The Company’s Transfer Agent and Registrar is Equiniti Trust Company, LLC, and its address is 48 Wall Street, Floor 23, New York, NY 10005.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shares are listed on the Nasdaq Global Market under the symbol “CRSP”.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Band</w:t>
      </w:r>
    </w:p>
    <w:p>
      <w:pPr>
        <w:spacing w:after="0" w:line="18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February 11, 2025, our Articles of Association authorize the board of directors to conduct one or more increases of the share capital at any time until June 8, 2028, or the expiry of the capital band if earlier, up to an upper limit of CHF 3,100,452.06, by issuing a corresponding number of registered shares with a nominal value of CHF 0.03 each to be fully paid 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Conditional Share Capital</w:t>
      </w:r>
    </w:p>
    <w:p>
      <w:pPr>
        <w:spacing w:after="0" w:line="20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February 11, 2025, our Articles of Association provide for a conditional capital for bonds and similar debt instruments. For such purposes, as per our current Articles of Association, our share capital may be increased by a maximum amount of CHF 246,084.96 through the issue of a maximum of 8,202,832 common shares, payable in full, each with a nominal value of CHF 0.03 through the exercise of conversion and/or option rights granted in connection with bonds or similar instruments, issued or to be issued by us or by our subsidiaries, including convertible debt instruments. In addition, our Articles of Association provide for a conditional capital for employee benefit plans. For such purposes, as per our current Articles of Association, our share capital may be increased by an amount not exceeding CHF 627,777.96 through the issue of a maximum of 20,925,932 common shares, payable in full, each with a nominal value of CHF 0.03, in connection with the exercise of option rights granted to any of our employees or a subsidiary of us, and any consultant, members of the board of directors, or other person providing services to us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0" w:lineRule="exact"/>
        <w:rPr>
          <w:sz w:val="20"/>
          <w:szCs w:val="20"/>
          <w:color w:val="auto"/>
        </w:rPr>
      </w:pPr>
    </w:p>
    <w:p>
      <w:pPr>
        <w:jc w:val="both"/>
        <w:ind w:right="200" w:firstLine="509"/>
        <w:spacing w:after="0" w:line="267" w:lineRule="auto"/>
        <w:rPr>
          <w:sz w:val="20"/>
          <w:szCs w:val="20"/>
          <w:color w:val="auto"/>
        </w:rPr>
      </w:pPr>
      <w:r>
        <w:rPr>
          <w:rFonts w:ascii="Times New Roman" w:cs="Times New Roman" w:eastAsia="Times New Roman" w:hAnsi="Times New Roman"/>
          <w:sz w:val="18"/>
          <w:szCs w:val="18"/>
          <w:color w:val="auto"/>
        </w:rPr>
        <w:t>Pursuant to the Swiss Code of Obligations, or CO, shareholders have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to subscribe for new issuances of shares. With respect to conditional capital in connection with the issuance of conversion rights, convertible bonds or similar debt instruments, shareholders have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for the subscription of conversion rights, convertible bonds or similar debt instruments.</w:t>
      </w:r>
    </w:p>
    <w:p>
      <w:pPr>
        <w:spacing w:after="0" w:line="13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two-thirds of the share votes represented and the absolute majority of the nominal value of the shares represented may authorize our board of directors to withdraw or limit pre-emptive rights or advance subscription rights in certain circumstances.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pre-emptive rights are granted, but not exercised, the board of directors may allocate the pre-emptive rights as it elects.</w:t>
      </w:r>
    </w:p>
    <w:p>
      <w:pPr>
        <w:spacing w:after="0" w:line="19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With respect to our capital band, the board of directors is authorized by our Articles of Association to withdraw or to limit the pre-emptive rights of shareholders, and to allocate them to third parties , in the event that the newly issued shares are used for the following purposes:</w:t>
      </w:r>
    </w:p>
    <w:p>
      <w:pPr>
        <w:spacing w:after="0" w:line="121"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34"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35"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2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manner as such transaction would probably be difficult to carry out, or could be carried out only at less favorable terms, without the exclusion of the statutory pre-emptive right of the existing shareholders;</w:t>
      </w:r>
    </w:p>
    <w:p>
      <w:pPr>
        <w:spacing w:after="0" w:line="134"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14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of the Swiss Code of Obligations, or CO.</w:t>
      </w:r>
    </w:p>
    <w:p>
      <w:pPr>
        <w:spacing w:after="0" w:line="18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With respect to our conditional share capital, the shareholders’ advance subscription rights with regard to the new bonds or similar instruments may be restricted or excluded by our board of directors in order to finance or refinance the acquisition of companies, parts of companies or holdings, or new investments planned by us, or in order to issue convertible bonds or similar instruments on the international capital markets or through private placement. If advance subscription rights are excluded, then (1) the instruments are to be placed at market conditions, (2) the exercise period is not to exceed ten years from the date of issue of option rights and twenty years for conversion rights and (3) the conversion or exercise price for the new shares is to be set at least in line with the market conditions prevailing at the date on which the instruments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shareholders exercise their voting rights at the general meetings of shareholders in proportion to the nominal value of the shares belonging to them. The holders of shares are entitled to one vote for each share held at all meetings of shareholders. The holders of our common shares do not have cumulative voting rights in the election of directors, as cumulative voting is not permitted under Swiss law. The shares are not divisible. The right to vote and the other rights of share ownership may only be exercised by shareholders (including any nominees) or usufructuaries who are entered in our share register at the cut-off date determined by the board of directors and by persons who are entitled by law to the voting right of a share. Each shareholder may be represented by the independent proxy holder (annually elected by the general meeting of shareholders), another registered shareholder or third person with written authorization to act as proxy or the shareholder’s legal representative. The requirements regarding powers of attorney and instructions are determined by the board of directors.</w:t>
      </w:r>
    </w:p>
    <w:p>
      <w:pPr>
        <w:spacing w:after="0" w:line="1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According to our Articles of Association, when exercising voting rights, no person or entity can accumulate voting rights over its shares of more than 15% of the registered share capital recorded in the commercial register of the Canton of Zug, Switzerland. This restriction on exercise of voting rights does not apply to the exercise of voting rights by the independent proxy holder.</w:t>
      </w:r>
    </w:p>
    <w:p>
      <w:pPr>
        <w:spacing w:after="0" w:line="13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Our Articles of Association further contain provisions that prevent shareholders from acquiring voting rights over its shares that exceed 5% or more of the registered share capital recorded in the commercial register of the Canton of Zug, Switzerland. Specifically, no individual or legal entity shall be registered with voting rights over its shares (held directly or indirectly) that exceed 5% or more of the registered share capital recorded in the commercial register of the Canton of Zug, Switzerland; the common shares exceeding the limit of 15% shall be entered in our share register as shares without voting rights. The board of directors may in special cases approve exceptions to the above regulations.</w:t>
      </w:r>
    </w:p>
    <w:p>
      <w:pPr>
        <w:spacing w:after="0" w:line="15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Articles of Association contain provisions that 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 entered as voting if the nominees in question disclose the names, addresses and shareholdings of the persons on whose account they hold 0.5% or more of the share capital. The board of directors concludes agreements with nominees that among other things govern the representation of shareholders and the voting rights.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holders of shares are entitled to receive dividends, if and when resolved upon by the general meeting of shareholders based on a respective proposal by the board of directors and provided that the Company disposes of sufficient freely distributable reserves.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Swiss Code of Obligations, or CO, limits the Company’s ability to hold or repurchase shares. The Company and its subsidiaries may only repurchase shares if and to the extent that sufficient freely distributable reserves are available. The aggregate par value of all shares held by the Company and its subsidiaries may not exceed 10% of the registered share capital, safe for the purpose of cancellation, subject to the approval of the general meeting of shareholders. Repurchased shares held by the Company or its subsidiaries do not carry any rights to vote at a general meeting of shareholders, but are entitled to the economic benefits generally associated with the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Participation Certificates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February 11, 2025, we have not issued any profit participation certificates (</w:t>
      </w:r>
      <w:r>
        <w:rPr>
          <w:rFonts w:ascii="Times New Roman" w:cs="Times New Roman" w:eastAsia="Times New Roman" w:hAnsi="Times New Roman"/>
          <w:sz w:val="18"/>
          <w:szCs w:val="18"/>
          <w:i w:val="1"/>
          <w:iCs w:val="1"/>
          <w:color w:val="auto"/>
        </w:rPr>
        <w:t>Genussscheine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3" w:name="page154"/>
    <w:bookmarkEnd w:id="153"/>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 w:type="dxa"/>
            <w:vAlign w:val="bottom"/>
          </w:tcPr>
          <w:p>
            <w:pPr>
              <w:spacing w:after="0"/>
              <w:rPr>
                <w:sz w:val="21"/>
                <w:szCs w:val="21"/>
                <w:color w:val="auto"/>
              </w:rPr>
            </w:pPr>
          </w:p>
        </w:tc>
        <w:tc>
          <w:tcPr>
            <w:tcW w:w="8700" w:type="dxa"/>
            <w:vAlign w:val="bottom"/>
          </w:tcPr>
          <w:p>
            <w:pPr>
              <w:ind w:left="5160"/>
              <w:spacing w:after="0"/>
              <w:rPr>
                <w:sz w:val="20"/>
                <w:szCs w:val="20"/>
                <w:color w:val="auto"/>
              </w:rPr>
            </w:pPr>
            <w:r>
              <w:rPr>
                <w:rFonts w:ascii="Times New Roman" w:cs="Times New Roman" w:eastAsia="Times New Roman" w:hAnsi="Times New Roman"/>
                <w:sz w:val="19"/>
                <w:szCs w:val="19"/>
                <w:color w:val="auto"/>
              </w:rPr>
              <w:t>Exhibit 10.35</w:t>
            </w:r>
          </w:p>
        </w:tc>
        <w:tc>
          <w:tcPr>
            <w:tcW w:w="1700" w:type="dxa"/>
            <w:vAlign w:val="bottom"/>
          </w:tcPr>
          <w:p>
            <w:pPr>
              <w:spacing w:after="0"/>
              <w:rPr>
                <w:sz w:val="21"/>
                <w:szCs w:val="21"/>
                <w:color w:val="auto"/>
              </w:rPr>
            </w:pPr>
          </w:p>
        </w:tc>
      </w:tr>
      <w:tr>
        <w:trPr>
          <w:trHeight w:val="408"/>
        </w:trPr>
        <w:tc>
          <w:tcPr>
            <w:tcW w:w="660" w:type="dxa"/>
            <w:vAlign w:val="bottom"/>
          </w:tcPr>
          <w:p>
            <w:pPr>
              <w:spacing w:after="0"/>
              <w:rPr>
                <w:sz w:val="24"/>
                <w:szCs w:val="24"/>
                <w:color w:val="auto"/>
              </w:rPr>
            </w:pPr>
          </w:p>
        </w:tc>
        <w:tc>
          <w:tcPr>
            <w:tcW w:w="870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ORGANIZATIONAL RULES OF CRISPR</w:t>
            </w:r>
          </w:p>
        </w:tc>
        <w:tc>
          <w:tcPr>
            <w:tcW w:w="170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870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THERAPEUTICS AG (</w:t>
            </w:r>
            <w:r>
              <w:rPr>
                <w:rFonts w:ascii="Times New Roman" w:cs="Times New Roman" w:eastAsia="Times New Roman" w:hAnsi="Times New Roman"/>
                <w:sz w:val="18"/>
                <w:szCs w:val="18"/>
                <w:b w:val="1"/>
                <w:bCs w:val="1"/>
                <w:i w:val="1"/>
                <w:iCs w:val="1"/>
                <w:color w:val="auto"/>
              </w:rPr>
              <w:t>ORGANISATIONSREGLEMENT</w:t>
            </w:r>
            <w:r>
              <w:rPr>
                <w:rFonts w:ascii="Times New Roman" w:cs="Times New Roman" w:eastAsia="Times New Roman" w:hAnsi="Times New Roman"/>
                <w:sz w:val="18"/>
                <w:szCs w:val="18"/>
                <w:b w:val="1"/>
                <w:bCs w:val="1"/>
                <w:color w:val="auto"/>
              </w:rPr>
              <w:t>)</w:t>
            </w:r>
          </w:p>
        </w:tc>
        <w:tc>
          <w:tcPr>
            <w:tcW w:w="1700" w:type="dxa"/>
            <w:vAlign w:val="bottom"/>
          </w:tcPr>
          <w:p>
            <w:pPr>
              <w:spacing w:after="0"/>
              <w:rPr>
                <w:sz w:val="20"/>
                <w:szCs w:val="20"/>
                <w:color w:val="auto"/>
              </w:rPr>
            </w:pPr>
          </w:p>
        </w:tc>
      </w:tr>
      <w:tr>
        <w:trPr>
          <w:trHeight w:val="91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BASIS AND ORGANIZATION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GENERAL PROVISIONS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CHAIRPERSON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CEO</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EXECUTIVE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NOMINATION AND CORPORATE GOVERNANCE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FINAL PROVISIONS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3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AND ORGANIZATION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Basis</w:t>
      </w:r>
    </w:p>
    <w:p>
      <w:pPr>
        <w:spacing w:after="0" w:line="154" w:lineRule="exact"/>
        <w:rPr>
          <w:sz w:val="20"/>
          <w:szCs w:val="20"/>
          <w:color w:val="auto"/>
        </w:rPr>
      </w:pPr>
    </w:p>
    <w:p>
      <w:pPr>
        <w:ind w:left="1000" w:right="20"/>
        <w:spacing w:after="0" w:line="286" w:lineRule="auto"/>
        <w:rPr>
          <w:sz w:val="20"/>
          <w:szCs w:val="20"/>
          <w:color w:val="auto"/>
        </w:rPr>
      </w:pPr>
      <w:r>
        <w:rPr>
          <w:rFonts w:ascii="Times New Roman" w:cs="Times New Roman" w:eastAsia="Times New Roman" w:hAnsi="Times New Roman"/>
          <w:sz w:val="18"/>
          <w:szCs w:val="18"/>
          <w:color w:val="auto"/>
        </w:rPr>
        <w:t xml:space="preserve">Based on Art. 22 of the Articles of Association of CRISPR Therapeutics AG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Art. 716b of the Swiss Code of Obligations (</w:t>
      </w: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color w:val="auto"/>
        </w:rPr>
        <w:t xml:space="preserve">), the board of directors has issued these organizational rules (the </w:t>
      </w:r>
      <w:r>
        <w:rPr>
          <w:rFonts w:ascii="Times New Roman" w:cs="Times New Roman" w:eastAsia="Times New Roman" w:hAnsi="Times New Roman"/>
          <w:sz w:val="18"/>
          <w:szCs w:val="18"/>
          <w:b w:val="1"/>
          <w:bCs w:val="1"/>
          <w:color w:val="auto"/>
        </w:rPr>
        <w:t>Organizational Rules</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Organization</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Organizational Rules govern the corporate organization as well as the duties, powers and responsibilities of the corporate bodies of the</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Company, namely:</w:t>
      </w:r>
    </w:p>
    <w:p>
      <w:pPr>
        <w:spacing w:after="0" w:line="95" w:lineRule="exact"/>
        <w:rPr>
          <w:sz w:val="20"/>
          <w:szCs w:val="20"/>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chairperson of the Board (the </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when appointed, the vice chairperson of the Board (the </w:t>
      </w:r>
      <w:r>
        <w:rPr>
          <w:rFonts w:ascii="Times New Roman" w:cs="Times New Roman" w:eastAsia="Times New Roman" w:hAnsi="Times New Roman"/>
          <w:sz w:val="18"/>
          <w:szCs w:val="18"/>
          <w:b w:val="1"/>
          <w:bCs w:val="1"/>
          <w:color w:val="auto"/>
        </w:rPr>
        <w:t>Vice Chairperson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committees of the Board (each a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committee and its members (the </w:t>
      </w:r>
      <w:r>
        <w:rPr>
          <w:rFonts w:ascii="Times New Roman" w:cs="Times New Roman" w:eastAsia="Times New Roman" w:hAnsi="Times New Roman"/>
          <w:sz w:val="18"/>
          <w:szCs w:val="18"/>
          <w:b w:val="1"/>
          <w:bCs w:val="1"/>
          <w:color w:val="auto"/>
        </w:rPr>
        <w:t>Executive Committee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compensation committee (the </w:t>
      </w:r>
      <w:r>
        <w:rPr>
          <w:rFonts w:ascii="Times New Roman" w:cs="Times New Roman" w:eastAsia="Times New Roman" w:hAnsi="Times New Roman"/>
          <w:sz w:val="18"/>
          <w:szCs w:val="18"/>
          <w:b w:val="1"/>
          <w:bCs w:val="1"/>
          <w:color w:val="auto"/>
        </w:rPr>
        <w:t>CC</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nominating and corporate governance committee of the Board (the </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980" w:hanging="263"/>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 committee of the Board (the </w:t>
      </w:r>
      <w:r>
        <w:rPr>
          <w:rFonts w:ascii="Times New Roman" w:cs="Times New Roman" w:eastAsia="Times New Roman" w:hAnsi="Times New Roman"/>
          <w:sz w:val="18"/>
          <w:szCs w:val="18"/>
          <w:b w:val="1"/>
          <w:bCs w:val="1"/>
          <w:color w:val="auto"/>
        </w:rPr>
        <w:t>AC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881380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440" w:right="479" w:bottom="1440" w:gutter="0" w:footer="0" w:header="0"/>
        </w:sectPr>
      </w:pPr>
    </w:p>
    <w:bookmarkStart w:id="154" w:name="page155"/>
    <w:bookmarkEnd w:id="154"/>
    <w:p>
      <w:pPr>
        <w:spacing w:after="0" w:line="261"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Board may adopt further regulations, guidelines and policies for specific areas.</w:t>
      </w:r>
    </w:p>
    <w:p>
      <w:pPr>
        <w:spacing w:after="0" w:line="200" w:lineRule="exact"/>
        <w:rPr>
          <w:sz w:val="20"/>
          <w:szCs w:val="20"/>
          <w:color w:val="auto"/>
        </w:rPr>
      </w:pPr>
    </w:p>
    <w:p>
      <w:pPr>
        <w:spacing w:after="0" w:line="237" w:lineRule="exact"/>
        <w:rPr>
          <w:sz w:val="20"/>
          <w:szCs w:val="20"/>
          <w:color w:val="auto"/>
        </w:rPr>
      </w:pPr>
    </w:p>
    <w:p>
      <w:pPr>
        <w:ind w:left="352" w:hanging="352"/>
        <w:spacing w:after="0"/>
        <w:tabs>
          <w:tab w:leader="none" w:pos="35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6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2.1  Duty of Care and Loyalty</w:t>
      </w:r>
    </w:p>
    <w:p>
      <w:pPr>
        <w:spacing w:after="0" w:line="158" w:lineRule="exact"/>
        <w:rPr>
          <w:sz w:val="20"/>
          <w:szCs w:val="20"/>
          <w:color w:val="auto"/>
        </w:rPr>
      </w:pPr>
    </w:p>
    <w:p>
      <w:pPr>
        <w:jc w:val="both"/>
        <w:ind w:left="892"/>
        <w:spacing w:after="0" w:line="282" w:lineRule="auto"/>
        <w:rPr>
          <w:sz w:val="20"/>
          <w:szCs w:val="20"/>
          <w:color w:val="auto"/>
        </w:rPr>
      </w:pPr>
      <w:r>
        <w:rPr>
          <w:rFonts w:ascii="Times New Roman" w:cs="Times New Roman" w:eastAsia="Times New Roman" w:hAnsi="Times New Roman"/>
          <w:sz w:val="18"/>
          <w:szCs w:val="18"/>
          <w:color w:val="auto"/>
        </w:rPr>
        <w:t>The members of the Board and the Executive Committee must perform their duties with all due diligence, and safeguard and further the interests of the Company and its shareholders.</w:t>
      </w:r>
    </w:p>
    <w:p>
      <w:pPr>
        <w:spacing w:after="0" w:line="9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2.2  Duty of Confidentiality</w:t>
      </w:r>
    </w:p>
    <w:p>
      <w:pPr>
        <w:spacing w:after="0" w:line="158" w:lineRule="exact"/>
        <w:rPr>
          <w:sz w:val="20"/>
          <w:szCs w:val="20"/>
          <w:color w:val="auto"/>
        </w:rPr>
      </w:pPr>
    </w:p>
    <w:p>
      <w:pPr>
        <w:jc w:val="both"/>
        <w:ind w:left="892"/>
        <w:spacing w:after="0" w:line="255" w:lineRule="auto"/>
        <w:rPr>
          <w:sz w:val="20"/>
          <w:szCs w:val="20"/>
          <w:color w:val="auto"/>
        </w:rPr>
      </w:pPr>
      <w:r>
        <w:rPr>
          <w:rFonts w:ascii="Times New Roman" w:cs="Times New Roman" w:eastAsia="Times New Roman" w:hAnsi="Times New Roman"/>
          <w:sz w:val="18"/>
          <w:szCs w:val="18"/>
          <w:color w:val="auto"/>
        </w:rPr>
        <w:t>Each member of the Board and the Executive Committee must, at all times, keep strictly confidential all information relating to the Company of which the member has learned during the exercise of his/her duties, except when disclosure is authorized by the Company or required by law, rule or regulation or pursuant to a legal proceeding or for information which is already in the public domain. This obligation continues after the expiration of the term of office or the resignation of the member. Upon termination of a member’s Board or Executive Committee membership, all business related files, documents and records of the Company must be returned to the Secretary (or the Secretary’s designee) or, at the Company’s election, destroyed, by a member no later than expiry of such member’s term of office or resignation.</w:t>
      </w:r>
    </w:p>
    <w:p>
      <w:pPr>
        <w:spacing w:after="0" w:line="12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2.3  Related Transactions</w:t>
      </w:r>
    </w:p>
    <w:p>
      <w:pPr>
        <w:spacing w:after="0" w:line="158" w:lineRule="exact"/>
        <w:rPr>
          <w:sz w:val="20"/>
          <w:szCs w:val="20"/>
          <w:color w:val="auto"/>
        </w:rPr>
      </w:pPr>
    </w:p>
    <w:p>
      <w:pPr>
        <w:jc w:val="both"/>
        <w:ind w:left="892"/>
        <w:spacing w:after="0" w:line="258" w:lineRule="auto"/>
        <w:rPr>
          <w:sz w:val="20"/>
          <w:szCs w:val="20"/>
          <w:color w:val="auto"/>
        </w:rPr>
      </w:pPr>
      <w:r>
        <w:rPr>
          <w:rFonts w:ascii="Times New Roman" w:cs="Times New Roman" w:eastAsia="Times New Roman" w:hAnsi="Times New Roman"/>
          <w:sz w:val="18"/>
          <w:szCs w:val="18"/>
          <w:color w:val="auto"/>
        </w:rPr>
        <w:t>No member of the Board or the Executive Committee shall participate in the deliberations and resolutions on matters which affect, or reasonably might affect the interests of that member or of a person close to that member as set forth in the Company’s policy on related party transactions. All transactions and agreements between the Company, a member of the Board or the Executive Committee (or affiliated or related persons thereof) shall be in compliance with the Company’s policy on related party transactions and shall be approved by the AC and reported to the Board.</w:t>
      </w:r>
    </w:p>
    <w:p>
      <w:pPr>
        <w:spacing w:after="0" w:line="12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2.4  Insider Trading</w:t>
      </w:r>
    </w:p>
    <w:p>
      <w:pPr>
        <w:spacing w:after="0" w:line="15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Company's insider trading policy applies to the members of the Board and the Executive Committee.</w:t>
      </w:r>
    </w:p>
    <w:p>
      <w:pPr>
        <w:spacing w:after="0" w:line="117"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2.5  Conduct and Conflict of Interest</w:t>
      </w:r>
    </w:p>
    <w:p>
      <w:pPr>
        <w:spacing w:after="0" w:line="158" w:lineRule="exact"/>
        <w:rPr>
          <w:sz w:val="20"/>
          <w:szCs w:val="20"/>
          <w:color w:val="auto"/>
        </w:rPr>
      </w:pPr>
    </w:p>
    <w:p>
      <w:pPr>
        <w:jc w:val="both"/>
        <w:ind w:left="892"/>
        <w:spacing w:after="0" w:line="282" w:lineRule="auto"/>
        <w:rPr>
          <w:sz w:val="20"/>
          <w:szCs w:val="20"/>
          <w:color w:val="auto"/>
        </w:rPr>
      </w:pPr>
      <w:r>
        <w:rPr>
          <w:rFonts w:ascii="Times New Roman" w:cs="Times New Roman" w:eastAsia="Times New Roman" w:hAnsi="Times New Roman"/>
          <w:sz w:val="18"/>
          <w:szCs w:val="18"/>
          <w:color w:val="auto"/>
        </w:rPr>
        <w:t>Each member of the Board and the Executive Committee must conduct him/herself in full compliance with all applicable laws, rules and regulations and may not commit illegal or unethical acts.</w:t>
      </w:r>
    </w:p>
    <w:p>
      <w:pPr>
        <w:spacing w:after="0" w:line="94" w:lineRule="exact"/>
        <w:rPr>
          <w:sz w:val="20"/>
          <w:szCs w:val="20"/>
          <w:color w:val="auto"/>
        </w:rPr>
      </w:pPr>
    </w:p>
    <w:p>
      <w:pPr>
        <w:jc w:val="both"/>
        <w:ind w:left="892"/>
        <w:spacing w:after="0" w:line="282" w:lineRule="auto"/>
        <w:rPr>
          <w:sz w:val="20"/>
          <w:szCs w:val="20"/>
          <w:color w:val="auto"/>
        </w:rPr>
      </w:pPr>
      <w:r>
        <w:rPr>
          <w:rFonts w:ascii="Times New Roman" w:cs="Times New Roman" w:eastAsia="Times New Roman" w:hAnsi="Times New Roman"/>
          <w:sz w:val="18"/>
          <w:szCs w:val="18"/>
          <w:color w:val="auto"/>
        </w:rPr>
        <w:t>Each member of the Board and the Executive Committee should arrange his/her personal and business affairs so as to avoid, as far as possible, conflicts of interest with the Company.</w:t>
      </w:r>
    </w:p>
    <w:p>
      <w:pPr>
        <w:spacing w:after="0" w:line="94" w:lineRule="exact"/>
        <w:rPr>
          <w:sz w:val="20"/>
          <w:szCs w:val="20"/>
          <w:color w:val="auto"/>
        </w:rPr>
      </w:pPr>
    </w:p>
    <w:p>
      <w:pPr>
        <w:jc w:val="both"/>
        <w:ind w:left="892"/>
        <w:spacing w:after="0" w:line="258" w:lineRule="auto"/>
        <w:rPr>
          <w:sz w:val="20"/>
          <w:szCs w:val="20"/>
          <w:color w:val="auto"/>
        </w:rPr>
      </w:pPr>
      <w:r>
        <w:rPr>
          <w:rFonts w:ascii="Times New Roman" w:cs="Times New Roman" w:eastAsia="Times New Roman" w:hAnsi="Times New Roman"/>
          <w:sz w:val="18"/>
          <w:szCs w:val="18"/>
          <w:color w:val="auto"/>
        </w:rPr>
        <w:t xml:space="preserve">Any circumstance that reasonably could be expected to give rise to a conflict of interest should be reported by the person in question promptly to the Company's compliance officer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 who may inform the Board or a chairperson of a committee of the Board as deemed appropriate. If involved in an actual or potential conflict of interest, each member of the Board or the Executive Committee must inform the Compliance Officer (or in case of the Compliance Officer being conflicted, the CEO) without delay.</w:t>
      </w:r>
    </w:p>
    <w:p>
      <w:pPr>
        <w:spacing w:after="0" w:line="129" w:lineRule="exact"/>
        <w:rPr>
          <w:sz w:val="20"/>
          <w:szCs w:val="20"/>
          <w:color w:val="auto"/>
        </w:rPr>
      </w:pPr>
    </w:p>
    <w:p>
      <w:pPr>
        <w:jc w:val="both"/>
        <w:ind w:left="892"/>
        <w:spacing w:after="0" w:line="266" w:lineRule="auto"/>
        <w:rPr>
          <w:sz w:val="20"/>
          <w:szCs w:val="20"/>
          <w:color w:val="auto"/>
        </w:rPr>
      </w:pPr>
      <w:r>
        <w:rPr>
          <w:rFonts w:ascii="Times New Roman" w:cs="Times New Roman" w:eastAsia="Times New Roman" w:hAnsi="Times New Roman"/>
          <w:sz w:val="18"/>
          <w:szCs w:val="18"/>
          <w:color w:val="auto"/>
        </w:rPr>
        <w:t xml:space="preserve">For particular policies regarding conduct and conflicts of interest the Board has enacted a code of business conduct and ethics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Pursuant to the Code, the Board has delegated day-to-day responsibility for administering and interpreting the Code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847725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32"/>
          </w:cols>
          <w:pgMar w:left="468" w:top="1440" w:right="799" w:bottom="1440" w:gutter="0" w:footer="0" w:header="0"/>
        </w:sectPr>
      </w:pPr>
    </w:p>
    <w:bookmarkStart w:id="155" w:name="page156"/>
    <w:bookmarkEnd w:id="155"/>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Quorum</w:t>
      </w:r>
    </w:p>
    <w:p>
      <w:pPr>
        <w:spacing w:after="0" w:line="158"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 xml:space="preserve">Meetings may be held in any location determined by the chairperson of the respective body. Meetings may also be held and resolutions adopted by electronic means (including telephone or videoconference) with or without venue applying Art. 713 and 701c-701f CO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with access offered to all members of the respective body. Unless stated otherwise in these Organizational Rules,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quorum for any meeting shall be half of the duly elected members.</w:t>
      </w:r>
    </w:p>
    <w:p>
      <w:pPr>
        <w:spacing w:after="0" w:line="112" w:lineRule="exact"/>
        <w:rPr>
          <w:sz w:val="20"/>
          <w:szCs w:val="20"/>
          <w:color w:val="auto"/>
        </w:rPr>
      </w:pPr>
    </w:p>
    <w:p>
      <w:pPr>
        <w:jc w:val="both"/>
        <w:ind w:left="900" w:right="40"/>
        <w:spacing w:after="0" w:line="282" w:lineRule="auto"/>
        <w:rPr>
          <w:sz w:val="20"/>
          <w:szCs w:val="20"/>
          <w:color w:val="auto"/>
        </w:rPr>
      </w:pPr>
      <w:r>
        <w:rPr>
          <w:rFonts w:ascii="Times New Roman" w:cs="Times New Roman" w:eastAsia="Times New Roman" w:hAnsi="Times New Roman"/>
          <w:sz w:val="18"/>
          <w:szCs w:val="18"/>
          <w:color w:val="auto"/>
        </w:rPr>
        <w:t>No quorum is required, and the presence of one member is sufficient, when approving (for notarization purposes) the execution of a capital increase or of subsequent capital contributions and the corresponding change of the Articles of Association.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  Resolutions</w:t>
      </w:r>
    </w:p>
    <w:p>
      <w:pPr>
        <w:spacing w:after="0" w:line="158" w:lineRule="exact"/>
        <w:rPr>
          <w:sz w:val="20"/>
          <w:szCs w:val="20"/>
          <w:color w:val="auto"/>
        </w:rPr>
      </w:pPr>
    </w:p>
    <w:p>
      <w:pPr>
        <w:jc w:val="both"/>
        <w:ind w:left="900" w:right="40"/>
        <w:spacing w:after="0" w:line="282" w:lineRule="auto"/>
        <w:rPr>
          <w:sz w:val="20"/>
          <w:szCs w:val="20"/>
          <w:color w:val="auto"/>
        </w:rPr>
      </w:pPr>
      <w:r>
        <w:rPr>
          <w:rFonts w:ascii="Times New Roman" w:cs="Times New Roman" w:eastAsia="Times New Roman" w:hAnsi="Times New Roman"/>
          <w:sz w:val="18"/>
          <w:szCs w:val="18"/>
          <w:color w:val="auto"/>
        </w:rPr>
        <w:t>Resolutions shall be taken by the majority of the votes cast (abstentions not counted). In the case of a tie, the Chairperson (or if absent, the person chairing the meeting) shall have no casting vote, meaning the resolution is not passed.</w:t>
      </w:r>
    </w:p>
    <w:p>
      <w:pPr>
        <w:spacing w:after="0" w:line="108" w:lineRule="exact"/>
        <w:rPr>
          <w:sz w:val="20"/>
          <w:szCs w:val="20"/>
          <w:color w:val="auto"/>
        </w:rPr>
      </w:pPr>
    </w:p>
    <w:p>
      <w:pPr>
        <w:jc w:val="both"/>
        <w:ind w:left="900" w:right="40"/>
        <w:spacing w:after="0" w:line="261" w:lineRule="auto"/>
        <w:rPr>
          <w:sz w:val="20"/>
          <w:szCs w:val="20"/>
          <w:color w:val="auto"/>
        </w:rPr>
      </w:pPr>
      <w:r>
        <w:rPr>
          <w:rFonts w:ascii="Times New Roman" w:cs="Times New Roman" w:eastAsia="Times New Roman" w:hAnsi="Times New Roman"/>
          <w:sz w:val="18"/>
          <w:szCs w:val="18"/>
          <w:color w:val="auto"/>
        </w:rPr>
        <w:t>Resolutions may also be taken in form of circular resolutions (including mail, e-mail or telefax), provided no Board member requests an oral debate. The passing of such circular resolution also requires a majority of the votes cast (abstentions not counted), unless one member requests by letter or email a resolution by a meeting / conference call as soon as possible but no later than five business days after becoming aware of the proposed resolution.</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2.8  Secretary and Minutes</w:t>
      </w:r>
    </w:p>
    <w:p>
      <w:pPr>
        <w:spacing w:after="0" w:line="154" w:lineRule="exact"/>
        <w:rPr>
          <w:sz w:val="20"/>
          <w:szCs w:val="20"/>
          <w:color w:val="auto"/>
        </w:rPr>
      </w:pPr>
    </w:p>
    <w:p>
      <w:pPr>
        <w:jc w:val="both"/>
        <w:ind w:left="900" w:right="40"/>
        <w:spacing w:after="0" w:line="286" w:lineRule="auto"/>
        <w:rPr>
          <w:sz w:val="20"/>
          <w:szCs w:val="20"/>
          <w:color w:val="auto"/>
        </w:rPr>
      </w:pPr>
      <w:r>
        <w:rPr>
          <w:rFonts w:ascii="Times New Roman" w:cs="Times New Roman" w:eastAsia="Times New Roman" w:hAnsi="Times New Roman"/>
          <w:sz w:val="18"/>
          <w:szCs w:val="18"/>
          <w:color w:val="auto"/>
        </w:rPr>
        <w:t xml:space="preserve">The Board shall appoint a corporate secretary (the </w:t>
      </w:r>
      <w:r>
        <w:rPr>
          <w:rFonts w:ascii="Times New Roman" w:cs="Times New Roman" w:eastAsia="Times New Roman" w:hAnsi="Times New Roman"/>
          <w:sz w:val="18"/>
          <w:szCs w:val="18"/>
          <w:b w:val="1"/>
          <w:bCs w:val="1"/>
          <w:color w:val="auto"/>
        </w:rPr>
        <w:t>Secretary</w:t>
      </w:r>
      <w:r>
        <w:rPr>
          <w:rFonts w:ascii="Times New Roman" w:cs="Times New Roman" w:eastAsia="Times New Roman" w:hAnsi="Times New Roman"/>
          <w:sz w:val="18"/>
          <w:szCs w:val="18"/>
          <w:color w:val="auto"/>
        </w:rPr>
        <w:t>), who does not need to be a member of an executive body of the Company or a Shareholder.</w:t>
      </w:r>
    </w:p>
    <w:p>
      <w:pPr>
        <w:spacing w:after="0" w:line="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Secretary reports directly to the Chairperson.</w:t>
      </w:r>
    </w:p>
    <w:p>
      <w:pPr>
        <w:spacing w:after="0" w:line="158" w:lineRule="exact"/>
        <w:rPr>
          <w:sz w:val="20"/>
          <w:szCs w:val="20"/>
          <w:color w:val="auto"/>
        </w:rPr>
      </w:pPr>
    </w:p>
    <w:p>
      <w:pPr>
        <w:jc w:val="both"/>
        <w:ind w:left="900" w:right="40"/>
        <w:spacing w:after="0" w:line="266" w:lineRule="auto"/>
        <w:rPr>
          <w:sz w:val="20"/>
          <w:szCs w:val="20"/>
          <w:color w:val="auto"/>
        </w:rPr>
      </w:pPr>
      <w:r>
        <w:rPr>
          <w:rFonts w:ascii="Times New Roman" w:cs="Times New Roman" w:eastAsia="Times New Roman" w:hAnsi="Times New Roman"/>
          <w:sz w:val="18"/>
          <w:szCs w:val="18"/>
          <w:color w:val="auto"/>
        </w:rPr>
        <w:t>The Secretary or a designated taker of the minutes shall keep the minutes of meetings, which shall contain the deliberations and resolutions adopted at the meeting. The minutes shall be signed by the Chairperson and keeper of the minutes and shall be approved at the next physical meeting of the respective body.</w:t>
      </w:r>
    </w:p>
    <w:p>
      <w:pPr>
        <w:spacing w:after="0" w:line="1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Board members may examine the Board minutes of any meeting at any time.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  Participation of Non-Members</w:t>
      </w:r>
    </w:p>
    <w:p>
      <w:pPr>
        <w:spacing w:after="0" w:line="171" w:lineRule="exact"/>
        <w:rPr>
          <w:sz w:val="20"/>
          <w:szCs w:val="20"/>
          <w:color w:val="auto"/>
        </w:rPr>
      </w:pPr>
    </w:p>
    <w:p>
      <w:pPr>
        <w:jc w:val="both"/>
        <w:ind w:left="900" w:right="40"/>
        <w:spacing w:after="0" w:line="266" w:lineRule="auto"/>
        <w:rPr>
          <w:sz w:val="20"/>
          <w:szCs w:val="20"/>
          <w:color w:val="auto"/>
        </w:rPr>
      </w:pPr>
      <w:r>
        <w:rPr>
          <w:rFonts w:ascii="Times New Roman" w:cs="Times New Roman" w:eastAsia="Times New Roman" w:hAnsi="Times New Roman"/>
          <w:sz w:val="18"/>
          <w:szCs w:val="18"/>
          <w:color w:val="auto"/>
        </w:rPr>
        <w:t>Persons who are not members of the Board, the committees of the Board or the Executive Committee may participate in meetings of such bodies if such member’s expertise is required and if they have been invited by the chairperson of the body. Such persons shall not vote in any resolutions.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2.10 No Representation of Members</w:t>
      </w:r>
    </w:p>
    <w:p>
      <w:pPr>
        <w:spacing w:after="0" w:line="158" w:lineRule="exact"/>
        <w:rPr>
          <w:sz w:val="20"/>
          <w:szCs w:val="20"/>
          <w:color w:val="auto"/>
        </w:rPr>
      </w:pPr>
    </w:p>
    <w:p>
      <w:pPr>
        <w:ind w:left="900"/>
        <w:spacing w:after="0" w:line="282" w:lineRule="auto"/>
        <w:rPr>
          <w:sz w:val="20"/>
          <w:szCs w:val="20"/>
          <w:color w:val="auto"/>
        </w:rPr>
      </w:pPr>
      <w:r>
        <w:rPr>
          <w:rFonts w:ascii="Times New Roman" w:cs="Times New Roman" w:eastAsia="Times New Roman" w:hAnsi="Times New Roman"/>
          <w:sz w:val="18"/>
          <w:szCs w:val="18"/>
          <w:color w:val="auto"/>
        </w:rPr>
        <w:t>A Board or Executive Committee member who is not able to participate in a meeting of the Board, a Board committee or the Executive Committee may not be represented by either another member of the Board or by any other person.</w:t>
      </w:r>
    </w:p>
    <w:p>
      <w:pPr>
        <w:spacing w:after="0" w:line="374" w:lineRule="exact"/>
        <w:rPr>
          <w:sz w:val="20"/>
          <w:szCs w:val="20"/>
          <w:color w:val="auto"/>
        </w:rPr>
      </w:pPr>
    </w:p>
    <w:p>
      <w:pPr>
        <w:ind w:left="360" w:hanging="352"/>
        <w:spacing w:after="0"/>
        <w:tabs>
          <w:tab w:leader="none" w:pos="3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  Chairperson and Vice-Chairperson</w:t>
      </w:r>
    </w:p>
    <w:p>
      <w:pPr>
        <w:spacing w:after="0" w:line="154" w:lineRule="exact"/>
        <w:rPr>
          <w:sz w:val="20"/>
          <w:szCs w:val="20"/>
          <w:color w:val="auto"/>
        </w:rPr>
      </w:pPr>
    </w:p>
    <w:p>
      <w:pPr>
        <w:jc w:val="both"/>
        <w:ind w:left="900"/>
        <w:spacing w:after="0" w:line="268" w:lineRule="auto"/>
        <w:rPr>
          <w:sz w:val="20"/>
          <w:szCs w:val="20"/>
          <w:color w:val="auto"/>
        </w:rPr>
      </w:pPr>
      <w:r>
        <w:rPr>
          <w:rFonts w:ascii="Times New Roman" w:cs="Times New Roman" w:eastAsia="Times New Roman" w:hAnsi="Times New Roman"/>
          <w:sz w:val="18"/>
          <w:szCs w:val="18"/>
          <w:color w:val="auto"/>
        </w:rPr>
        <w:t xml:space="preserve">The Chairperson is elected by the general meeting of the shareholders (the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for a term of office until completion of the next ordinary General Meeting. If the office of the Chairperson is vacant, the Board shall appoint a new Chairperson from among its members for the remaining term of office.</w:t>
      </w:r>
    </w:p>
    <w:p>
      <w:pPr>
        <w:spacing w:after="0" w:line="1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Board may appoint a Vice Chairperson from among its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878840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60" w:top="1440" w:right="759" w:bottom="1440" w:gutter="0" w:footer="0" w:header="0"/>
        </w:sectPr>
      </w:pPr>
    </w:p>
    <w:bookmarkStart w:id="156" w:name="page157"/>
    <w:bookmarkEnd w:id="156"/>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Board Committees</w:t>
      </w:r>
    </w:p>
    <w:p>
      <w:pPr>
        <w:spacing w:after="0" w:line="158" w:lineRule="exact"/>
        <w:rPr>
          <w:sz w:val="20"/>
          <w:szCs w:val="20"/>
          <w:color w:val="auto"/>
        </w:rPr>
      </w:pPr>
    </w:p>
    <w:p>
      <w:pPr>
        <w:jc w:val="both"/>
        <w:ind w:left="880"/>
        <w:spacing w:after="0" w:line="255" w:lineRule="auto"/>
        <w:rPr>
          <w:sz w:val="20"/>
          <w:szCs w:val="20"/>
          <w:color w:val="auto"/>
        </w:rPr>
      </w:pPr>
      <w:r>
        <w:rPr>
          <w:rFonts w:ascii="Times New Roman" w:cs="Times New Roman" w:eastAsia="Times New Roman" w:hAnsi="Times New Roman"/>
          <w:sz w:val="18"/>
          <w:szCs w:val="18"/>
          <w:color w:val="auto"/>
        </w:rPr>
        <w:t>The Board may elect one or more standing committees, including, without limitation, a NC and an AC. The Board has established three standing committees, the CC, the NC and the AC, as further described below in sections 7, 8 and 9. The members of the CC are elected by the General Meeting for a term of one business year until the end of the next ordinary General Meeting, and shall serve until they resign or are removed, or such individual’s term as a Board member expires and they are not re-elected for a subsequent term. In the case of a vacancy on the CC during the year the Board shall elect a member of the Board for the remaining term of office. The members of the NC and the AC are elected by the Board for a term of one business year until the end of the next ordinary General Meeting.</w:t>
      </w:r>
    </w:p>
    <w:p>
      <w:pPr>
        <w:spacing w:after="0" w:line="121"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8"/>
          <w:szCs w:val="18"/>
          <w:color w:val="auto"/>
        </w:rPr>
        <w:t>The Board may establish other permanent or non-permanent formal committees from time to time as the Board deems necessary or appropriate to assist the Board in discharging its duties. Unless specified in these Organizational Rules, the duties of such committees will be established in a charter or specified in the Board resolution creating such committee. Any committee to which the Board of Directors delegates any of its powers or duties shall keep records of its meetings and shall report its action to the Board of Directors.</w:t>
      </w:r>
    </w:p>
    <w:p>
      <w:pPr>
        <w:spacing w:after="0" w:line="112" w:lineRule="exact"/>
        <w:rPr>
          <w:sz w:val="20"/>
          <w:szCs w:val="20"/>
          <w:color w:val="auto"/>
        </w:rPr>
      </w:pPr>
    </w:p>
    <w:p>
      <w:pPr>
        <w:jc w:val="both"/>
        <w:ind w:left="880"/>
        <w:spacing w:after="0" w:line="266" w:lineRule="auto"/>
        <w:rPr>
          <w:sz w:val="20"/>
          <w:szCs w:val="20"/>
          <w:color w:val="auto"/>
        </w:rPr>
      </w:pPr>
      <w:r>
        <w:rPr>
          <w:rFonts w:ascii="Times New Roman" w:cs="Times New Roman" w:eastAsia="Times New Roman" w:hAnsi="Times New Roman"/>
          <w:sz w:val="18"/>
          <w:szCs w:val="18"/>
          <w:color w:val="auto"/>
        </w:rPr>
        <w:t>Unless stated otherwise in a committee charter approved by the Board or in a Board-approved regulation or decision, no Committees shall pass any resolutions but shall rather prepare and recommend resolutions to be passed by the full Board. However, no Dependent Board members may pass any resolution on the compensation of the members of the Executive Committee.</w:t>
      </w:r>
    </w:p>
    <w:p>
      <w:pPr>
        <w:spacing w:after="0" w:line="108" w:lineRule="exact"/>
        <w:rPr>
          <w:sz w:val="20"/>
          <w:szCs w:val="20"/>
          <w:color w:val="auto"/>
        </w:rPr>
      </w:pPr>
    </w:p>
    <w:p>
      <w:pPr>
        <w:jc w:val="both"/>
        <w:ind w:left="88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Section 3.2, a director who is not a "non- employee director" under Rule 16b-3 of the United States Securities Exchange Act of 1934 is a </w:t>
      </w:r>
      <w:r>
        <w:rPr>
          <w:rFonts w:ascii="Times New Roman" w:cs="Times New Roman" w:eastAsia="Times New Roman" w:hAnsi="Times New Roman"/>
          <w:sz w:val="18"/>
          <w:szCs w:val="18"/>
          <w:b w:val="1"/>
          <w:bCs w:val="1"/>
          <w:color w:val="auto"/>
        </w:rPr>
        <w:t>Dependent Board</w:t>
      </w:r>
      <w:r>
        <w:rPr>
          <w:rFonts w:ascii="Times New Roman" w:cs="Times New Roman" w:eastAsia="Times New Roman" w:hAnsi="Times New Roman"/>
          <w:sz w:val="18"/>
          <w:szCs w:val="18"/>
          <w:color w:val="auto"/>
        </w:rPr>
        <w:t xml:space="preserve"> member.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Meetings of the Board</w:t>
      </w:r>
    </w:p>
    <w:p>
      <w:pPr>
        <w:spacing w:after="0" w:line="167" w:lineRule="exact"/>
        <w:rPr>
          <w:sz w:val="20"/>
          <w:szCs w:val="20"/>
          <w:color w:val="auto"/>
        </w:rPr>
      </w:pPr>
    </w:p>
    <w:p>
      <w:pPr>
        <w:jc w:val="both"/>
        <w:ind w:left="880"/>
        <w:spacing w:after="0" w:line="259" w:lineRule="auto"/>
        <w:rPr>
          <w:sz w:val="20"/>
          <w:szCs w:val="20"/>
          <w:color w:val="auto"/>
        </w:rPr>
      </w:pPr>
      <w:r>
        <w:rPr>
          <w:rFonts w:ascii="Times New Roman" w:cs="Times New Roman" w:eastAsia="Times New Roman" w:hAnsi="Times New Roman"/>
          <w:sz w:val="18"/>
          <w:szCs w:val="18"/>
          <w:color w:val="auto"/>
        </w:rPr>
        <w:t xml:space="preserve">Meetings shall be called as often as required, but in any case at least four times per year (the </w:t>
      </w:r>
      <w:r>
        <w:rPr>
          <w:rFonts w:ascii="Times New Roman" w:cs="Times New Roman" w:eastAsia="Times New Roman" w:hAnsi="Times New Roman"/>
          <w:sz w:val="18"/>
          <w:szCs w:val="18"/>
          <w:b w:val="1"/>
          <w:bCs w:val="1"/>
          <w:color w:val="auto"/>
        </w:rPr>
        <w:t>Regular Board Meetings</w:t>
      </w:r>
      <w:r>
        <w:rPr>
          <w:rFonts w:ascii="Times New Roman" w:cs="Times New Roman" w:eastAsia="Times New Roman" w:hAnsi="Times New Roman"/>
          <w:sz w:val="18"/>
          <w:szCs w:val="18"/>
          <w:color w:val="auto"/>
        </w:rPr>
        <w:t>), by the Chairperson or the person designated by the Chairperson and shall be chaired by the Chairperson and in the event he/she is prevented from doing so, by the Vice Chairperson and in the event he/she is prevented from doing so, by any other member of the Board. In cases of urgency, any member of the Board may request an immediate meeting. This request must be made as far in advance as possible and shall include a statement of the reasons for such request.</w:t>
      </w:r>
    </w:p>
    <w:p>
      <w:pPr>
        <w:spacing w:after="0" w:line="116"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8"/>
          <w:szCs w:val="18"/>
          <w:color w:val="auto"/>
        </w:rPr>
        <w:t>Regular Board Meetings may be held at such hour, date and place as the Board may by resolution from time to time determine and publicize by means of reasonable notice given to any director who is not present at the meeting at which such resolution is adopted. The yearly meeting calendar indicating the meeting dates for the Regular Board Meetings shall be preliminarily fixed prior to the start of each calendar year.</w:t>
      </w:r>
    </w:p>
    <w:p>
      <w:pPr>
        <w:spacing w:after="0" w:line="112" w:lineRule="exact"/>
        <w:rPr>
          <w:sz w:val="20"/>
          <w:szCs w:val="20"/>
          <w:color w:val="auto"/>
        </w:rPr>
      </w:pPr>
    </w:p>
    <w:p>
      <w:pPr>
        <w:jc w:val="both"/>
        <w:ind w:left="880"/>
        <w:spacing w:after="0" w:line="282" w:lineRule="auto"/>
        <w:rPr>
          <w:sz w:val="20"/>
          <w:szCs w:val="20"/>
          <w:color w:val="auto"/>
        </w:rPr>
      </w:pPr>
      <w:r>
        <w:rPr>
          <w:rFonts w:ascii="Times New Roman" w:cs="Times New Roman" w:eastAsia="Times New Roman" w:hAnsi="Times New Roman"/>
          <w:sz w:val="18"/>
          <w:szCs w:val="18"/>
          <w:color w:val="auto"/>
        </w:rPr>
        <w:t>In urgent matters, these formal requirements do not need to be met. In such a situation, the Board may pass a resolution if a majority of its members confirms the urgent character of the matter.</w:t>
      </w:r>
    </w:p>
    <w:p>
      <w:pPr>
        <w:spacing w:after="0" w:line="94" w:lineRule="exact"/>
        <w:rPr>
          <w:sz w:val="20"/>
          <w:szCs w:val="20"/>
          <w:color w:val="auto"/>
        </w:rPr>
      </w:pPr>
    </w:p>
    <w:p>
      <w:pPr>
        <w:jc w:val="both"/>
        <w:ind w:left="880"/>
        <w:spacing w:after="0" w:line="266" w:lineRule="auto"/>
        <w:rPr>
          <w:sz w:val="20"/>
          <w:szCs w:val="20"/>
          <w:color w:val="auto"/>
        </w:rPr>
      </w:pPr>
      <w:r>
        <w:rPr>
          <w:rFonts w:ascii="Times New Roman" w:cs="Times New Roman" w:eastAsia="Times New Roman" w:hAnsi="Times New Roman"/>
          <w:sz w:val="18"/>
          <w:szCs w:val="18"/>
          <w:color w:val="auto"/>
        </w:rPr>
        <w:t>If all members of the Board agree to do so, they may also pass resolutions on matters which were not properly notified. Resolutions may be passed by electronic means (including telephone or videoconference). Resolutions may also be passed by way of circulation, provided that no member requests oral deliberation.</w:t>
      </w:r>
    </w:p>
    <w:p>
      <w:pPr>
        <w:spacing w:after="0" w:line="108" w:lineRule="exact"/>
        <w:rPr>
          <w:sz w:val="20"/>
          <w:szCs w:val="20"/>
          <w:color w:val="auto"/>
        </w:rPr>
      </w:pPr>
    </w:p>
    <w:p>
      <w:pPr>
        <w:jc w:val="both"/>
        <w:ind w:left="880"/>
        <w:spacing w:after="0" w:line="266" w:lineRule="auto"/>
        <w:rPr>
          <w:sz w:val="20"/>
          <w:szCs w:val="20"/>
          <w:color w:val="auto"/>
        </w:rPr>
      </w:pPr>
      <w:r>
        <w:rPr>
          <w:rFonts w:ascii="Times New Roman" w:cs="Times New Roman" w:eastAsia="Times New Roman" w:hAnsi="Times New Roman"/>
          <w:sz w:val="18"/>
          <w:szCs w:val="18"/>
          <w:color w:val="auto"/>
        </w:rPr>
        <w:t>If the CEO is simultaneously a member of the Board, the Board shall hold, on an as needed basis, and in any case at least once per year, discussions in Board meetings without the presence of the CEO. The matters to be addressed during such meetings shall be matters such as the collaboration of the members of the Board with the CEO and the Executive Committee.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Functions and Powers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878840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157" w:name="page158"/>
    <w:bookmarkEnd w:id="157"/>
    <w:p>
      <w:pPr>
        <w:spacing w:after="0" w:line="261" w:lineRule="exact"/>
        <w:rPr>
          <w:sz w:val="20"/>
          <w:szCs w:val="20"/>
          <w:color w:val="auto"/>
        </w:rPr>
      </w:pPr>
    </w:p>
    <w:p>
      <w:pPr>
        <w:jc w:val="both"/>
        <w:ind w:left="880" w:right="40"/>
        <w:spacing w:after="0" w:line="266" w:lineRule="auto"/>
        <w:rPr>
          <w:sz w:val="20"/>
          <w:szCs w:val="20"/>
          <w:color w:val="auto"/>
        </w:rPr>
      </w:pPr>
      <w:r>
        <w:rPr>
          <w:rFonts w:ascii="Times New Roman" w:cs="Times New Roman" w:eastAsia="Times New Roman" w:hAnsi="Times New Roman"/>
          <w:sz w:val="18"/>
          <w:szCs w:val="18"/>
          <w:color w:val="auto"/>
        </w:rPr>
        <w:t>The Board is the highest executive body of the Company and is vested with the ultimate direction of the Company and is ultimately responsible for the business and affairs of the Company. The Board shall exercise such powers and perform such duties as required by law, the Articles of Association, the Organizational Rules and other regulations, directives, policies and guidelines.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Board is responsible for the overall direction of the business of the Company and the supervision of the operational management.</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It issues guidelines and policies for the business and ensures that it is regularly informed about the course of business.</w:t>
      </w:r>
    </w:p>
    <w:p>
      <w:pPr>
        <w:spacing w:after="0" w:line="139" w:lineRule="exact"/>
        <w:rPr>
          <w:sz w:val="20"/>
          <w:szCs w:val="20"/>
          <w:color w:val="auto"/>
        </w:rPr>
      </w:pPr>
    </w:p>
    <w:p>
      <w:pPr>
        <w:jc w:val="both"/>
        <w:ind w:left="880" w:right="40"/>
        <w:spacing w:after="0" w:line="266" w:lineRule="auto"/>
        <w:rPr>
          <w:sz w:val="20"/>
          <w:szCs w:val="20"/>
          <w:color w:val="auto"/>
        </w:rPr>
      </w:pPr>
      <w:r>
        <w:rPr>
          <w:rFonts w:ascii="Times New Roman" w:cs="Times New Roman" w:eastAsia="Times New Roman" w:hAnsi="Times New Roman"/>
          <w:sz w:val="18"/>
          <w:szCs w:val="18"/>
          <w:color w:val="auto"/>
        </w:rPr>
        <w:t>The Board has the power to make decisions and pass resolutions on all matters which are not expressly reserved, entrusted or vested in the General Meeting or delegated to any other corporate body or person by Swiss law, the respective Articles of Association or these Organizational Rules.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Delegation of Power</w:t>
      </w:r>
    </w:p>
    <w:p>
      <w:pPr>
        <w:spacing w:after="0" w:line="158" w:lineRule="exact"/>
        <w:rPr>
          <w:sz w:val="20"/>
          <w:szCs w:val="20"/>
          <w:color w:val="auto"/>
        </w:rPr>
      </w:pPr>
    </w:p>
    <w:p>
      <w:pPr>
        <w:jc w:val="both"/>
        <w:ind w:left="880" w:right="40"/>
        <w:spacing w:after="0" w:line="282" w:lineRule="auto"/>
        <w:rPr>
          <w:sz w:val="20"/>
          <w:szCs w:val="20"/>
          <w:color w:val="auto"/>
        </w:rPr>
      </w:pPr>
      <w:r>
        <w:rPr>
          <w:rFonts w:ascii="Times New Roman" w:cs="Times New Roman" w:eastAsia="Times New Roman" w:hAnsi="Times New Roman"/>
          <w:sz w:val="18"/>
          <w:szCs w:val="18"/>
          <w:color w:val="auto"/>
        </w:rPr>
        <w:t>The Board delegates management entirely to the CEO unless Swiss law, the respective Articles of Association or these Organizational Rules provide otherwise.</w:t>
      </w:r>
    </w:p>
    <w:p>
      <w:pPr>
        <w:spacing w:after="0" w:line="94" w:lineRule="exact"/>
        <w:rPr>
          <w:sz w:val="20"/>
          <w:szCs w:val="20"/>
          <w:color w:val="auto"/>
        </w:rPr>
      </w:pPr>
    </w:p>
    <w:p>
      <w:pPr>
        <w:jc w:val="both"/>
        <w:ind w:left="880" w:right="40"/>
        <w:spacing w:after="0" w:line="282" w:lineRule="auto"/>
        <w:rPr>
          <w:sz w:val="20"/>
          <w:szCs w:val="20"/>
          <w:color w:val="auto"/>
        </w:rPr>
      </w:pPr>
      <w:r>
        <w:rPr>
          <w:rFonts w:ascii="Times New Roman" w:cs="Times New Roman" w:eastAsia="Times New Roman" w:hAnsi="Times New Roman"/>
          <w:sz w:val="18"/>
          <w:szCs w:val="18"/>
          <w:color w:val="auto"/>
        </w:rPr>
        <w:t>The Board supervises, monitors and controls the management. The Board enacts guidelines for business policy and shall be regularly informed by the Executive Committee about the course of business.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Board may assess its proper performance as well as the performance of the CEO and the Committees by periodic self-evaluations.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CC or NC shall oversee such evaluation process.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Non-transferable and Irrevocable Duties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CO, the Board has the following non-transferable and inalienable duties:</w:t>
      </w:r>
    </w:p>
    <w:p>
      <w:pPr>
        <w:spacing w:after="0" w:line="104" w:lineRule="exact"/>
        <w:rPr>
          <w:sz w:val="20"/>
          <w:szCs w:val="20"/>
          <w:color w:val="auto"/>
        </w:rPr>
      </w:pPr>
    </w:p>
    <w:p>
      <w:pPr>
        <w:ind w:left="1460" w:right="40" w:hanging="582"/>
        <w:spacing w:after="0" w:line="282" w:lineRule="auto"/>
        <w:tabs>
          <w:tab w:leader="none" w:pos="12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governance of the Company including formulating the vision, mission, values, strategy and planning priorities and laying down guidelines for corporate policy and issuing the necessary instructions;</w:t>
      </w:r>
    </w:p>
    <w:p>
      <w:pPr>
        <w:spacing w:after="0" w:line="40" w:lineRule="exact"/>
        <w:rPr>
          <w:rFonts w:ascii="Times New Roman" w:cs="Times New Roman" w:eastAsia="Times New Roman" w:hAnsi="Times New Roman"/>
          <w:sz w:val="18"/>
          <w:szCs w:val="18"/>
          <w:color w:val="auto"/>
        </w:rPr>
      </w:pPr>
    </w:p>
    <w:p>
      <w:pPr>
        <w:ind w:left="1460" w:right="60" w:hanging="582"/>
        <w:spacing w:after="0" w:line="282" w:lineRule="auto"/>
        <w:tabs>
          <w:tab w:leader="none" w:pos="12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appropriate organizational structure and processes to effectively and efficiently execute the agreed upon strategies and financial goals;</w:t>
      </w:r>
    </w:p>
    <w:p>
      <w:pPr>
        <w:spacing w:after="0" w:line="26" w:lineRule="exact"/>
        <w:rPr>
          <w:rFonts w:ascii="Times New Roman" w:cs="Times New Roman" w:eastAsia="Times New Roman" w:hAnsi="Times New Roman"/>
          <w:sz w:val="18"/>
          <w:szCs w:val="18"/>
          <w:color w:val="auto"/>
        </w:rPr>
      </w:pPr>
    </w:p>
    <w:p>
      <w:pPr>
        <w:ind w:left="1240" w:hanging="362"/>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the accounting, financial control and financial planning systems as required for the management of the Company;</w:t>
      </w:r>
    </w:p>
    <w:p>
      <w:pPr>
        <w:spacing w:after="0" w:line="103" w:lineRule="exact"/>
        <w:rPr>
          <w:rFonts w:ascii="Times New Roman" w:cs="Times New Roman" w:eastAsia="Times New Roman" w:hAnsi="Times New Roman"/>
          <w:sz w:val="18"/>
          <w:szCs w:val="18"/>
          <w:color w:val="auto"/>
        </w:rPr>
      </w:pPr>
    </w:p>
    <w:p>
      <w:pPr>
        <w:ind w:left="1460" w:right="40" w:hanging="582"/>
        <w:spacing w:after="0" w:line="282" w:lineRule="auto"/>
        <w:tabs>
          <w:tab w:leader="none" w:pos="12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dismissing the members of the Executive Committee as well as any other persons responsible for the management and the representation of the Company, and conferring signatory powers;</w:t>
      </w:r>
    </w:p>
    <w:p>
      <w:pPr>
        <w:spacing w:after="0" w:line="40" w:lineRule="exact"/>
        <w:rPr>
          <w:rFonts w:ascii="Times New Roman" w:cs="Times New Roman" w:eastAsia="Times New Roman" w:hAnsi="Times New Roman"/>
          <w:sz w:val="18"/>
          <w:szCs w:val="18"/>
          <w:color w:val="auto"/>
        </w:rPr>
      </w:pPr>
    </w:p>
    <w:p>
      <w:pPr>
        <w:ind w:left="1460" w:right="40" w:hanging="582"/>
        <w:spacing w:after="0" w:line="266" w:lineRule="auto"/>
        <w:tabs>
          <w:tab w:leader="none" w:pos="12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supervision of the persons responsible for the management of the Company, in particular with regard to such persons compliance with the law and any industry regulations, stock exchange requirements including reporting frameworks and standards, Articles of Association, internal regulations and directives;</w:t>
      </w:r>
    </w:p>
    <w:p>
      <w:pPr>
        <w:spacing w:after="0" w:line="54" w:lineRule="exact"/>
        <w:rPr>
          <w:rFonts w:ascii="Times New Roman" w:cs="Times New Roman" w:eastAsia="Times New Roman" w:hAnsi="Times New Roman"/>
          <w:sz w:val="18"/>
          <w:szCs w:val="18"/>
          <w:color w:val="auto"/>
        </w:rPr>
      </w:pPr>
    </w:p>
    <w:p>
      <w:pPr>
        <w:ind w:left="1460" w:right="60" w:hanging="582"/>
        <w:spacing w:after="0" w:line="282" w:lineRule="auto"/>
        <w:tabs>
          <w:tab w:leader="none" w:pos="12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report and the annual financial statements as well as convening and preparing the General Meeting and implementing its resolutions;</w:t>
      </w:r>
    </w:p>
    <w:p>
      <w:pPr>
        <w:spacing w:after="0" w:line="40" w:lineRule="exact"/>
        <w:rPr>
          <w:rFonts w:ascii="Times New Roman" w:cs="Times New Roman" w:eastAsia="Times New Roman" w:hAnsi="Times New Roman"/>
          <w:sz w:val="18"/>
          <w:szCs w:val="18"/>
          <w:color w:val="auto"/>
        </w:rPr>
      </w:pPr>
    </w:p>
    <w:p>
      <w:pPr>
        <w:ind w:left="1240" w:hanging="362"/>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capital increases and amending the Articles of Association;</w:t>
      </w:r>
    </w:p>
    <w:p>
      <w:pPr>
        <w:spacing w:after="0" w:line="103" w:lineRule="exact"/>
        <w:rPr>
          <w:rFonts w:ascii="Times New Roman" w:cs="Times New Roman" w:eastAsia="Times New Roman" w:hAnsi="Times New Roman"/>
          <w:sz w:val="18"/>
          <w:szCs w:val="18"/>
          <w:color w:val="auto"/>
        </w:rPr>
      </w:pPr>
    </w:p>
    <w:p>
      <w:pPr>
        <w:ind w:left="1460" w:right="40" w:hanging="582"/>
        <w:spacing w:after="0" w:line="266" w:lineRule="auto"/>
        <w:tabs>
          <w:tab w:leader="none" w:pos="12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the compensation report (which includes a separate report adopted by the CC) and submitting the compensation report to the General Meeting for a non-binding vote and requesting approval by the General Meeting of the compensation of the Board and the Executive Committee; and</w:t>
      </w:r>
    </w:p>
    <w:p>
      <w:pPr>
        <w:spacing w:after="0" w:line="54" w:lineRule="exact"/>
        <w:rPr>
          <w:rFonts w:ascii="Times New Roman" w:cs="Times New Roman" w:eastAsia="Times New Roman" w:hAnsi="Times New Roman"/>
          <w:sz w:val="18"/>
          <w:szCs w:val="18"/>
          <w:color w:val="auto"/>
        </w:rPr>
      </w:pPr>
    </w:p>
    <w:p>
      <w:pPr>
        <w:ind w:left="1240" w:hanging="362"/>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 application for a debt restructuring moratorium and notifying the court in the event that the Company is overindebted.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878840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480" w:top="1440" w:right="759" w:bottom="1440" w:gutter="0" w:footer="0" w:header="0"/>
        </w:sectPr>
      </w:pPr>
    </w:p>
    <w:bookmarkStart w:id="158" w:name="page159"/>
    <w:bookmarkEnd w:id="158"/>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Additional Duties and Competencies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require the approval of the Board:</w:t>
      </w:r>
    </w:p>
    <w:p>
      <w:pPr>
        <w:spacing w:after="0" w:line="104" w:lineRule="exact"/>
        <w:rPr>
          <w:sz w:val="20"/>
          <w:szCs w:val="20"/>
          <w:color w:val="auto"/>
        </w:rPr>
      </w:pPr>
    </w:p>
    <w:p>
      <w:pPr>
        <w:ind w:left="1240" w:hanging="362"/>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 annual budget and any material change to any such budget as amended from time to time;</w:t>
      </w:r>
    </w:p>
    <w:p>
      <w:pPr>
        <w:spacing w:after="0" w:line="103" w:lineRule="exact"/>
        <w:rPr>
          <w:rFonts w:ascii="Times New Roman" w:cs="Times New Roman" w:eastAsia="Times New Roman" w:hAnsi="Times New Roman"/>
          <w:sz w:val="18"/>
          <w:szCs w:val="18"/>
          <w:color w:val="auto"/>
        </w:rPr>
      </w:pPr>
    </w:p>
    <w:p>
      <w:pPr>
        <w:ind w:left="1460" w:hanging="582"/>
        <w:spacing w:after="0" w:line="261" w:lineRule="auto"/>
        <w:tabs>
          <w:tab w:leader="none" w:pos="123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mergers, acquisitions, joint ventures, partnerships, alliances or licensing or any other material transaction not otherwise delegated to the Executive Committee, in each case, if any of the foregoing is (i) entered into outside the ordinary course of the Company’s business, (ii) not contemplated by the budget and (iii) material to the Company and its subsidiaries on a consolidated basis;</w:t>
      </w:r>
    </w:p>
    <w:p>
      <w:pPr>
        <w:spacing w:after="0" w:line="44" w:lineRule="exact"/>
        <w:rPr>
          <w:rFonts w:ascii="Times New Roman" w:cs="Times New Roman" w:eastAsia="Times New Roman" w:hAnsi="Times New Roman"/>
          <w:sz w:val="18"/>
          <w:szCs w:val="18"/>
          <w:color w:val="auto"/>
        </w:rPr>
      </w:pPr>
    </w:p>
    <w:p>
      <w:pPr>
        <w:ind w:left="1460" w:hanging="582"/>
        <w:spacing w:after="0" w:line="282" w:lineRule="auto"/>
        <w:tabs>
          <w:tab w:leader="none" w:pos="123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compensation of the members of the Board and the Executive Committee within the framework set by the General Meeting; and</w:t>
      </w:r>
    </w:p>
    <w:p>
      <w:pPr>
        <w:spacing w:after="0" w:line="40" w:lineRule="exact"/>
        <w:rPr>
          <w:rFonts w:ascii="Times New Roman" w:cs="Times New Roman" w:eastAsia="Times New Roman" w:hAnsi="Times New Roman"/>
          <w:sz w:val="18"/>
          <w:szCs w:val="18"/>
          <w:color w:val="auto"/>
        </w:rPr>
      </w:pPr>
    </w:p>
    <w:p>
      <w:pPr>
        <w:ind w:left="1240" w:hanging="362"/>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and amend equity based plans.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Board may enact an implementing policy regarding any of the foregoing.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Duties and Competences delegated to the CC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approval of the following are hereby delegated to the CC:</w:t>
      </w:r>
    </w:p>
    <w:p>
      <w:pPr>
        <w:spacing w:after="0" w:line="104" w:lineRule="exact"/>
        <w:rPr>
          <w:sz w:val="20"/>
          <w:szCs w:val="20"/>
          <w:color w:val="auto"/>
        </w:rPr>
      </w:pPr>
    </w:p>
    <w:p>
      <w:pPr>
        <w:ind w:left="1460" w:hanging="582"/>
        <w:spacing w:after="0" w:line="282" w:lineRule="auto"/>
        <w:tabs>
          <w:tab w:leader="none" w:pos="123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principles of employee benefits (including, without limitation, equity benefits, cash bonus benefits, medical benefits, and retirement plans, employee pension fund, and employee insurance).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Duties and Competences delegated to the AC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approval of the following are hereby delegated to the AC:</w:t>
      </w:r>
    </w:p>
    <w:p>
      <w:pPr>
        <w:spacing w:after="0" w:line="104" w:lineRule="exact"/>
        <w:rPr>
          <w:sz w:val="20"/>
          <w:szCs w:val="20"/>
          <w:color w:val="auto"/>
        </w:rPr>
      </w:pPr>
    </w:p>
    <w:p>
      <w:pPr>
        <w:ind w:left="1460" w:right="20" w:hanging="582"/>
        <w:spacing w:after="0" w:line="282" w:lineRule="auto"/>
        <w:tabs>
          <w:tab w:leader="none" w:pos="12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transactions with a member of the Board, the Executive Committee or a known, material shareholder or a person related thereto (whereby the Board shall be informed about the decisions of the AC); and</w:t>
      </w:r>
    </w:p>
    <w:p>
      <w:pPr>
        <w:spacing w:after="0" w:line="40" w:lineRule="exact"/>
        <w:rPr>
          <w:rFonts w:ascii="Times New Roman" w:cs="Times New Roman" w:eastAsia="Times New Roman" w:hAnsi="Times New Roman"/>
          <w:sz w:val="18"/>
          <w:szCs w:val="18"/>
          <w:color w:val="auto"/>
        </w:rPr>
      </w:pPr>
    </w:p>
    <w:p>
      <w:pPr>
        <w:ind w:left="1460" w:hanging="582"/>
        <w:spacing w:after="0" w:line="266" w:lineRule="auto"/>
        <w:tabs>
          <w:tab w:leader="none" w:pos="12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defending, protecting or interim activities in connection with legal actions, litigations or other official proceedings that may have a material effect on the Company’s financial statements or its compliance policies and procedures (whereby the Board and management shall be informed about any ongoing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 Reporting and Right to Information</w:t>
      </w:r>
    </w:p>
    <w:p>
      <w:pPr>
        <w:spacing w:after="0" w:line="158" w:lineRule="exact"/>
        <w:rPr>
          <w:sz w:val="20"/>
          <w:szCs w:val="20"/>
          <w:color w:val="auto"/>
        </w:rPr>
      </w:pPr>
    </w:p>
    <w:p>
      <w:pPr>
        <w:jc w:val="both"/>
        <w:ind w:left="880"/>
        <w:spacing w:after="0" w:line="266" w:lineRule="auto"/>
        <w:rPr>
          <w:sz w:val="20"/>
          <w:szCs w:val="20"/>
          <w:color w:val="auto"/>
        </w:rPr>
      </w:pPr>
      <w:r>
        <w:rPr>
          <w:rFonts w:ascii="Times New Roman" w:cs="Times New Roman" w:eastAsia="Times New Roman" w:hAnsi="Times New Roman"/>
          <w:sz w:val="18"/>
          <w:szCs w:val="18"/>
          <w:color w:val="auto"/>
        </w:rPr>
        <w:t>Every single member of the Board may at any time request information about all matters of the Company and presentation of the records and books to the extent such information is required to exercise the Board's decisions. Outside of a Board meeting such request has to be addressed to the Chairperson.</w:t>
      </w:r>
    </w:p>
    <w:p>
      <w:pPr>
        <w:spacing w:after="0" w:line="108"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8"/>
          <w:szCs w:val="18"/>
          <w:color w:val="auto"/>
        </w:rPr>
        <w:t>In each meeting, the Board is to be informed by the CEO concerning all current matters, material developments in the Company's business and material deviations from the budget. Between meetings, the CEO shall inform the Board without delay of any developments in the Company's business that materially alters the risk profile of the Company as well as any other matters outside the ordinary course of business.</w:t>
      </w:r>
    </w:p>
    <w:p>
      <w:pPr>
        <w:spacing w:after="0" w:line="112" w:lineRule="exact"/>
        <w:rPr>
          <w:sz w:val="20"/>
          <w:szCs w:val="20"/>
          <w:color w:val="auto"/>
        </w:rPr>
      </w:pPr>
    </w:p>
    <w:p>
      <w:pPr>
        <w:jc w:val="both"/>
        <w:ind w:left="880"/>
        <w:spacing w:after="0" w:line="282" w:lineRule="auto"/>
        <w:rPr>
          <w:sz w:val="20"/>
          <w:szCs w:val="20"/>
          <w:color w:val="auto"/>
        </w:rPr>
      </w:pPr>
      <w:r>
        <w:rPr>
          <w:rFonts w:ascii="Times New Roman" w:cs="Times New Roman" w:eastAsia="Times New Roman" w:hAnsi="Times New Roman"/>
          <w:sz w:val="18"/>
          <w:szCs w:val="18"/>
          <w:color w:val="auto"/>
        </w:rPr>
        <w:t>Outside meetings, any member may request information from the persons entrusted with managing the Company's business concerning the course of business and, with the Chairperson's authorization, specific transactions.</w:t>
      </w:r>
    </w:p>
    <w:p>
      <w:pPr>
        <w:spacing w:after="0" w:line="94" w:lineRule="exact"/>
        <w:rPr>
          <w:sz w:val="20"/>
          <w:szCs w:val="20"/>
          <w:color w:val="auto"/>
        </w:rPr>
      </w:pPr>
    </w:p>
    <w:p>
      <w:pPr>
        <w:jc w:val="both"/>
        <w:ind w:left="880"/>
        <w:spacing w:after="0" w:line="266" w:lineRule="auto"/>
        <w:rPr>
          <w:sz w:val="20"/>
          <w:szCs w:val="20"/>
          <w:color w:val="auto"/>
        </w:rPr>
      </w:pPr>
      <w:r>
        <w:rPr>
          <w:rFonts w:ascii="Times New Roman" w:cs="Times New Roman" w:eastAsia="Times New Roman" w:hAnsi="Times New Roman"/>
          <w:sz w:val="18"/>
          <w:szCs w:val="18"/>
          <w:color w:val="auto"/>
        </w:rPr>
        <w:t>To the extent necessary to fulfill his/her duties, each Board member may request that the Chairperson authorizes an information, hearing or inspection regarding the books and records of the Company by an independent person. If the Chairperson rejects a request for information, hearing or inspection, the Board shall decide whether to grant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847725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159" w:name="page160"/>
    <w:bookmarkEnd w:id="159"/>
    <w:p>
      <w:pPr>
        <w:spacing w:after="0" w:line="26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3.11 Signatory Powers</w:t>
      </w:r>
    </w:p>
    <w:p>
      <w:pPr>
        <w:spacing w:after="0" w:line="158" w:lineRule="exact"/>
        <w:rPr>
          <w:sz w:val="20"/>
          <w:szCs w:val="20"/>
          <w:color w:val="auto"/>
        </w:rPr>
      </w:pPr>
    </w:p>
    <w:p>
      <w:pPr>
        <w:ind w:left="892"/>
        <w:spacing w:after="0" w:line="282" w:lineRule="auto"/>
        <w:rPr>
          <w:sz w:val="20"/>
          <w:szCs w:val="20"/>
          <w:color w:val="auto"/>
        </w:rPr>
      </w:pPr>
      <w:r>
        <w:rPr>
          <w:rFonts w:ascii="Times New Roman" w:cs="Times New Roman" w:eastAsia="Times New Roman" w:hAnsi="Times New Roman"/>
          <w:sz w:val="18"/>
          <w:szCs w:val="18"/>
          <w:color w:val="auto"/>
        </w:rPr>
        <w:t>The Board regulates the signatory power of the Company and grants such authorization; it may generally grant single signatory power so that one authorized signatory is required to sign on behalf of the Company.</w:t>
      </w:r>
    </w:p>
    <w:p>
      <w:pPr>
        <w:spacing w:after="0" w:line="9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3.12 Remuneration</w:t>
      </w:r>
    </w:p>
    <w:p>
      <w:pPr>
        <w:spacing w:after="0" w:line="158" w:lineRule="exact"/>
        <w:rPr>
          <w:sz w:val="20"/>
          <w:szCs w:val="20"/>
          <w:color w:val="auto"/>
        </w:rPr>
      </w:pPr>
    </w:p>
    <w:p>
      <w:pPr>
        <w:jc w:val="both"/>
        <w:ind w:left="892" w:right="40"/>
        <w:spacing w:after="0" w:line="261" w:lineRule="auto"/>
        <w:rPr>
          <w:sz w:val="20"/>
          <w:szCs w:val="20"/>
          <w:color w:val="auto"/>
        </w:rPr>
      </w:pPr>
      <w:r>
        <w:rPr>
          <w:rFonts w:ascii="Times New Roman" w:cs="Times New Roman" w:eastAsia="Times New Roman" w:hAnsi="Times New Roman"/>
          <w:sz w:val="18"/>
          <w:szCs w:val="18"/>
          <w:color w:val="auto"/>
        </w:rPr>
        <w:t>As remuneration for the above stated obligations and responsibilities of the Board, the members of the Board shall receive a fixed annual board fee, independent of the business results, as well as remuneration in form of equity or equity linked instruments, which shall be within the maximum amount approved by the General Meeting. In addition, the members of the Board shall be reimbursed for their expenses.</w:t>
      </w:r>
    </w:p>
    <w:p>
      <w:pPr>
        <w:spacing w:after="0" w:line="112" w:lineRule="exact"/>
        <w:rPr>
          <w:sz w:val="20"/>
          <w:szCs w:val="20"/>
          <w:color w:val="auto"/>
        </w:rPr>
      </w:pPr>
    </w:p>
    <w:p>
      <w:pPr>
        <w:jc w:val="both"/>
        <w:ind w:left="892" w:right="40"/>
        <w:spacing w:after="0" w:line="266" w:lineRule="auto"/>
        <w:rPr>
          <w:sz w:val="20"/>
          <w:szCs w:val="20"/>
          <w:color w:val="auto"/>
        </w:rPr>
      </w:pPr>
      <w:r>
        <w:rPr>
          <w:rFonts w:ascii="Times New Roman" w:cs="Times New Roman" w:eastAsia="Times New Roman" w:hAnsi="Times New Roman"/>
          <w:sz w:val="18"/>
          <w:szCs w:val="18"/>
          <w:color w:val="auto"/>
        </w:rPr>
        <w:t>Subject to the prior approval by the AC, in the event of a related party transaction, special services rendered by individual Board members, in particular the activity of the specifically delegated members of the Board pertaining to the management or supervision of group companies, may be compensated in an appropriate manner.</w:t>
      </w:r>
    </w:p>
    <w:p>
      <w:pPr>
        <w:spacing w:after="0" w:line="388" w:lineRule="exact"/>
        <w:rPr>
          <w:sz w:val="20"/>
          <w:szCs w:val="20"/>
          <w:color w:val="auto"/>
        </w:rPr>
      </w:pPr>
    </w:p>
    <w:p>
      <w:pPr>
        <w:ind w:left="352" w:hanging="352"/>
        <w:spacing w:after="0"/>
        <w:tabs>
          <w:tab w:leader="none" w:pos="35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CHAIRPERSON</w:t>
      </w:r>
    </w:p>
    <w:p>
      <w:pPr>
        <w:spacing w:after="0" w:line="175"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Chairperson of the Board, and in his/her absence or incapacity the Vice Chairperson, shall have the following duties and powers:</w:t>
      </w:r>
    </w:p>
    <w:p>
      <w:pPr>
        <w:spacing w:after="0" w:line="90" w:lineRule="exact"/>
        <w:rPr>
          <w:sz w:val="20"/>
          <w:szCs w:val="20"/>
          <w:color w:val="auto"/>
        </w:rPr>
      </w:pPr>
    </w:p>
    <w:p>
      <w:pPr>
        <w:ind w:left="1472" w:right="40" w:hanging="582"/>
        <w:spacing w:after="0" w:line="282" w:lineRule="auto"/>
        <w:tabs>
          <w:tab w:leader="none" w:pos="12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and manage the Board, especially by establishing an appropriate structure and governance system of the Board enabling the Board to render its duties efficiently and in the best interest of the Company;</w:t>
      </w:r>
    </w:p>
    <w:p>
      <w:pPr>
        <w:spacing w:after="0" w:line="40" w:lineRule="exact"/>
        <w:rPr>
          <w:rFonts w:ascii="Times New Roman" w:cs="Times New Roman" w:eastAsia="Times New Roman" w:hAnsi="Times New Roman"/>
          <w:sz w:val="18"/>
          <w:szCs w:val="18"/>
          <w:color w:val="auto"/>
        </w:rPr>
      </w:pPr>
    </w:p>
    <w:p>
      <w:pPr>
        <w:ind w:left="1472" w:right="80" w:hanging="582"/>
        <w:spacing w:after="0" w:line="282" w:lineRule="auto"/>
        <w:tabs>
          <w:tab w:leader="none" w:pos="12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call and chair the Board meetings, including organize the agenda and the meeting materials provided to the Board members in advance of the meetings;</w:t>
      </w:r>
    </w:p>
    <w:p>
      <w:pPr>
        <w:spacing w:after="0" w:line="40"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the General Meetings;</w:t>
      </w:r>
    </w:p>
    <w:p>
      <w:pPr>
        <w:spacing w:after="0" w:line="103"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execution of and compliance with the resolutions adopted by the Board or the General Meeting;</w:t>
      </w:r>
    </w:p>
    <w:p>
      <w:pPr>
        <w:spacing w:after="0" w:line="103" w:lineRule="exact"/>
        <w:rPr>
          <w:rFonts w:ascii="Times New Roman" w:cs="Times New Roman" w:eastAsia="Times New Roman" w:hAnsi="Times New Roman"/>
          <w:sz w:val="18"/>
          <w:szCs w:val="18"/>
          <w:color w:val="auto"/>
        </w:rPr>
      </w:pPr>
    </w:p>
    <w:p>
      <w:pPr>
        <w:ind w:left="1472" w:right="60" w:hanging="582"/>
        <w:spacing w:after="0" w:line="282" w:lineRule="auto"/>
        <w:tabs>
          <w:tab w:leader="none" w:pos="12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information and reporting by the Executive Committee and any other persons entrusted with the management of the Company;</w:t>
      </w:r>
    </w:p>
    <w:p>
      <w:pPr>
        <w:spacing w:after="0" w:line="40"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immediate information of all Board members in case of extraordinary events;</w:t>
      </w:r>
    </w:p>
    <w:p>
      <w:pPr>
        <w:spacing w:after="0" w:line="103"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handle information requests from other Board members in accordance with Art. 715a CO;</w:t>
      </w:r>
    </w:p>
    <w:p>
      <w:pPr>
        <w:spacing w:after="0" w:line="90" w:lineRule="exact"/>
        <w:rPr>
          <w:rFonts w:ascii="Times New Roman" w:cs="Times New Roman" w:eastAsia="Times New Roman" w:hAnsi="Times New Roman"/>
          <w:sz w:val="18"/>
          <w:szCs w:val="18"/>
          <w:color w:val="auto"/>
        </w:rPr>
      </w:pPr>
    </w:p>
    <w:p>
      <w:pPr>
        <w:ind w:left="1472" w:right="60" w:hanging="582"/>
        <w:spacing w:after="0" w:line="282" w:lineRule="auto"/>
        <w:tabs>
          <w:tab w:leader="none" w:pos="12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assigned or delegated to the Chairperson by law, the respective Articles of Associations, these Organizational Rules or Board resolution; and</w:t>
      </w:r>
    </w:p>
    <w:p>
      <w:pPr>
        <w:spacing w:after="0" w:line="40"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informing the CEO, attend meetings of the executive bodies of the Company of which he/she is not a member.</w:t>
      </w:r>
    </w:p>
    <w:p>
      <w:pPr>
        <w:spacing w:after="0" w:line="200" w:lineRule="exact"/>
        <w:rPr>
          <w:sz w:val="20"/>
          <w:szCs w:val="20"/>
          <w:color w:val="auto"/>
        </w:rPr>
      </w:pPr>
    </w:p>
    <w:p>
      <w:pPr>
        <w:spacing w:after="0" w:line="237" w:lineRule="exact"/>
        <w:rPr>
          <w:sz w:val="20"/>
          <w:szCs w:val="20"/>
          <w:color w:val="auto"/>
        </w:rPr>
      </w:pPr>
    </w:p>
    <w:p>
      <w:pPr>
        <w:ind w:left="352" w:hanging="352"/>
        <w:spacing w:after="0"/>
        <w:tabs>
          <w:tab w:leader="none" w:pos="35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CEO</w:t>
      </w:r>
    </w:p>
    <w:p>
      <w:pPr>
        <w:spacing w:after="0" w:line="16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5.1  Basic principle</w:t>
      </w:r>
    </w:p>
    <w:p>
      <w:pPr>
        <w:spacing w:after="0" w:line="171" w:lineRule="exact"/>
        <w:rPr>
          <w:sz w:val="20"/>
          <w:szCs w:val="20"/>
          <w:color w:val="auto"/>
        </w:rPr>
      </w:pPr>
    </w:p>
    <w:p>
      <w:pPr>
        <w:jc w:val="both"/>
        <w:ind w:left="892" w:right="40"/>
        <w:spacing w:after="0" w:line="266" w:lineRule="auto"/>
        <w:rPr>
          <w:sz w:val="20"/>
          <w:szCs w:val="20"/>
          <w:color w:val="auto"/>
        </w:rPr>
      </w:pPr>
      <w:r>
        <w:rPr>
          <w:rFonts w:ascii="Times New Roman" w:cs="Times New Roman" w:eastAsia="Times New Roman" w:hAnsi="Times New Roman"/>
          <w:sz w:val="18"/>
          <w:szCs w:val="18"/>
          <w:color w:val="auto"/>
        </w:rPr>
        <w:t>The CEO chairs and leads the Executive Committee. The CEO assists the Chairperson to prepare the meetings of the Board and implements its resolutions. The CEO can be a Board member or not a Board member. If the CEO is a Board member, he/she can neither be member of the CC, the NC nor of the AC.</w:t>
      </w:r>
    </w:p>
    <w:p>
      <w:pPr>
        <w:spacing w:after="0" w:line="10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CEO is vested with all powers necessary for the performance of his/her duties, subject to the constraints of the overall budget.</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5.2  Appointments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878840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2"/>
          </w:cols>
          <w:pgMar w:left="468" w:top="1440" w:right="759" w:bottom="1440" w:gutter="0" w:footer="0" w:header="0"/>
        </w:sectPr>
      </w:pPr>
    </w:p>
    <w:bookmarkStart w:id="160" w:name="page161"/>
    <w:bookmarkEnd w:id="160"/>
    <w:p>
      <w:pPr>
        <w:spacing w:after="0" w:line="261"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CEO is appointed and dismissed by the Board, based on the proposals of the NC.</w:t>
      </w:r>
    </w:p>
    <w:p>
      <w:pPr>
        <w:spacing w:after="0" w:line="15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employment terms of the CEO are determined by the Board upon a proposal of the CC.</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5.3  Responsibilities and Duties</w:t>
      </w:r>
    </w:p>
    <w:p>
      <w:pPr>
        <w:spacing w:after="0" w:line="15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CEO shall be responsible for:</w:t>
      </w:r>
    </w:p>
    <w:p>
      <w:pPr>
        <w:spacing w:after="0" w:line="104" w:lineRule="exact"/>
        <w:rPr>
          <w:sz w:val="20"/>
          <w:szCs w:val="20"/>
          <w:color w:val="auto"/>
        </w:rPr>
      </w:pPr>
    </w:p>
    <w:p>
      <w:pPr>
        <w:ind w:left="1252" w:hanging="362"/>
        <w:spacing w:after="0"/>
        <w:tabs>
          <w:tab w:leader="none" w:pos="12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business concept and the strategy of the Company to the attention of the Board;</w:t>
      </w:r>
    </w:p>
    <w:p>
      <w:pPr>
        <w:spacing w:after="0" w:line="103"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operative management of Company;</w:t>
      </w:r>
    </w:p>
    <w:p>
      <w:pPr>
        <w:spacing w:after="0" w:line="103" w:lineRule="exact"/>
        <w:rPr>
          <w:rFonts w:ascii="Times New Roman" w:cs="Times New Roman" w:eastAsia="Times New Roman" w:hAnsi="Times New Roman"/>
          <w:sz w:val="18"/>
          <w:szCs w:val="18"/>
          <w:color w:val="auto"/>
        </w:rPr>
      </w:pPr>
    </w:p>
    <w:p>
      <w:pPr>
        <w:ind w:left="1472" w:hanging="582"/>
        <w:spacing w:after="0" w:line="282" w:lineRule="auto"/>
        <w:tabs>
          <w:tab w:leader="none" w:pos="12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and direction of the Executive Committee, in particular, supervise and coordinate the activities of the Executive Committee with reference to the business of the Company;</w:t>
      </w:r>
    </w:p>
    <w:p>
      <w:pPr>
        <w:spacing w:after="0" w:line="40"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results of the Company;</w:t>
      </w:r>
    </w:p>
    <w:p>
      <w:pPr>
        <w:spacing w:after="0" w:line="90"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strategic orientation and other resolutions determined by the Board;</w:t>
      </w:r>
    </w:p>
    <w:p>
      <w:pPr>
        <w:spacing w:after="0" w:line="103" w:lineRule="exact"/>
        <w:rPr>
          <w:rFonts w:ascii="Times New Roman" w:cs="Times New Roman" w:eastAsia="Times New Roman" w:hAnsi="Times New Roman"/>
          <w:sz w:val="18"/>
          <w:szCs w:val="18"/>
          <w:color w:val="auto"/>
        </w:rPr>
      </w:pPr>
    </w:p>
    <w:p>
      <w:pPr>
        <w:ind w:left="1472" w:right="40" w:hanging="582"/>
        <w:spacing w:after="0" w:line="282" w:lineRule="auto"/>
        <w:tabs>
          <w:tab w:leader="none" w:pos="12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passed resolutions are assigned to the individual members of the Executive Committee for execution and monitor the implementation of such resolutions;</w:t>
      </w:r>
    </w:p>
    <w:p>
      <w:pPr>
        <w:spacing w:after="0" w:line="40"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Company vis-à-vis the shareholders and maintaining relations with shareholders and investors;</w:t>
      </w:r>
    </w:p>
    <w:p>
      <w:pPr>
        <w:spacing w:after="0" w:line="103" w:lineRule="exact"/>
        <w:rPr>
          <w:rFonts w:ascii="Times New Roman" w:cs="Times New Roman" w:eastAsia="Times New Roman" w:hAnsi="Times New Roman"/>
          <w:sz w:val="18"/>
          <w:szCs w:val="18"/>
          <w:color w:val="auto"/>
        </w:rPr>
      </w:pPr>
    </w:p>
    <w:p>
      <w:pPr>
        <w:ind w:left="1252" w:hanging="362"/>
        <w:spacing w:after="0"/>
        <w:tabs>
          <w:tab w:leader="none" w:pos="12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Company vis-à-vis the public and media, in concert with the Chairperson; and</w:t>
      </w:r>
    </w:p>
    <w:p>
      <w:pPr>
        <w:spacing w:after="0" w:line="117" w:lineRule="exact"/>
        <w:rPr>
          <w:rFonts w:ascii="Times New Roman" w:cs="Times New Roman" w:eastAsia="Times New Roman" w:hAnsi="Times New Roman"/>
          <w:sz w:val="18"/>
          <w:szCs w:val="18"/>
          <w:color w:val="auto"/>
        </w:rPr>
      </w:pPr>
    </w:p>
    <w:p>
      <w:pPr>
        <w:ind w:left="1472" w:hanging="582"/>
        <w:spacing w:after="0" w:line="282" w:lineRule="auto"/>
        <w:tabs>
          <w:tab w:leader="none" w:pos="12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compliance with all legal requirements of the capital markets (he/she may delegate this responsibility to the chief financial officer (the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892"/>
        <w:spacing w:after="0" w:line="266" w:lineRule="auto"/>
        <w:rPr>
          <w:sz w:val="20"/>
          <w:szCs w:val="20"/>
          <w:color w:val="auto"/>
        </w:rPr>
      </w:pPr>
      <w:r>
        <w:rPr>
          <w:rFonts w:ascii="Times New Roman" w:cs="Times New Roman" w:eastAsia="Times New Roman" w:hAnsi="Times New Roman"/>
          <w:sz w:val="18"/>
          <w:szCs w:val="18"/>
          <w:color w:val="auto"/>
        </w:rPr>
        <w:t>The CEO may further sub-delegate parts of the executive management of the Company delegated to him/her pursuant to the Organizational Rules, as deemed necessary or appropriate, to the other members of the Executive Committee. The Board may give, from time to time, further guidelines to the CEO as to specific elements of operations.</w:t>
      </w:r>
    </w:p>
    <w:p>
      <w:pPr>
        <w:spacing w:after="0" w:line="388" w:lineRule="exact"/>
        <w:rPr>
          <w:sz w:val="20"/>
          <w:szCs w:val="20"/>
          <w:color w:val="auto"/>
        </w:rPr>
      </w:pPr>
    </w:p>
    <w:p>
      <w:pPr>
        <w:ind w:left="352" w:hanging="352"/>
        <w:spacing w:after="0"/>
        <w:tabs>
          <w:tab w:leader="none" w:pos="352"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COMMITTEE</w:t>
      </w:r>
    </w:p>
    <w:p>
      <w:pPr>
        <w:spacing w:after="0" w:line="16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6.1  Principles</w:t>
      </w:r>
    </w:p>
    <w:p>
      <w:pPr>
        <w:spacing w:after="0" w:line="15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Executive Committee shall consist of the following individuals (in each case, as determined by the Board in its sole discretion):</w:t>
      </w:r>
    </w:p>
    <w:p>
      <w:pPr>
        <w:spacing w:after="0" w:line="27" w:lineRule="exact"/>
        <w:rPr>
          <w:sz w:val="20"/>
          <w:szCs w:val="20"/>
          <w:color w:val="auto"/>
        </w:rPr>
      </w:pPr>
    </w:p>
    <w:p>
      <w:pPr>
        <w:ind w:left="892" w:hanging="2"/>
        <w:spacing w:after="0" w:line="260" w:lineRule="auto"/>
        <w:tabs>
          <w:tab w:leader="none" w:pos="111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as its chairperson; (ii) the CFO; (iii) the chief operating or business officer; (iv) the chief medical or scientific officer; (v) the chief legal officer; and (vi) any other “C-level” executive officer(s) designated by the Board.</w:t>
      </w:r>
    </w:p>
    <w:p>
      <w:pPr>
        <w:spacing w:after="0" w:line="11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6.2  Appointments</w:t>
      </w:r>
    </w:p>
    <w:p>
      <w:pPr>
        <w:spacing w:after="0" w:line="158" w:lineRule="exact"/>
        <w:rPr>
          <w:sz w:val="20"/>
          <w:szCs w:val="20"/>
          <w:color w:val="auto"/>
        </w:rPr>
      </w:pPr>
    </w:p>
    <w:p>
      <w:pPr>
        <w:ind w:left="892"/>
        <w:spacing w:after="0" w:line="282" w:lineRule="auto"/>
        <w:rPr>
          <w:sz w:val="20"/>
          <w:szCs w:val="20"/>
          <w:color w:val="auto"/>
        </w:rPr>
      </w:pPr>
      <w:r>
        <w:rPr>
          <w:rFonts w:ascii="Times New Roman" w:cs="Times New Roman" w:eastAsia="Times New Roman" w:hAnsi="Times New Roman"/>
          <w:sz w:val="18"/>
          <w:szCs w:val="18"/>
          <w:color w:val="auto"/>
        </w:rPr>
        <w:t>The members of the Executive Committee are appointed or dismissed by the Board after evaluation by the NC on the basis of the CEO's proposals.</w:t>
      </w:r>
    </w:p>
    <w:p>
      <w:pPr>
        <w:spacing w:after="0" w:line="10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employment terms of the members of the Executive Committee are determined by the Board upon proposal of the CC.</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6.3  Duties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878840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32"/>
          </w:cols>
          <w:pgMar w:left="468" w:top="1440" w:right="799" w:bottom="1440" w:gutter="0" w:footer="0" w:header="0"/>
        </w:sectPr>
      </w:pPr>
    </w:p>
    <w:bookmarkStart w:id="161" w:name="page162"/>
    <w:bookmarkEnd w:id="161"/>
    <w:p>
      <w:pPr>
        <w:spacing w:after="0" w:line="261" w:lineRule="exact"/>
        <w:rPr>
          <w:sz w:val="20"/>
          <w:szCs w:val="20"/>
          <w:color w:val="auto"/>
        </w:rPr>
      </w:pPr>
    </w:p>
    <w:p>
      <w:pPr>
        <w:jc w:val="both"/>
        <w:ind w:left="892"/>
        <w:spacing w:after="0" w:line="261" w:lineRule="auto"/>
        <w:rPr>
          <w:sz w:val="20"/>
          <w:szCs w:val="20"/>
          <w:color w:val="auto"/>
        </w:rPr>
      </w:pPr>
      <w:r>
        <w:rPr>
          <w:rFonts w:ascii="Times New Roman" w:cs="Times New Roman" w:eastAsia="Times New Roman" w:hAnsi="Times New Roman"/>
          <w:sz w:val="18"/>
          <w:szCs w:val="18"/>
          <w:color w:val="auto"/>
        </w:rPr>
        <w:t>The CEO is responsible for the organization and mode of operation of the Executive Committee. Accordingly, duties and responsibilities within the Executive Committee are determined by the CEO. Within the scope of these Organizational Rules, the members of the Executive Committee (other than the CEO) take over individual tasks and are individually responsible to the CEO for the performance of the tasks allocated to them.</w:t>
      </w:r>
    </w:p>
    <w:p>
      <w:pPr>
        <w:spacing w:after="0" w:line="112"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CFO shall be responsible for the implementation and monitoring of the investment policy enacted by the Board.</w:t>
      </w:r>
    </w:p>
    <w:p>
      <w:pPr>
        <w:spacing w:after="0" w:line="15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Each member of the Executive Committee has the right to have his/her views heard directly by the Board.</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6.4  Incapacity of the CEO</w:t>
      </w:r>
    </w:p>
    <w:p>
      <w:pPr>
        <w:spacing w:after="0" w:line="158" w:lineRule="exact"/>
        <w:rPr>
          <w:sz w:val="20"/>
          <w:szCs w:val="20"/>
          <w:color w:val="auto"/>
        </w:rPr>
      </w:pPr>
    </w:p>
    <w:p>
      <w:pPr>
        <w:jc w:val="both"/>
        <w:ind w:left="892"/>
        <w:spacing w:after="0" w:line="282" w:lineRule="auto"/>
        <w:rPr>
          <w:sz w:val="20"/>
          <w:szCs w:val="20"/>
          <w:color w:val="auto"/>
        </w:rPr>
      </w:pPr>
      <w:r>
        <w:rPr>
          <w:rFonts w:ascii="Times New Roman" w:cs="Times New Roman" w:eastAsia="Times New Roman" w:hAnsi="Times New Roman"/>
          <w:sz w:val="18"/>
          <w:szCs w:val="18"/>
          <w:color w:val="auto"/>
        </w:rPr>
        <w:t>If, and so long as, the CEO is incapacitated, the Chairperson shall assume the function of the CEO until the Board designates another member of the Board or the Executive Committee to assume the duties of the CEO.</w:t>
      </w:r>
    </w:p>
    <w:p>
      <w:pPr>
        <w:spacing w:after="0" w:line="374" w:lineRule="exact"/>
        <w:rPr>
          <w:sz w:val="20"/>
          <w:szCs w:val="20"/>
          <w:color w:val="auto"/>
        </w:rPr>
      </w:pPr>
    </w:p>
    <w:p>
      <w:pPr>
        <w:ind w:left="352" w:hanging="352"/>
        <w:spacing w:after="0"/>
        <w:tabs>
          <w:tab w:leader="none" w:pos="35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7.1  Constitution of the CC</w:t>
      </w:r>
    </w:p>
    <w:p>
      <w:pPr>
        <w:spacing w:after="0" w:line="171" w:lineRule="exact"/>
        <w:rPr>
          <w:sz w:val="20"/>
          <w:szCs w:val="20"/>
          <w:color w:val="auto"/>
        </w:rPr>
      </w:pPr>
    </w:p>
    <w:p>
      <w:pPr>
        <w:ind w:left="892"/>
        <w:spacing w:after="0" w:line="282" w:lineRule="auto"/>
        <w:rPr>
          <w:sz w:val="20"/>
          <w:szCs w:val="20"/>
          <w:color w:val="auto"/>
        </w:rPr>
      </w:pPr>
      <w:r>
        <w:rPr>
          <w:rFonts w:ascii="Times New Roman" w:cs="Times New Roman" w:eastAsia="Times New Roman" w:hAnsi="Times New Roman"/>
          <w:sz w:val="18"/>
          <w:szCs w:val="18"/>
          <w:color w:val="auto"/>
        </w:rPr>
        <w:t>The CC shall consist of at least 3 members, who are appointed by the General Meeting. The CC shall enact its own charter in order to specify its organization and tasks.</w:t>
      </w:r>
    </w:p>
    <w:p>
      <w:pPr>
        <w:spacing w:after="0" w:line="9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7.2  Tasks of the CC</w:t>
      </w:r>
    </w:p>
    <w:p>
      <w:pPr>
        <w:spacing w:after="0" w:line="158" w:lineRule="exact"/>
        <w:rPr>
          <w:sz w:val="20"/>
          <w:szCs w:val="20"/>
          <w:color w:val="auto"/>
        </w:rPr>
      </w:pPr>
    </w:p>
    <w:p>
      <w:pPr>
        <w:ind w:left="892"/>
        <w:spacing w:after="0" w:line="282" w:lineRule="auto"/>
        <w:rPr>
          <w:sz w:val="20"/>
          <w:szCs w:val="20"/>
          <w:color w:val="auto"/>
        </w:rPr>
      </w:pPr>
      <w:r>
        <w:rPr>
          <w:rFonts w:ascii="Times New Roman" w:cs="Times New Roman" w:eastAsia="Times New Roman" w:hAnsi="Times New Roman"/>
          <w:sz w:val="18"/>
          <w:szCs w:val="18"/>
          <w:color w:val="auto"/>
        </w:rPr>
        <w:t>The CC lays down guidelines for the remuneration of the members of the Board, the CEO and the Executive Committee, and shall submit these to the Board for approval.</w:t>
      </w:r>
    </w:p>
    <w:p>
      <w:pPr>
        <w:spacing w:after="0" w:line="94" w:lineRule="exact"/>
        <w:rPr>
          <w:sz w:val="20"/>
          <w:szCs w:val="20"/>
          <w:color w:val="auto"/>
        </w:rPr>
      </w:pPr>
    </w:p>
    <w:p>
      <w:pPr>
        <w:ind w:left="892"/>
        <w:spacing w:after="0" w:line="282" w:lineRule="auto"/>
        <w:rPr>
          <w:sz w:val="20"/>
          <w:szCs w:val="20"/>
          <w:color w:val="auto"/>
        </w:rPr>
      </w:pPr>
      <w:r>
        <w:rPr>
          <w:rFonts w:ascii="Times New Roman" w:cs="Times New Roman" w:eastAsia="Times New Roman" w:hAnsi="Times New Roman"/>
          <w:sz w:val="18"/>
          <w:szCs w:val="18"/>
          <w:color w:val="auto"/>
        </w:rPr>
        <w:t>It shall make recommendations to the Board as to the overall package of remuneration. The tasks of the CC may be further specified in its charter.</w:t>
      </w:r>
    </w:p>
    <w:p>
      <w:pPr>
        <w:spacing w:after="0" w:line="9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7.3  Information for the Board</w:t>
      </w:r>
    </w:p>
    <w:p>
      <w:pPr>
        <w:spacing w:after="0" w:line="158" w:lineRule="exact"/>
        <w:rPr>
          <w:sz w:val="20"/>
          <w:szCs w:val="20"/>
          <w:color w:val="auto"/>
        </w:rPr>
      </w:pPr>
    </w:p>
    <w:p>
      <w:pPr>
        <w:jc w:val="both"/>
        <w:ind w:left="892" w:right="40"/>
        <w:spacing w:after="0" w:line="266" w:lineRule="auto"/>
        <w:rPr>
          <w:sz w:val="20"/>
          <w:szCs w:val="20"/>
          <w:color w:val="auto"/>
        </w:rPr>
      </w:pPr>
      <w:r>
        <w:rPr>
          <w:rFonts w:ascii="Times New Roman" w:cs="Times New Roman" w:eastAsia="Times New Roman" w:hAnsi="Times New Roman"/>
          <w:sz w:val="18"/>
          <w:szCs w:val="18"/>
          <w:color w:val="auto"/>
        </w:rPr>
        <w:t>The chairperson of the CC informs the members of the Board on a regular basis and notifies extraordinary incidents promptly. In discharging its responsibilities, the CC has unrestricted access to the Company's management, employees, books and records, and may consult with outside advisors.</w:t>
      </w:r>
    </w:p>
    <w:p>
      <w:pPr>
        <w:spacing w:after="0" w:line="388" w:lineRule="exact"/>
        <w:rPr>
          <w:sz w:val="20"/>
          <w:szCs w:val="20"/>
          <w:color w:val="auto"/>
        </w:rPr>
      </w:pPr>
    </w:p>
    <w:p>
      <w:pPr>
        <w:ind w:left="352" w:hanging="352"/>
        <w:spacing w:after="0"/>
        <w:tabs>
          <w:tab w:leader="none" w:pos="35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NOMINATION AND CORPORATE GOVERNANCE COMMITTEE</w:t>
      </w:r>
    </w:p>
    <w:p>
      <w:pPr>
        <w:spacing w:after="0" w:line="17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8.1  Constitution of the NC</w:t>
      </w:r>
    </w:p>
    <w:p>
      <w:pPr>
        <w:spacing w:after="0" w:line="158" w:lineRule="exact"/>
        <w:rPr>
          <w:sz w:val="20"/>
          <w:szCs w:val="20"/>
          <w:color w:val="auto"/>
        </w:rPr>
      </w:pPr>
    </w:p>
    <w:p>
      <w:pPr>
        <w:jc w:val="both"/>
        <w:ind w:left="892" w:right="40"/>
        <w:spacing w:after="0" w:line="282" w:lineRule="auto"/>
        <w:rPr>
          <w:sz w:val="20"/>
          <w:szCs w:val="20"/>
          <w:color w:val="auto"/>
        </w:rPr>
      </w:pPr>
      <w:r>
        <w:rPr>
          <w:rFonts w:ascii="Times New Roman" w:cs="Times New Roman" w:eastAsia="Times New Roman" w:hAnsi="Times New Roman"/>
          <w:sz w:val="18"/>
          <w:szCs w:val="18"/>
          <w:color w:val="auto"/>
        </w:rPr>
        <w:t>The NC shall consist of at least 3 members. The Board appoints the members of the NC. The NC shall enact its own charter in order to specify its organization and tasks.</w:t>
      </w:r>
    </w:p>
    <w:p>
      <w:pPr>
        <w:spacing w:after="0" w:line="9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8.2  Tasks of the NC</w:t>
      </w:r>
    </w:p>
    <w:p>
      <w:pPr>
        <w:spacing w:after="0" w:line="158" w:lineRule="exact"/>
        <w:rPr>
          <w:sz w:val="20"/>
          <w:szCs w:val="20"/>
          <w:color w:val="auto"/>
        </w:rPr>
      </w:pPr>
    </w:p>
    <w:p>
      <w:pPr>
        <w:jc w:val="both"/>
        <w:ind w:left="892" w:right="40"/>
        <w:spacing w:after="0" w:line="266" w:lineRule="auto"/>
        <w:rPr>
          <w:sz w:val="20"/>
          <w:szCs w:val="20"/>
          <w:color w:val="auto"/>
        </w:rPr>
      </w:pPr>
      <w:r>
        <w:rPr>
          <w:rFonts w:ascii="Times New Roman" w:cs="Times New Roman" w:eastAsia="Times New Roman" w:hAnsi="Times New Roman"/>
          <w:sz w:val="18"/>
          <w:szCs w:val="18"/>
          <w:color w:val="auto"/>
        </w:rPr>
        <w:t>The NC lays down guidelines for selecting candidates for election or re-election as members of the Board, its committees and the CEO, and makes arrangements to select such candidates. It shall further make recommendations to the Board as to the approval of the corporate governance report of the Company.</w:t>
      </w:r>
    </w:p>
    <w:p>
      <w:pPr>
        <w:spacing w:after="0" w:line="10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8.3  Information for the Board</w:t>
      </w:r>
    </w:p>
    <w:p>
      <w:pPr>
        <w:spacing w:after="0" w:line="15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The chairperson of the NC informs the members of the Board on a regular basis and notifies extraordinary incidents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878840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2"/>
          </w:cols>
          <w:pgMar w:left="468" w:top="1440" w:right="759" w:bottom="1440" w:gutter="0" w:footer="0" w:header="0"/>
        </w:sectPr>
      </w:pPr>
    </w:p>
    <w:bookmarkStart w:id="162" w:name="page163"/>
    <w:bookmarkEnd w:id="162"/>
    <w:p>
      <w:pPr>
        <w:spacing w:after="0" w:line="200" w:lineRule="exact"/>
        <w:rPr>
          <w:sz w:val="20"/>
          <w:szCs w:val="20"/>
          <w:color w:val="auto"/>
        </w:rPr>
      </w:pPr>
    </w:p>
    <w:p>
      <w:pPr>
        <w:spacing w:after="0" w:line="341" w:lineRule="exact"/>
        <w:rPr>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9.1  Constitution of the AC</w:t>
      </w:r>
    </w:p>
    <w:p>
      <w:pPr>
        <w:spacing w:after="0" w:line="158" w:lineRule="exact"/>
        <w:rPr>
          <w:sz w:val="20"/>
          <w:szCs w:val="20"/>
          <w:color w:val="auto"/>
        </w:rPr>
      </w:pPr>
    </w:p>
    <w:p>
      <w:pPr>
        <w:jc w:val="both"/>
        <w:ind w:left="900"/>
        <w:spacing w:after="0" w:line="282" w:lineRule="auto"/>
        <w:rPr>
          <w:sz w:val="20"/>
          <w:szCs w:val="20"/>
          <w:color w:val="auto"/>
        </w:rPr>
      </w:pPr>
      <w:r>
        <w:rPr>
          <w:rFonts w:ascii="Times New Roman" w:cs="Times New Roman" w:eastAsia="Times New Roman" w:hAnsi="Times New Roman"/>
          <w:sz w:val="18"/>
          <w:szCs w:val="18"/>
          <w:color w:val="auto"/>
        </w:rPr>
        <w:t>The AC shall consist of at least 3 members, who are recommended to the Board by the NC. The Board appoints the members of the AC. The AC has enacted its own charter in order to specify its organization and tasks.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9.2  Tasks of the AC</w:t>
      </w:r>
    </w:p>
    <w:p>
      <w:pPr>
        <w:spacing w:after="0" w:line="158"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The AC makes an independent assessment of the quality, independence and performance of the external auditors, as well as of the quality of the annual financial statements and their compliance with the applicable reporting standards. The tasks of the AC are further specified in its charter.</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9.3  Information for the Board</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chairperson of the AC informs the members of the Board on a regular basis and notifies extraordinary incidents promptly.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INDEMNIFICATION</w:t>
      </w:r>
    </w:p>
    <w:p>
      <w:pPr>
        <w:spacing w:after="0" w:line="162"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8"/>
          <w:szCs w:val="18"/>
          <w:color w:val="auto"/>
        </w:rPr>
        <w:t xml:space="preserve">As far as is permissible under applicable law, the Company shall indemnify any current or former member of the Board, former members of the Executive Committee, or any person who is serving or has served at the request of the Company as a member of the Board or member of the Executive Committee (each individually,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xml:space="preserve">), against any expenses, including attorneys' fees, judgments, fines, and amounts paid in settlement actually and reasonably incurred by him or her in connection with any threatened, pending, or completed action, suit or proceeding, whether civil, criminal or administrative, to which he or she was, is, or is threatened to be, made a party, or is otherwise involved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This provision shall not indemnify any Covered Person against any liability arising out of:</w:t>
      </w:r>
    </w:p>
    <w:p>
      <w:pPr>
        <w:spacing w:after="0" w:line="104" w:lineRule="exact"/>
        <w:rPr>
          <w:sz w:val="20"/>
          <w:szCs w:val="20"/>
          <w:color w:val="auto"/>
        </w:rPr>
      </w:pPr>
    </w:p>
    <w:p>
      <w:pPr>
        <w:ind w:left="1260" w:hanging="362"/>
        <w:spacing w:after="0"/>
        <w:tabs>
          <w:tab w:leader="none" w:pos="1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or dishonesty in the performance of such Covered Person's duty to the Company, or</w:t>
      </w:r>
    </w:p>
    <w:p>
      <w:pPr>
        <w:spacing w:after="0" w:line="103" w:lineRule="exact"/>
        <w:rPr>
          <w:rFonts w:ascii="Times New Roman" w:cs="Times New Roman" w:eastAsia="Times New Roman" w:hAnsi="Times New Roman"/>
          <w:sz w:val="18"/>
          <w:szCs w:val="18"/>
          <w:color w:val="auto"/>
        </w:rPr>
      </w:pPr>
    </w:p>
    <w:p>
      <w:pPr>
        <w:ind w:left="1480" w:right="20" w:hanging="582"/>
        <w:spacing w:after="0" w:line="282" w:lineRule="auto"/>
        <w:tabs>
          <w:tab w:leader="none" w:pos="125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Party's conscious, intentional or willful or grossly negligent breach of the obligation to act honestly and in good faith with a view to the best interests of the Company.</w:t>
      </w:r>
    </w:p>
    <w:p>
      <w:pPr>
        <w:spacing w:after="0" w:line="94" w:lineRule="exact"/>
        <w:rPr>
          <w:sz w:val="20"/>
          <w:szCs w:val="20"/>
          <w:color w:val="auto"/>
        </w:rPr>
      </w:pPr>
    </w:p>
    <w:p>
      <w:pPr>
        <w:jc w:val="both"/>
        <w:ind w:left="900"/>
        <w:spacing w:after="0" w:line="282" w:lineRule="auto"/>
        <w:rPr>
          <w:sz w:val="20"/>
          <w:szCs w:val="20"/>
          <w:color w:val="auto"/>
        </w:rPr>
      </w:pPr>
      <w:r>
        <w:rPr>
          <w:rFonts w:ascii="Times New Roman" w:cs="Times New Roman" w:eastAsia="Times New Roman" w:hAnsi="Times New Roman"/>
          <w:sz w:val="18"/>
          <w:szCs w:val="18"/>
          <w:color w:val="auto"/>
        </w:rPr>
        <w:t>Notwithstanding the preceding sentence, this section shall not extend to any person holding the office of auditor or special auditor of the Company.</w:t>
      </w:r>
    </w:p>
    <w:p>
      <w:pPr>
        <w:spacing w:after="0" w:line="94" w:lineRule="exact"/>
        <w:rPr>
          <w:sz w:val="20"/>
          <w:szCs w:val="20"/>
          <w:color w:val="auto"/>
        </w:rPr>
      </w:pPr>
    </w:p>
    <w:p>
      <w:pPr>
        <w:jc w:val="both"/>
        <w:ind w:left="900"/>
        <w:spacing w:after="0" w:line="282" w:lineRule="auto"/>
        <w:rPr>
          <w:sz w:val="20"/>
          <w:szCs w:val="20"/>
          <w:color w:val="auto"/>
        </w:rPr>
      </w:pPr>
      <w:r>
        <w:rPr>
          <w:rFonts w:ascii="Times New Roman" w:cs="Times New Roman" w:eastAsia="Times New Roman" w:hAnsi="Times New Roman"/>
          <w:sz w:val="18"/>
          <w:szCs w:val="18"/>
          <w:color w:val="auto"/>
        </w:rPr>
        <w:t>The particulars of the indemnification shall be regulated in an indemnification agreement between the Company and the Covered Person.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FINAL PROVISIONS</w:t>
      </w:r>
    </w:p>
    <w:p>
      <w:pPr>
        <w:spacing w:after="0" w:line="162"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These Organizational Rules were adopted by the Board at the date written below and entered into force on the first day of listing. In individual cases, the Board may at any time adopt resolutions which deviate from these regulations. In the event of general changes, it shall amend these regulations.</w:t>
      </w: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Adopted by the Board of Directors on 3 June 2016, as amended on 6 December 2016 and as amended on 11 February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880110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460" w:top="1440" w:right="799" w:bottom="1440" w:gutter="0" w:footer="0" w:header="0"/>
        </w:sectPr>
      </w:pPr>
    </w:p>
    <w:bookmarkStart w:id="163" w:name="page164"/>
    <w:bookmarkEnd w:id="163"/>
    <w:p>
      <w:pPr>
        <w:spacing w:after="0" w:line="50" w:lineRule="exact"/>
        <w:rPr>
          <w:sz w:val="20"/>
          <w:szCs w:val="20"/>
          <w:color w:val="auto"/>
        </w:rPr>
      </w:pPr>
    </w:p>
    <w:p>
      <w:pPr>
        <w:ind w:left="9008"/>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76" w:lineRule="exact"/>
        <w:rPr>
          <w:sz w:val="20"/>
          <w:szCs w:val="20"/>
          <w:color w:val="auto"/>
        </w:rPr>
      </w:pPr>
    </w:p>
    <w:p>
      <w:pPr>
        <w:ind w:left="3928"/>
        <w:spacing w:after="0"/>
        <w:rPr>
          <w:sz w:val="20"/>
          <w:szCs w:val="20"/>
          <w:color w:val="auto"/>
        </w:rPr>
      </w:pPr>
      <w:r>
        <w:rPr>
          <w:rFonts w:ascii="Times New Roman" w:cs="Times New Roman" w:eastAsia="Times New Roman" w:hAnsi="Times New Roman"/>
          <w:sz w:val="22"/>
          <w:szCs w:val="22"/>
          <w:b w:val="1"/>
          <w:bCs w:val="1"/>
          <w:color w:val="auto"/>
        </w:rPr>
        <w:t>CRISPR THERAPEUTICS AG</w:t>
      </w:r>
    </w:p>
    <w:p>
      <w:pPr>
        <w:spacing w:after="0" w:line="33" w:lineRule="exact"/>
        <w:rPr>
          <w:sz w:val="20"/>
          <w:szCs w:val="20"/>
          <w:color w:val="auto"/>
        </w:rPr>
      </w:pPr>
    </w:p>
    <w:p>
      <w:pPr>
        <w:ind w:left="3948"/>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8"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22"/>
          <w:szCs w:val="22"/>
          <w:i w:val="1"/>
          <w:iCs w:val="1"/>
          <w:color w:val="auto"/>
        </w:rPr>
        <w:t>(As amended on September 12, 2024)</w:t>
      </w:r>
    </w:p>
    <w:p>
      <w:pPr>
        <w:spacing w:after="0" w:line="35" w:lineRule="exact"/>
        <w:rPr>
          <w:sz w:val="20"/>
          <w:szCs w:val="20"/>
          <w:color w:val="auto"/>
        </w:rPr>
      </w:pPr>
    </w:p>
    <w:p>
      <w:pPr>
        <w:jc w:val="both"/>
        <w:ind w:left="8" w:firstLine="747"/>
        <w:spacing w:after="0" w:line="235" w:lineRule="auto"/>
        <w:rPr>
          <w:sz w:val="20"/>
          <w:szCs w:val="20"/>
          <w:color w:val="auto"/>
        </w:rPr>
      </w:pPr>
      <w:r>
        <w:rPr>
          <w:rFonts w:ascii="Times New Roman" w:cs="Times New Roman" w:eastAsia="Times New Roman" w:hAnsi="Times New Roman"/>
          <w:sz w:val="22"/>
          <w:szCs w:val="22"/>
          <w:color w:val="auto"/>
        </w:rPr>
        <w:t>CRISPR Therapeutics AG (together with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has adopted the following policy and procedures for trading in the Company’s securities (“</w:t>
      </w:r>
      <w:r>
        <w:rPr>
          <w:rFonts w:ascii="Times New Roman" w:cs="Times New Roman" w:eastAsia="Times New Roman" w:hAnsi="Times New Roman"/>
          <w:sz w:val="22"/>
          <w:szCs w:val="22"/>
          <w:u w:val="single" w:color="auto"/>
          <w:color w:val="auto"/>
        </w:rPr>
        <w:t>Insider Trading Policy</w:t>
      </w:r>
      <w:r>
        <w:rPr>
          <w:rFonts w:ascii="Times New Roman" w:cs="Times New Roman" w:eastAsia="Times New Roman" w:hAnsi="Times New Roman"/>
          <w:sz w:val="22"/>
          <w:szCs w:val="22"/>
          <w:color w:val="auto"/>
        </w:rPr>
        <w:t>”). It is designed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our General Counsel as the Compliance Officer (with his or her designees, the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 to administer the policy and to be available to answer your questions.</w:t>
      </w:r>
    </w:p>
    <w:p>
      <w:pPr>
        <w:spacing w:after="0" w:line="2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204" w:lineRule="exact"/>
        <w:rPr>
          <w:sz w:val="20"/>
          <w:szCs w:val="20"/>
          <w:color w:val="auto"/>
        </w:rPr>
      </w:pPr>
    </w:p>
    <w:p>
      <w:pPr>
        <w:ind w:left="748" w:hanging="748"/>
        <w:spacing w:after="0"/>
        <w:tabs>
          <w:tab w:leader="none" w:pos="748" w:val="left"/>
        </w:tabs>
        <w:numPr>
          <w:ilvl w:val="0"/>
          <w:numId w:val="7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Who Must Comply?</w:t>
      </w:r>
    </w:p>
    <w:p>
      <w:pPr>
        <w:spacing w:after="0" w:line="104" w:lineRule="exact"/>
        <w:rPr>
          <w:sz w:val="20"/>
          <w:szCs w:val="20"/>
          <w:color w:val="auto"/>
        </w:rPr>
      </w:pPr>
    </w:p>
    <w:p>
      <w:pPr>
        <w:jc w:val="both"/>
        <w:ind w:left="8"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applies to the Company’s directors, officers, employees and designated agents, as well as any other individuals whom the Compliance Officer may designate as Insiders (defined below) because such individuals may have access to material nonpublic information about the Company, and continues to apply following the termination of any such individual’s service to or employment with the Company until any material nonpublic information possessed by such individual has become public or is no longer material.</w:t>
      </w:r>
    </w:p>
    <w:p>
      <w:pPr>
        <w:spacing w:after="0" w:line="69" w:lineRule="exact"/>
        <w:rPr>
          <w:sz w:val="20"/>
          <w:szCs w:val="20"/>
          <w:color w:val="auto"/>
        </w:rPr>
      </w:pPr>
    </w:p>
    <w:p>
      <w:pPr>
        <w:jc w:val="both"/>
        <w:ind w:left="8" w:firstLine="749"/>
        <w:spacing w:after="0" w:line="253" w:lineRule="auto"/>
        <w:rPr>
          <w:sz w:val="20"/>
          <w:szCs w:val="20"/>
          <w:color w:val="auto"/>
        </w:rPr>
      </w:pPr>
      <w:r>
        <w:rPr>
          <w:rFonts w:ascii="Times New Roman" w:cs="Times New Roman" w:eastAsia="Times New Roman" w:hAnsi="Times New Roman"/>
          <w:sz w:val="21"/>
          <w:szCs w:val="21"/>
          <w:color w:val="auto"/>
        </w:rPr>
        <w:t>In addition, all of our directors, executive officers (as defined by Section 16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other designated employees must comply with the Trading Procedures included in Part</w:t>
      </w:r>
    </w:p>
    <w:p>
      <w:pPr>
        <w:spacing w:after="0" w:line="1" w:lineRule="exact"/>
        <w:rPr>
          <w:sz w:val="20"/>
          <w:szCs w:val="20"/>
          <w:color w:val="auto"/>
        </w:rPr>
      </w:pPr>
    </w:p>
    <w:p>
      <w:pPr>
        <w:jc w:val="both"/>
        <w:ind w:left="8" w:right="20" w:hanging="8"/>
        <w:spacing w:after="0" w:line="234" w:lineRule="auto"/>
        <w:tabs>
          <w:tab w:leader="none" w:pos="21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Insider Trading Policy (the “</w:t>
      </w:r>
      <w:r>
        <w:rPr>
          <w:rFonts w:ascii="Times New Roman" w:cs="Times New Roman" w:eastAsia="Times New Roman" w:hAnsi="Times New Roman"/>
          <w:sz w:val="22"/>
          <w:szCs w:val="22"/>
          <w:u w:val="single" w:color="auto"/>
          <w:color w:val="auto"/>
        </w:rPr>
        <w:t>Trading Procedures</w:t>
      </w:r>
      <w:r>
        <w:rPr>
          <w:rFonts w:ascii="Times New Roman" w:cs="Times New Roman" w:eastAsia="Times New Roman" w:hAnsi="Times New Roman"/>
          <w:sz w:val="22"/>
          <w:szCs w:val="22"/>
          <w:color w:val="auto"/>
        </w:rPr>
        <w:t>”); we will refer to these individuals in this policy as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The Trading Procedures provide rules for when Insiders can transact in our securities and explain the process for mandatory pre-clearance of proposed trades. You will be notified if you are considered to be an Insider who is required to comply with the Trading Procedures.</w:t>
      </w:r>
    </w:p>
    <w:p>
      <w:pPr>
        <w:spacing w:after="0" w:line="69" w:lineRule="exact"/>
        <w:rPr>
          <w:sz w:val="20"/>
          <w:szCs w:val="20"/>
          <w:color w:val="auto"/>
        </w:rPr>
      </w:pPr>
    </w:p>
    <w:p>
      <w:pPr>
        <w:ind w:left="8"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and, for Insiders, the Trading Procedures also apply to the following persons (collectively, “</w:t>
      </w:r>
      <w:r>
        <w:rPr>
          <w:rFonts w:ascii="Times New Roman" w:cs="Times New Roman" w:eastAsia="Times New Roman" w:hAnsi="Times New Roman"/>
          <w:sz w:val="22"/>
          <w:szCs w:val="22"/>
          <w:u w:val="single" w:color="auto"/>
          <w:color w:val="auto"/>
        </w:rPr>
        <w:t>Affiliated Persons</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jc w:val="both"/>
        <w:ind w:left="1488" w:hanging="364"/>
        <w:spacing w:after="0" w:line="235" w:lineRule="auto"/>
        <w:tabs>
          <w:tab w:leader="none" w:pos="148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t>
      </w:r>
      <w:r>
        <w:rPr>
          <w:rFonts w:ascii="Times New Roman" w:cs="Times New Roman" w:eastAsia="Times New Roman" w:hAnsi="Times New Roman"/>
          <w:sz w:val="22"/>
          <w:szCs w:val="22"/>
          <w:u w:val="single" w:color="auto"/>
          <w:color w:val="auto"/>
        </w:rPr>
        <w:t>Family Members</w:t>
      </w:r>
      <w:r>
        <w:rPr>
          <w:rFonts w:ascii="Times New Roman" w:cs="Times New Roman" w:eastAsia="Times New Roman" w:hAnsi="Times New Roman"/>
          <w:sz w:val="22"/>
          <w:szCs w:val="22"/>
          <w:color w:val="auto"/>
        </w:rPr>
        <w:t>”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875665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64" w:name="page165"/>
    <w:bookmarkEnd w:id="164"/>
    <w:p>
      <w:pPr>
        <w:spacing w:after="0" w:line="77" w:lineRule="exact"/>
        <w:rPr>
          <w:sz w:val="20"/>
          <w:szCs w:val="20"/>
          <w:color w:val="auto"/>
        </w:rPr>
      </w:pPr>
    </w:p>
    <w:p>
      <w:pPr>
        <w:jc w:val="both"/>
        <w:ind w:left="1488" w:hanging="364"/>
        <w:spacing w:after="0" w:line="244" w:lineRule="auto"/>
        <w:tabs>
          <w:tab w:leader="none" w:pos="148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65" w:lineRule="exact"/>
        <w:rPr>
          <w:rFonts w:ascii="Times New Roman" w:cs="Times New Roman" w:eastAsia="Times New Roman" w:hAnsi="Times New Roman"/>
          <w:sz w:val="22"/>
          <w:szCs w:val="22"/>
          <w:color w:val="auto"/>
        </w:rPr>
      </w:pPr>
    </w:p>
    <w:p>
      <w:pPr>
        <w:ind w:left="1488" w:hanging="364"/>
        <w:spacing w:after="0"/>
        <w:tabs>
          <w:tab w:leader="none" w:pos="148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98" w:lineRule="exact"/>
        <w:rPr>
          <w:rFonts w:ascii="Times New Roman" w:cs="Times New Roman" w:eastAsia="Times New Roman" w:hAnsi="Times New Roman"/>
          <w:sz w:val="22"/>
          <w:szCs w:val="22"/>
          <w:color w:val="auto"/>
        </w:rPr>
      </w:pPr>
    </w:p>
    <w:p>
      <w:pPr>
        <w:jc w:val="both"/>
        <w:ind w:left="1488" w:hanging="364"/>
        <w:spacing w:after="0" w:line="236" w:lineRule="auto"/>
        <w:tabs>
          <w:tab w:leader="none" w:pos="148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investment funds, trusts, retirement plans, partnerships, corporations and other types of entities over which you have the ability to influence or direct investment decisions concerning securities; provided, however, that the Trading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the Insider has included such entity on the Insider’s signed acknowledgment in the attached form.</w:t>
      </w:r>
    </w:p>
    <w:p>
      <w:pPr>
        <w:spacing w:after="0" w:line="73" w:lineRule="exact"/>
        <w:rPr>
          <w:sz w:val="20"/>
          <w:szCs w:val="20"/>
          <w:color w:val="auto"/>
        </w:rPr>
      </w:pPr>
    </w:p>
    <w:p>
      <w:pPr>
        <w:ind w:left="8"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2" w:lineRule="exact"/>
        <w:rPr>
          <w:sz w:val="20"/>
          <w:szCs w:val="20"/>
          <w:color w:val="auto"/>
        </w:rPr>
      </w:pPr>
    </w:p>
    <w:p>
      <w:pPr>
        <w:ind w:left="748" w:hanging="748"/>
        <w:spacing w:after="0"/>
        <w:tabs>
          <w:tab w:leader="none" w:pos="748" w:val="left"/>
        </w:tabs>
        <w:numPr>
          <w:ilvl w:val="0"/>
          <w:numId w:val="7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104" w:lineRule="exact"/>
        <w:rPr>
          <w:sz w:val="20"/>
          <w:szCs w:val="20"/>
          <w:color w:val="auto"/>
        </w:rPr>
      </w:pPr>
    </w:p>
    <w:p>
      <w:pPr>
        <w:jc w:val="both"/>
        <w:ind w:left="8" w:firstLine="749"/>
        <w:spacing w:after="0" w:line="236" w:lineRule="auto"/>
        <w:rPr>
          <w:sz w:val="20"/>
          <w:szCs w:val="20"/>
          <w:color w:val="auto"/>
        </w:rPr>
      </w:pPr>
      <w:r>
        <w:rPr>
          <w:rFonts w:ascii="Times New Roman" w:cs="Times New Roman" w:eastAsia="Times New Roman" w:hAnsi="Times New Roman"/>
          <w:sz w:val="22"/>
          <w:szCs w:val="22"/>
          <w:color w:val="auto"/>
        </w:rPr>
        <w:t>You and your Affiliated Persons are prohibited from engaging in insider trading and from trading in securities in violation of this Insider Trading Policy and/or applicable law. “</w:t>
      </w:r>
      <w:r>
        <w:rPr>
          <w:rFonts w:ascii="Times New Roman" w:cs="Times New Roman" w:eastAsia="Times New Roman" w:hAnsi="Times New Roman"/>
          <w:sz w:val="22"/>
          <w:szCs w:val="22"/>
          <w:u w:val="single" w:color="auto"/>
          <w:color w:val="auto"/>
        </w:rPr>
        <w:t>Insider trading</w:t>
      </w:r>
      <w:r>
        <w:rPr>
          <w:rFonts w:ascii="Times New Roman" w:cs="Times New Roman" w:eastAsia="Times New Roman" w:hAnsi="Times New Roman"/>
          <w:sz w:val="22"/>
          <w:szCs w:val="22"/>
          <w:color w:val="auto"/>
        </w:rPr>
        <w:t>” is (1) trading (buying or selling) the securities of a company whether for your account or for the account of another, while in the possession of material nonpublic information (see definition below) about that company and/or (2) disclosing material nonpublic information about a company to others who may trade on the basis of that information. Insider trading is nearly always illegal and can result in criminal prosecution, jail time, significant fines and public embarrassment for you and the Company.</w:t>
      </w:r>
    </w:p>
    <w:p>
      <w:pPr>
        <w:spacing w:after="0" w:line="69" w:lineRule="exact"/>
        <w:rPr>
          <w:sz w:val="20"/>
          <w:szCs w:val="20"/>
          <w:color w:val="auto"/>
        </w:rPr>
      </w:pPr>
    </w:p>
    <w:p>
      <w:pPr>
        <w:ind w:left="1508" w:hanging="759"/>
        <w:spacing w:after="0"/>
        <w:tabs>
          <w:tab w:leader="none" w:pos="1508"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Prohibition on Trading in Company Securities</w:t>
      </w:r>
    </w:p>
    <w:p>
      <w:pPr>
        <w:spacing w:after="0" w:line="102" w:lineRule="exact"/>
        <w:rPr>
          <w:sz w:val="20"/>
          <w:szCs w:val="20"/>
          <w:color w:val="auto"/>
        </w:rPr>
      </w:pPr>
    </w:p>
    <w:p>
      <w:pPr>
        <w:jc w:val="both"/>
        <w:ind w:left="8" w:firstLine="749"/>
        <w:spacing w:after="0" w:line="235" w:lineRule="auto"/>
        <w:rPr>
          <w:sz w:val="20"/>
          <w:szCs w:val="20"/>
          <w:color w:val="auto"/>
        </w:rPr>
      </w:pPr>
      <w:r>
        <w:rPr>
          <w:rFonts w:ascii="Times New Roman" w:cs="Times New Roman" w:eastAsia="Times New Roman" w:hAnsi="Times New Roman"/>
          <w:sz w:val="22"/>
          <w:szCs w:val="22"/>
          <w:color w:val="auto"/>
        </w:rPr>
        <w:t>When you know or are in possession of material nonpublic information about the Company, whether positive or negative, you are prohibited from trading (whether for your account of for the account of another) in the Company’s securities, which includes common shares, options to purchase common shares, any other type of securities that the Company may issue (such as preferred shares, convertible debentures, warrants, exchange-traded options or other derivative securities), and any derivative securities that provide the economic equivalent of ownership of any of our securities or an opportunity, direct or indirect, to profit from any change in the value of the Company’s securities, except for trades made pursuant to plans pre-approved by the Compliance Officer in accordance with this policy and intended to comply with the affirmative defense of Rule 10b5-1 under the Exchange Act.</w:t>
      </w:r>
    </w:p>
    <w:p>
      <w:pPr>
        <w:spacing w:after="0" w:line="70" w:lineRule="exact"/>
        <w:rPr>
          <w:sz w:val="20"/>
          <w:szCs w:val="20"/>
          <w:color w:val="auto"/>
        </w:rPr>
      </w:pPr>
    </w:p>
    <w:p>
      <w:pPr>
        <w:jc w:val="both"/>
        <w:ind w:left="8"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trading prohibitions in this Insider Trading Policy do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apply to: (1) an exercise of an employee stock option when payment of the exercise price is made in cash or (2) the withholding by the Company of shares of stock upon vesting of restricted shares or upon settlement of restricted share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69" w:lineRule="exact"/>
        <w:rPr>
          <w:sz w:val="20"/>
          <w:szCs w:val="20"/>
          <w:color w:val="auto"/>
        </w:rPr>
      </w:pPr>
    </w:p>
    <w:p>
      <w:pPr>
        <w:jc w:val="both"/>
        <w:ind w:left="8"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The trading prohibitions in this policy </w:t>
      </w:r>
      <w:r>
        <w:rPr>
          <w:rFonts w:ascii="Times New Roman" w:cs="Times New Roman" w:eastAsia="Times New Roman" w:hAnsi="Times New Roman"/>
          <w:sz w:val="22"/>
          <w:szCs w:val="22"/>
          <w:u w:val="single" w:color="auto"/>
          <w:color w:val="auto"/>
        </w:rPr>
        <w:t>do</w:t>
      </w:r>
      <w:r>
        <w:rPr>
          <w:rFonts w:ascii="Times New Roman" w:cs="Times New Roman" w:eastAsia="Times New Roman" w:hAnsi="Times New Roman"/>
          <w:sz w:val="22"/>
          <w:szCs w:val="22"/>
          <w:color w:val="auto"/>
        </w:rPr>
        <w:t xml:space="preserve"> apply, however, to the use of outstanding Company securities to pay part or all of the exercise price of a stock option, any sale of stock as</w:t>
      </w:r>
    </w:p>
    <w:p>
      <w:pPr>
        <w:spacing w:after="0" w:line="217"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575945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65" w:name="page166"/>
    <w:bookmarkEnd w:id="165"/>
    <w:p>
      <w:pPr>
        <w:spacing w:after="0" w:line="77" w:lineRule="exact"/>
        <w:rPr>
          <w:sz w:val="20"/>
          <w:szCs w:val="20"/>
          <w:color w:val="auto"/>
        </w:rPr>
      </w:pPr>
    </w:p>
    <w:p>
      <w:pPr>
        <w:ind w:left="8"/>
        <w:spacing w:after="0" w:line="258" w:lineRule="auto"/>
        <w:rPr>
          <w:sz w:val="20"/>
          <w:szCs w:val="20"/>
          <w:color w:val="auto"/>
        </w:rPr>
      </w:pPr>
      <w:r>
        <w:rPr>
          <w:rFonts w:ascii="Times New Roman" w:cs="Times New Roman" w:eastAsia="Times New Roman" w:hAnsi="Times New Roman"/>
          <w:sz w:val="22"/>
          <w:szCs w:val="22"/>
          <w:color w:val="auto"/>
        </w:rPr>
        <w:t>part of a broker-assisted cashless exercise of an option, and any other market sale for the purpose of generating the cash needed to pay the exercise price of an option.</w:t>
      </w:r>
    </w:p>
    <w:p>
      <w:pPr>
        <w:spacing w:after="0" w:line="46" w:lineRule="exact"/>
        <w:rPr>
          <w:sz w:val="20"/>
          <w:szCs w:val="20"/>
          <w:color w:val="auto"/>
        </w:rPr>
      </w:pPr>
    </w:p>
    <w:p>
      <w:pPr>
        <w:ind w:left="1508" w:hanging="759"/>
        <w:spacing w:after="0"/>
        <w:tabs>
          <w:tab w:leader="none" w:pos="1508"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Prohibition on Tipping</w:t>
      </w:r>
    </w:p>
    <w:p>
      <w:pPr>
        <w:spacing w:after="0" w:line="102" w:lineRule="exact"/>
        <w:rPr>
          <w:sz w:val="20"/>
          <w:szCs w:val="20"/>
          <w:color w:val="auto"/>
        </w:rPr>
      </w:pPr>
    </w:p>
    <w:p>
      <w:pPr>
        <w:jc w:val="both"/>
        <w:ind w:left="8" w:firstLine="749"/>
        <w:spacing w:after="0" w:line="235" w:lineRule="auto"/>
        <w:rPr>
          <w:sz w:val="20"/>
          <w:szCs w:val="20"/>
          <w:color w:val="auto"/>
        </w:rPr>
      </w:pPr>
      <w:r>
        <w:rPr>
          <w:rFonts w:ascii="Times New Roman" w:cs="Times New Roman" w:eastAsia="Times New Roman" w:hAnsi="Times New Roman"/>
          <w:sz w:val="22"/>
          <w:szCs w:val="22"/>
          <w:color w:val="auto"/>
        </w:rPr>
        <w:t>Providing material nonpublic information to another person who may trade or advise others to trade on the basis of that information is known as “</w:t>
      </w: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71" w:lineRule="exact"/>
        <w:rPr>
          <w:sz w:val="20"/>
          <w:szCs w:val="20"/>
          <w:color w:val="auto"/>
        </w:rPr>
      </w:pPr>
    </w:p>
    <w:p>
      <w:pPr>
        <w:ind w:left="1508" w:hanging="759"/>
        <w:spacing w:after="0"/>
        <w:tabs>
          <w:tab w:leader="none" w:pos="150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Trading Periods</w:t>
      </w:r>
    </w:p>
    <w:p>
      <w:pPr>
        <w:spacing w:after="0" w:line="102" w:lineRule="exact"/>
        <w:rPr>
          <w:sz w:val="20"/>
          <w:szCs w:val="20"/>
          <w:color w:val="auto"/>
        </w:rPr>
      </w:pPr>
    </w:p>
    <w:p>
      <w:pPr>
        <w:jc w:val="both"/>
        <w:ind w:left="8" w:firstLine="749"/>
        <w:spacing w:after="0" w:line="236" w:lineRule="auto"/>
        <w:rPr>
          <w:sz w:val="20"/>
          <w:szCs w:val="20"/>
          <w:color w:val="auto"/>
        </w:rPr>
      </w:pPr>
      <w:r>
        <w:rPr>
          <w:rFonts w:ascii="Times New Roman" w:cs="Times New Roman" w:eastAsia="Times New Roman" w:hAnsi="Times New Roman"/>
          <w:sz w:val="22"/>
          <w:szCs w:val="22"/>
          <w:color w:val="auto"/>
        </w:rPr>
        <w:t>From time to time, in connection with an announcement of material information about the Company or when significant developments or announcements are anticipated, there may be imposed a temporary prohibition on trading in our securities that is applicable to specified groups of employees or, in rare instances, all persons covered by this policy. In such event, you will be notified by e-mail and/or other means of the imposition and expected duration of the trading prohibition. During that period, no person covered by such a notice may trade in our securities (subject to the limited exceptions set forth in this policy).</w:t>
      </w:r>
    </w:p>
    <w:p>
      <w:pPr>
        <w:spacing w:after="0" w:line="69" w:lineRule="exact"/>
        <w:rPr>
          <w:sz w:val="20"/>
          <w:szCs w:val="20"/>
          <w:color w:val="auto"/>
        </w:rPr>
      </w:pPr>
    </w:p>
    <w:p>
      <w:pPr>
        <w:ind w:left="1508" w:hanging="759"/>
        <w:spacing w:after="0"/>
        <w:tabs>
          <w:tab w:leader="none" w:pos="1508"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Duration of Trading Prohibitions</w:t>
      </w:r>
    </w:p>
    <w:p>
      <w:pPr>
        <w:spacing w:after="0" w:line="102" w:lineRule="exact"/>
        <w:rPr>
          <w:sz w:val="20"/>
          <w:szCs w:val="20"/>
          <w:color w:val="auto"/>
        </w:rPr>
      </w:pPr>
    </w:p>
    <w:p>
      <w:pPr>
        <w:jc w:val="both"/>
        <w:ind w:left="8" w:firstLine="749"/>
        <w:spacing w:after="0" w:line="239" w:lineRule="auto"/>
        <w:rPr>
          <w:sz w:val="20"/>
          <w:szCs w:val="20"/>
          <w:color w:val="auto"/>
        </w:rPr>
      </w:pPr>
      <w:r>
        <w:rPr>
          <w:rFonts w:ascii="Times New Roman" w:cs="Times New Roman" w:eastAsia="Times New Roman" w:hAnsi="Times New Roman"/>
          <w:sz w:val="22"/>
          <w:szCs w:val="22"/>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72" w:lineRule="exact"/>
        <w:rPr>
          <w:sz w:val="20"/>
          <w:szCs w:val="20"/>
          <w:color w:val="auto"/>
        </w:rPr>
      </w:pPr>
    </w:p>
    <w:p>
      <w:pPr>
        <w:jc w:val="both"/>
        <w:ind w:left="8" w:firstLine="749"/>
        <w:spacing w:after="0" w:line="238" w:lineRule="auto"/>
        <w:rPr>
          <w:sz w:val="20"/>
          <w:szCs w:val="20"/>
          <w:color w:val="auto"/>
        </w:rPr>
      </w:pPr>
      <w:r>
        <w:rPr>
          <w:rFonts w:ascii="Times New Roman" w:cs="Times New Roman" w:eastAsia="Times New Roman" w:hAnsi="Times New Roman"/>
          <w:sz w:val="22"/>
          <w:szCs w:val="22"/>
          <w:color w:val="auto"/>
        </w:rPr>
        <w:t>This Insider Trading Policy applies to you and your Affiliated Persons so long as you are associated with the Company. If you cease providing services to the Company or you otherwise leave the Company for any reason, this Insider Trading Policy, including, if applicable, the Trading Procedures contained herein, will continue to apply to you and your Affiliated Persons until the first trading day after any material nonpublic information known to you has become public or is no longer material.</w:t>
      </w:r>
    </w:p>
    <w:p>
      <w:pPr>
        <w:spacing w:after="0" w:line="171" w:lineRule="exact"/>
        <w:rPr>
          <w:sz w:val="20"/>
          <w:szCs w:val="20"/>
          <w:color w:val="auto"/>
        </w:rPr>
      </w:pPr>
    </w:p>
    <w:p>
      <w:pPr>
        <w:ind w:left="748" w:hanging="748"/>
        <w:spacing w:after="0"/>
        <w:tabs>
          <w:tab w:leader="none" w:pos="748" w:val="left"/>
        </w:tabs>
        <w:numPr>
          <w:ilvl w:val="0"/>
          <w:numId w:val="8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104" w:lineRule="exact"/>
        <w:rPr>
          <w:sz w:val="20"/>
          <w:szCs w:val="20"/>
          <w:color w:val="auto"/>
        </w:rPr>
      </w:pPr>
    </w:p>
    <w:p>
      <w:pPr>
        <w:jc w:val="both"/>
        <w:ind w:left="8"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are encouraged to consult with the Compliance Officer.</w:t>
      </w:r>
    </w:p>
    <w:p>
      <w:pPr>
        <w:spacing w:after="0" w:line="61" w:lineRule="exact"/>
        <w:rPr>
          <w:sz w:val="20"/>
          <w:szCs w:val="20"/>
          <w:color w:val="auto"/>
        </w:rPr>
      </w:pPr>
    </w:p>
    <w:p>
      <w:pPr>
        <w:ind w:left="1508" w:hanging="759"/>
        <w:spacing w:after="0"/>
        <w:tabs>
          <w:tab w:leader="none" w:pos="1508"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“Material” Information</w:t>
      </w:r>
    </w:p>
    <w:p>
      <w:pPr>
        <w:spacing w:after="0" w:line="102" w:lineRule="exact"/>
        <w:rPr>
          <w:sz w:val="20"/>
          <w:szCs w:val="20"/>
          <w:color w:val="auto"/>
        </w:rPr>
      </w:pPr>
    </w:p>
    <w:p>
      <w:pPr>
        <w:ind w:left="8" w:firstLine="749"/>
        <w:spacing w:after="0" w:line="258" w:lineRule="auto"/>
        <w:rPr>
          <w:sz w:val="20"/>
          <w:szCs w:val="20"/>
          <w:color w:val="auto"/>
        </w:rPr>
      </w:pPr>
      <w:r>
        <w:rPr>
          <w:rFonts w:ascii="Times New Roman" w:cs="Times New Roman" w:eastAsia="Times New Roman" w:hAnsi="Times New Roman"/>
          <w:sz w:val="22"/>
          <w:szCs w:val="22"/>
          <w:color w:val="auto"/>
        </w:rPr>
        <w:t>Information about us or any other company is “material” if it could reasonably be expected to affect the investment decisions of a shareholder or potential investor, or if the</w:t>
      </w:r>
    </w:p>
    <w:p>
      <w:pPr>
        <w:spacing w:after="0" w:line="217"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575945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66" w:name="page167"/>
    <w:bookmarkEnd w:id="166"/>
    <w:p>
      <w:pPr>
        <w:spacing w:after="0" w:line="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that could preclude you from trading in securities of other companies.</w:t>
      </w:r>
    </w:p>
    <w:p>
      <w:pPr>
        <w:spacing w:after="0" w:line="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72" w:lineRule="exact"/>
        <w:rPr>
          <w:sz w:val="20"/>
          <w:szCs w:val="20"/>
          <w:color w:val="auto"/>
        </w:rPr>
      </w:pPr>
    </w:p>
    <w:p>
      <w:pPr>
        <w:ind w:left="1480" w:hanging="364"/>
        <w:spacing w:after="0"/>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98"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financial results that are known but have not been publicly disclosed;</w:t>
      </w:r>
    </w:p>
    <w:p>
      <w:pPr>
        <w:spacing w:after="0" w:line="98" w:lineRule="exact"/>
        <w:rPr>
          <w:rFonts w:ascii="Times New Roman" w:cs="Times New Roman" w:eastAsia="Times New Roman" w:hAnsi="Times New Roman"/>
          <w:sz w:val="22"/>
          <w:szCs w:val="22"/>
          <w:color w:val="auto"/>
        </w:rPr>
      </w:pPr>
    </w:p>
    <w:p>
      <w:pPr>
        <w:jc w:val="both"/>
        <w:ind w:left="1480" w:hanging="364"/>
        <w:spacing w:after="0" w:line="236"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of, or updates in, clinical trials, including significant adverse events in a clinical trial or a clinical hold; clinical trial results; feedback from regulators concerning the design and advancement of clinical trials or requirements for regulatory approval, including the receipt of minutes from any such interactions; the timing or expectation of drug approvals; receipt of regulatory designations, such as orphan drug, breakthrough or new chemical entity designations; or pending or proposed partnering, collaboration and licensing transactions;</w:t>
      </w:r>
    </w:p>
    <w:p>
      <w:pPr>
        <w:spacing w:after="0" w:line="73"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of, or updates regarding, intellectual property disputes;</w:t>
      </w:r>
    </w:p>
    <w:p>
      <w:pPr>
        <w:spacing w:after="0" w:line="98" w:lineRule="exact"/>
        <w:rPr>
          <w:rFonts w:ascii="Times New Roman" w:cs="Times New Roman" w:eastAsia="Times New Roman" w:hAnsi="Times New Roman"/>
          <w:sz w:val="22"/>
          <w:szCs w:val="22"/>
          <w:color w:val="auto"/>
        </w:rPr>
      </w:pPr>
    </w:p>
    <w:p>
      <w:pPr>
        <w:ind w:left="1480" w:hanging="364"/>
        <w:spacing w:after="0" w:line="258"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50" w:lineRule="exact"/>
        <w:rPr>
          <w:rFonts w:ascii="Times New Roman" w:cs="Times New Roman" w:eastAsia="Times New Roman" w:hAnsi="Times New Roman"/>
          <w:sz w:val="22"/>
          <w:szCs w:val="22"/>
          <w:color w:val="auto"/>
        </w:rPr>
      </w:pPr>
    </w:p>
    <w:p>
      <w:pPr>
        <w:ind w:left="1480" w:hanging="364"/>
        <w:spacing w:after="0" w:line="258"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50"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proposed changes in senior management or our Board of Directors;</w:t>
      </w:r>
    </w:p>
    <w:p>
      <w:pPr>
        <w:spacing w:after="0" w:line="98" w:lineRule="exact"/>
        <w:rPr>
          <w:rFonts w:ascii="Times New Roman" w:cs="Times New Roman" w:eastAsia="Times New Roman" w:hAnsi="Times New Roman"/>
          <w:sz w:val="22"/>
          <w:szCs w:val="22"/>
          <w:color w:val="auto"/>
        </w:rPr>
      </w:pPr>
    </w:p>
    <w:p>
      <w:pPr>
        <w:ind w:left="1480" w:hanging="364"/>
        <w:spacing w:after="0" w:line="258"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threatened litigation or governmental investigations or major developments in such matters;</w:t>
      </w:r>
    </w:p>
    <w:p>
      <w:pPr>
        <w:spacing w:after="0" w:line="50"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risks and incidents, including the discovery of significant vulnerabilities or breaches;</w:t>
      </w:r>
    </w:p>
    <w:p>
      <w:pPr>
        <w:spacing w:after="0" w:line="98" w:lineRule="exact"/>
        <w:rPr>
          <w:rFonts w:ascii="Times New Roman" w:cs="Times New Roman" w:eastAsia="Times New Roman" w:hAnsi="Times New Roman"/>
          <w:sz w:val="22"/>
          <w:szCs w:val="22"/>
          <w:color w:val="auto"/>
        </w:rPr>
      </w:pPr>
    </w:p>
    <w:p>
      <w:pPr>
        <w:ind w:left="1480" w:hanging="364"/>
        <w:spacing w:after="0" w:line="258"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contract)10;</w:t>
      </w:r>
    </w:p>
    <w:p>
      <w:pPr>
        <w:spacing w:after="0" w:line="50"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securities offerings or other financings;</w:t>
      </w:r>
    </w:p>
    <w:p>
      <w:pPr>
        <w:spacing w:after="0" w:line="98" w:lineRule="exact"/>
        <w:rPr>
          <w:rFonts w:ascii="Times New Roman" w:cs="Times New Roman" w:eastAsia="Times New Roman" w:hAnsi="Times New Roman"/>
          <w:sz w:val="22"/>
          <w:szCs w:val="22"/>
          <w:color w:val="auto"/>
        </w:rPr>
      </w:pPr>
    </w:p>
    <w:p>
      <w:pPr>
        <w:ind w:left="1480" w:hanging="364"/>
        <w:spacing w:after="0" w:line="258"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our credit agreements or indentures, or the existence of material liquidity deficiencies; and</w:t>
      </w:r>
    </w:p>
    <w:p>
      <w:pPr>
        <w:spacing w:after="0" w:line="50"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9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By including the list above, we do not mean to imply that each of these items above is always material. Rather, the information and events on the list still require determinations as to</w:t>
      </w: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575945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440" w:right="339" w:bottom="1440" w:gutter="0" w:footer="0" w:header="0"/>
        </w:sectPr>
      </w:pPr>
    </w:p>
    <w:bookmarkStart w:id="167" w:name="page168"/>
    <w:bookmarkEnd w:id="167"/>
    <w:p>
      <w:pPr>
        <w:spacing w:after="0" w:line="77"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21"/>
          <w:szCs w:val="21"/>
          <w:color w:val="auto"/>
        </w:rPr>
        <w:t>their materiality (although some determinations will be reached more easily than others). For example, some new products or contracts may clearly be material to an issuer; yet that does not mean that all product developments or contracts will be material. No “bright-line” standard or list of items can adequately address the range of situations that may arise. Furthermore, we cannot create an exclusive list of events and information that have a higher likelihood of being considered material.</w:t>
      </w:r>
    </w:p>
    <w:p>
      <w:pPr>
        <w:spacing w:after="0" w:line="50" w:lineRule="exact"/>
        <w:rPr>
          <w:sz w:val="20"/>
          <w:szCs w:val="20"/>
          <w:color w:val="auto"/>
        </w:rPr>
      </w:pPr>
    </w:p>
    <w:p>
      <w:pPr>
        <w:ind w:left="1508" w:hanging="759"/>
        <w:spacing w:after="0"/>
        <w:tabs>
          <w:tab w:leader="none" w:pos="1508"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“Nonpublic” Information</w:t>
      </w:r>
    </w:p>
    <w:p>
      <w:pPr>
        <w:spacing w:after="0" w:line="102" w:lineRule="exact"/>
        <w:rPr>
          <w:sz w:val="20"/>
          <w:szCs w:val="20"/>
          <w:color w:val="auto"/>
        </w:rPr>
      </w:pPr>
    </w:p>
    <w:p>
      <w:pPr>
        <w:jc w:val="both"/>
        <w:ind w:left="8" w:right="20" w:firstLine="749"/>
        <w:spacing w:after="0" w:line="258" w:lineRule="auto"/>
        <w:rPr>
          <w:sz w:val="20"/>
          <w:szCs w:val="20"/>
          <w:color w:val="auto"/>
        </w:rPr>
      </w:pPr>
      <w:r>
        <w:rPr>
          <w:rFonts w:ascii="Times New Roman" w:cs="Times New Roman" w:eastAsia="Times New Roman" w:hAnsi="Times New Roman"/>
          <w:sz w:val="22"/>
          <w:szCs w:val="22"/>
          <w:color w:val="auto"/>
        </w:rPr>
        <w:t>Material information is “nonpublic” if it has not been disseminated in a manner making it available to investors generally.</w:t>
      </w:r>
    </w:p>
    <w:p>
      <w:pPr>
        <w:spacing w:after="0" w:line="50" w:lineRule="exact"/>
        <w:rPr>
          <w:sz w:val="20"/>
          <w:szCs w:val="20"/>
          <w:color w:val="auto"/>
        </w:rPr>
      </w:pPr>
    </w:p>
    <w:p>
      <w:pPr>
        <w:jc w:val="both"/>
        <w:ind w:left="8" w:firstLine="749"/>
        <w:spacing w:after="0" w:line="234" w:lineRule="auto"/>
        <w:rPr>
          <w:sz w:val="20"/>
          <w:szCs w:val="20"/>
          <w:color w:val="auto"/>
        </w:rPr>
      </w:pPr>
      <w:r>
        <w:rPr>
          <w:rFonts w:ascii="Times New Roman" w:cs="Times New Roman" w:eastAsia="Times New Roman" w:hAnsi="Times New Roman"/>
          <w:sz w:val="22"/>
          <w:szCs w:val="22"/>
          <w:color w:val="auto"/>
        </w:rPr>
        <w:t>To show that information is public, it is necessary to point to some fact that establishes that the information has become publicly available, such as the filing of a report with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distribution of a press release, publishing the information on our website or via social media if such posting is a regular way we communicate with for investors and is made in accordance with our Corporate Communications Policies and Procedures, or by other means that are reasonably designed to provide broad public access. Before a person with material nonpublic information can trade, there also must be adequate time for the market as a whole to absorb the information that has been disclosed. For the purposes of this Insider Trading Policy, information will be considered public after the completion of one full day of trading following the Company’s public release of the information. For such purposes, a full day of trading means a session of regular trading hours on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between 9:30 a.m. and 4:00 p.m. Eastern Time (or such other times as have been set by exchange rules) has occurred.</w:t>
      </w:r>
    </w:p>
    <w:p>
      <w:pPr>
        <w:spacing w:after="0" w:line="71" w:lineRule="exact"/>
        <w:rPr>
          <w:sz w:val="20"/>
          <w:szCs w:val="20"/>
          <w:color w:val="auto"/>
        </w:rPr>
      </w:pPr>
    </w:p>
    <w:p>
      <w:pPr>
        <w:jc w:val="both"/>
        <w:ind w:left="8"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w:t>
      </w:r>
    </w:p>
    <w:p>
      <w:pPr>
        <w:spacing w:after="0" w:line="174" w:lineRule="exact"/>
        <w:rPr>
          <w:sz w:val="20"/>
          <w:szCs w:val="20"/>
          <w:color w:val="auto"/>
        </w:rPr>
      </w:pPr>
    </w:p>
    <w:p>
      <w:pPr>
        <w:ind w:left="748" w:hanging="748"/>
        <w:spacing w:after="0"/>
        <w:tabs>
          <w:tab w:leader="none" w:pos="748" w:val="left"/>
        </w:tabs>
        <w:numPr>
          <w:ilvl w:val="0"/>
          <w:numId w:val="8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104" w:lineRule="exact"/>
        <w:rPr>
          <w:sz w:val="20"/>
          <w:szCs w:val="20"/>
          <w:color w:val="auto"/>
        </w:rPr>
      </w:pPr>
    </w:p>
    <w:p>
      <w:pPr>
        <w:jc w:val="both"/>
        <w:ind w:left="8" w:firstLine="749"/>
        <w:spacing w:after="0" w:line="255" w:lineRule="auto"/>
        <w:rPr>
          <w:sz w:val="20"/>
          <w:szCs w:val="20"/>
          <w:color w:val="auto"/>
        </w:rPr>
      </w:pPr>
      <w:r>
        <w:rPr>
          <w:rFonts w:ascii="Times New Roman" w:cs="Times New Roman" w:eastAsia="Times New Roman" w:hAnsi="Times New Roman"/>
          <w:sz w:val="21"/>
          <w:szCs w:val="21"/>
          <w:color w:val="auto"/>
        </w:rPr>
        <w:t>Both the U.S. Securities and Exchange Commission and the national securities exchanges, through the Financial Industry Regulatory Authority (“</w:t>
      </w:r>
      <w:r>
        <w:rPr>
          <w:rFonts w:ascii="Times New Roman" w:cs="Times New Roman" w:eastAsia="Times New Roman" w:hAnsi="Times New Roman"/>
          <w:sz w:val="21"/>
          <w:szCs w:val="21"/>
          <w:u w:val="single" w:color="auto"/>
          <w:color w:val="auto"/>
        </w:rPr>
        <w:t>FINRA</w:t>
      </w:r>
      <w:r>
        <w:rPr>
          <w:rFonts w:ascii="Times New Roman" w:cs="Times New Roman" w:eastAsia="Times New Roman" w:hAnsi="Times New Roman"/>
          <w:sz w:val="21"/>
          <w:szCs w:val="21"/>
          <w:color w:val="auto"/>
        </w:rPr>
        <w:t>”), investigate and are very effective at detecting insider trading. The U.S. government pursues insider trading violations vigorously. For instance, cases have been successfully prosecuted against trading by employees in foreign accounts, trading by family members and friends, and trading involving only a small number of shares.</w:t>
      </w:r>
    </w:p>
    <w:p>
      <w:pPr>
        <w:spacing w:after="0" w:line="54"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color w:val="auto"/>
        </w:rPr>
        <w:t>The penalties for violating insider trading or tipping rules can be severe and include:</w:t>
      </w:r>
    </w:p>
    <w:p>
      <w:pPr>
        <w:spacing w:after="0" w:line="98" w:lineRule="exact"/>
        <w:rPr>
          <w:sz w:val="20"/>
          <w:szCs w:val="20"/>
          <w:color w:val="auto"/>
        </w:rPr>
      </w:pPr>
    </w:p>
    <w:p>
      <w:pPr>
        <w:ind w:left="1488" w:hanging="364"/>
        <w:spacing w:after="0"/>
        <w:tabs>
          <w:tab w:leader="none" w:pos="14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forfeiting any profit gained or loss avoided by the trading;</w:t>
      </w:r>
    </w:p>
    <w:p>
      <w:pPr>
        <w:spacing w:after="0" w:line="98" w:lineRule="exact"/>
        <w:rPr>
          <w:rFonts w:ascii="Times New Roman" w:cs="Times New Roman" w:eastAsia="Times New Roman" w:hAnsi="Times New Roman"/>
          <w:sz w:val="22"/>
          <w:szCs w:val="22"/>
          <w:color w:val="auto"/>
        </w:rPr>
      </w:pPr>
    </w:p>
    <w:p>
      <w:pPr>
        <w:ind w:left="1488" w:hanging="364"/>
        <w:spacing w:after="0" w:line="258" w:lineRule="auto"/>
        <w:tabs>
          <w:tab w:leader="none" w:pos="14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such violation, have purchased or sold, as applicable, securities of the same class;</w:t>
      </w:r>
    </w:p>
    <w:p>
      <w:pPr>
        <w:spacing w:after="0" w:line="50" w:lineRule="exact"/>
        <w:rPr>
          <w:rFonts w:ascii="Times New Roman" w:cs="Times New Roman" w:eastAsia="Times New Roman" w:hAnsi="Times New Roman"/>
          <w:sz w:val="22"/>
          <w:szCs w:val="22"/>
          <w:color w:val="auto"/>
        </w:rPr>
      </w:pPr>
    </w:p>
    <w:p>
      <w:pPr>
        <w:ind w:left="1488" w:hanging="364"/>
        <w:spacing w:after="0"/>
        <w:tabs>
          <w:tab w:leader="none" w:pos="14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265"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575945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68" w:name="page169"/>
    <w:bookmarkEnd w:id="168"/>
    <w:p>
      <w:pPr>
        <w:spacing w:after="0" w:line="77" w:lineRule="exact"/>
        <w:rPr>
          <w:sz w:val="20"/>
          <w:szCs w:val="20"/>
          <w:color w:val="auto"/>
        </w:rPr>
      </w:pPr>
    </w:p>
    <w:p>
      <w:pPr>
        <w:ind w:left="1488" w:hanging="364"/>
        <w:spacing w:after="0"/>
        <w:tabs>
          <w:tab w:leader="none" w:pos="14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98" w:lineRule="exact"/>
        <w:rPr>
          <w:rFonts w:ascii="Times New Roman" w:cs="Times New Roman" w:eastAsia="Times New Roman" w:hAnsi="Times New Roman"/>
          <w:sz w:val="22"/>
          <w:szCs w:val="22"/>
          <w:color w:val="auto"/>
        </w:rPr>
      </w:pPr>
    </w:p>
    <w:p>
      <w:pPr>
        <w:ind w:left="1488" w:hanging="364"/>
        <w:spacing w:after="0"/>
        <w:tabs>
          <w:tab w:leader="none" w:pos="14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98" w:lineRule="exact"/>
        <w:rPr>
          <w:sz w:val="20"/>
          <w:szCs w:val="20"/>
          <w:color w:val="auto"/>
        </w:rPr>
      </w:pPr>
    </w:p>
    <w:p>
      <w:pPr>
        <w:jc w:val="both"/>
        <w:ind w:left="8" w:firstLine="749"/>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of fines starting from more than $2 million up to three times the profit made or loss avoided, as well as criminal penalties of up to $25,000,000, and could under certain circumstances be subject to private lawsuits.</w:t>
      </w:r>
    </w:p>
    <w:p>
      <w:pPr>
        <w:spacing w:after="0" w:line="65" w:lineRule="exact"/>
        <w:rPr>
          <w:sz w:val="20"/>
          <w:szCs w:val="20"/>
          <w:color w:val="auto"/>
        </w:rPr>
      </w:pPr>
    </w:p>
    <w:p>
      <w:pPr>
        <w:jc w:val="both"/>
        <w:ind w:left="8" w:firstLine="749"/>
        <w:spacing w:after="0" w:line="236"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our own discretion and on the basis of the information available to us, whether this Insider Trading Policy has been violated. We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5" w:lineRule="exact"/>
        <w:rPr>
          <w:sz w:val="20"/>
          <w:szCs w:val="20"/>
          <w:color w:val="auto"/>
        </w:rPr>
      </w:pPr>
    </w:p>
    <w:p>
      <w:pPr>
        <w:ind w:left="748" w:hanging="748"/>
        <w:spacing w:after="0"/>
        <w:tabs>
          <w:tab w:leader="none" w:pos="748" w:val="left"/>
        </w:tabs>
        <w:numPr>
          <w:ilvl w:val="0"/>
          <w:numId w:val="9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104" w:lineRule="exact"/>
        <w:rPr>
          <w:sz w:val="20"/>
          <w:szCs w:val="20"/>
          <w:color w:val="auto"/>
        </w:rPr>
      </w:pPr>
    </w:p>
    <w:p>
      <w:pPr>
        <w:jc w:val="both"/>
        <w:ind w:left="8" w:firstLine="749"/>
        <w:spacing w:after="0" w:line="235"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are encouraged to consult with the Compliance Officer. In addition, if you violate this Insider Trading Policy or any federal or state laws governing insider trading or know of any such violation by any director or employee of the Company, you should report the violation immediately to the Compliance Officer. If the conduct in question involves the Compliance Officer, if you have reported such conduct to the Compliance Officer and do not believe that the Compliance Officer has dealt with it properly, or if you do not feel that you can discuss the matter with the Compliance Officer, you may raise the matter with the Chairman of the Audit Committee at [***]@crisprtx.com.</w:t>
      </w:r>
    </w:p>
    <w:p>
      <w:pPr>
        <w:spacing w:after="0" w:line="177" w:lineRule="exact"/>
        <w:rPr>
          <w:sz w:val="20"/>
          <w:szCs w:val="20"/>
          <w:color w:val="auto"/>
        </w:rPr>
      </w:pPr>
    </w:p>
    <w:p>
      <w:pPr>
        <w:ind w:left="748" w:hanging="748"/>
        <w:spacing w:after="0"/>
        <w:tabs>
          <w:tab w:leader="none" w:pos="748" w:val="left"/>
        </w:tabs>
        <w:numPr>
          <w:ilvl w:val="0"/>
          <w:numId w:val="9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Note On Trading In Other Companies’ Securities</w:t>
      </w:r>
    </w:p>
    <w:p>
      <w:pPr>
        <w:spacing w:after="0" w:line="104" w:lineRule="exact"/>
        <w:rPr>
          <w:sz w:val="20"/>
          <w:szCs w:val="20"/>
          <w:color w:val="auto"/>
        </w:rPr>
      </w:pPr>
    </w:p>
    <w:p>
      <w:pPr>
        <w:jc w:val="both"/>
        <w:ind w:left="8" w:firstLine="749"/>
        <w:spacing w:after="0" w:line="238" w:lineRule="auto"/>
        <w:rPr>
          <w:sz w:val="20"/>
          <w:szCs w:val="20"/>
          <w:color w:val="auto"/>
        </w:rPr>
      </w:pPr>
      <w:r>
        <w:rPr>
          <w:rFonts w:ascii="Times New Roman" w:cs="Times New Roman" w:eastAsia="Times New Roman" w:hAnsi="Times New Roman"/>
          <w:sz w:val="22"/>
          <w:szCs w:val="22"/>
          <w:color w:val="auto"/>
        </w:rPr>
        <w:t>During the course of your service to, or employment by, the Company, you may become aware of material nonpublic information about another company, including confidential information that is reasonably likely to affect the trading price of that company’s securities (for example, discussions of licensing a product or acquiring that other company). Note, while our Insider Trading Policy does not explicitly prohibit you from trading in other companies’ securities, you may be prohibited by applicable law from doing so.</w:t>
      </w:r>
    </w:p>
    <w:p>
      <w:pPr>
        <w:spacing w:after="0" w:line="69" w:lineRule="exact"/>
        <w:rPr>
          <w:sz w:val="20"/>
          <w:szCs w:val="20"/>
          <w:color w:val="auto"/>
        </w:rPr>
      </w:pPr>
    </w:p>
    <w:p>
      <w:pPr>
        <w:jc w:val="both"/>
        <w:ind w:left="8" w:firstLine="749"/>
        <w:spacing w:after="0" w:line="238" w:lineRule="auto"/>
        <w:rPr>
          <w:sz w:val="20"/>
          <w:szCs w:val="20"/>
          <w:color w:val="auto"/>
        </w:rPr>
      </w:pPr>
      <w:r>
        <w:rPr>
          <w:rFonts w:ascii="Times New Roman" w:cs="Times New Roman" w:eastAsia="Times New Roman" w:hAnsi="Times New Roman"/>
          <w:sz w:val="22"/>
          <w:szCs w:val="22"/>
          <w:color w:val="auto"/>
        </w:rPr>
        <w:t>Additionally, if you believe you may be in possession of nonpublic information about the Company that could potentially have a material effect on the stock price of a company with which the Company does not have an existing business relationship or with which the Company is not discussing a potential transaction or business relationship, you should exercise caution when trading in the securities of that company because the SEC has successfully brought an insider trading claim against an insider in those circumstances.</w:t>
      </w:r>
    </w:p>
    <w:p>
      <w:pPr>
        <w:spacing w:after="0" w:line="2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ind w:left="748" w:hanging="748"/>
        <w:spacing w:after="0"/>
        <w:tabs>
          <w:tab w:leader="none" w:pos="748" w:val="left"/>
        </w:tabs>
        <w:numPr>
          <w:ilvl w:val="0"/>
          <w:numId w:val="9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71"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575945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69" w:name="page170"/>
    <w:bookmarkEnd w:id="169"/>
    <w:p>
      <w:pPr>
        <w:spacing w:after="0" w:line="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In addition to needing to comply with the restrictions on trading in our securities set forth above, Insiders and their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Affiliated Persons are subject to the following special trading restrictions:</w:t>
      </w:r>
    </w:p>
    <w:p>
      <w:pPr>
        <w:spacing w:after="0" w:line="70" w:lineRule="exact"/>
        <w:rPr>
          <w:sz w:val="20"/>
          <w:szCs w:val="20"/>
          <w:color w:val="auto"/>
        </w:rPr>
      </w:pPr>
    </w:p>
    <w:p>
      <w:pPr>
        <w:ind w:left="1500" w:hanging="759"/>
        <w:spacing w:after="0"/>
        <w:tabs>
          <w:tab w:leader="none" w:pos="150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Except During Trading Windows</w:t>
      </w:r>
      <w:r>
        <w:rPr>
          <w:rFonts w:ascii="Times New Roman" w:cs="Times New Roman" w:eastAsia="Times New Roman" w:hAnsi="Times New Roman"/>
          <w:sz w:val="22"/>
          <w:szCs w:val="22"/>
          <w:color w:val="auto"/>
        </w:rPr>
        <w:t>.</w:t>
      </w:r>
    </w:p>
    <w:p>
      <w:pPr>
        <w:spacing w:after="0" w:line="102"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22"/>
          <w:szCs w:val="22"/>
          <w:color w:val="auto"/>
        </w:rPr>
        <w:t>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described herein, Insiders may trade in Company securities only during four quarterly trading windows and then only after obtaining pre-clearance from the Compliance Officer in accordance with the procedures set forth below. Unless otherwise advised, the four trading windows consist of the periods that begin after market close on the first full trading day following the Company’s issuance of a press release (or other method of broad public dissemination) announcing its quarterly or annual earnings and end at the close of business on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before the end of the then-current quarter. For the purposes of the foregoing, a full trading day means a session of regular trading hours on Nasdaq between 9:30 a.m. and 4:00 p.m. Eastern Time (or such other times as have been set by exchange rules) has occurred. Insiders may be allowed to trade outside of a trading window only (a) pursuant to a pre-approved Rule 10b5-1 Plan as described below or (b) in accordance with the procedure for waivers as described below.</w:t>
      </w:r>
    </w:p>
    <w:p>
      <w:pPr>
        <w:spacing w:after="0" w:line="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example, if we release earnings results before the market opens on a Tuesday, the first time an Insider can buy or sell Company securities is the opening of the market on Wednesday. However, if our earnings release occurs after trading begins on that Tuesday, the first time that an Insider can buy or sell Company securities is the opening of the market on Thursday.</w:t>
      </w:r>
    </w:p>
    <w:p>
      <w:pPr>
        <w:spacing w:after="0" w:line="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Of course, if an Insider has material nonpublic information about us during one of these trading windows, the Insider may not trade in our securities.</w:t>
      </w:r>
    </w:p>
    <w:p>
      <w:pPr>
        <w:spacing w:after="0" w:line="46" w:lineRule="exact"/>
        <w:rPr>
          <w:sz w:val="20"/>
          <w:szCs w:val="20"/>
          <w:color w:val="auto"/>
        </w:rPr>
      </w:pPr>
    </w:p>
    <w:p>
      <w:pPr>
        <w:ind w:left="1500" w:hanging="759"/>
        <w:spacing w:after="0"/>
        <w:tabs>
          <w:tab w:leader="none" w:pos="150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Special Closed Trading Periods</w:t>
      </w:r>
    </w:p>
    <w:p>
      <w:pPr>
        <w:spacing w:after="0" w:line="10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Compliance Officer may designate, from time to time, a “Special Closed Window” during what would temporally be a permitted trading window. During a Special Closed Window, designated Insiders (which could be all Insiders or a subset of them) may not trade in the Company’s securities. The Compliance Officer may also apply a Special Closed Window to Insiders or a subset of them to the trading in the securities of certain other companies, as deemed appropriate or advisable, including certain of the Company’s peers or competitors. The existence of a Special Closed Window will not be announced to the Company generally, should not be communicated to any other person, and may itself be considered under this Insider Trading Policy to be material nonpublic information about the Company.</w:t>
      </w:r>
    </w:p>
    <w:p>
      <w:pPr>
        <w:spacing w:after="0" w:line="71" w:lineRule="exact"/>
        <w:rPr>
          <w:sz w:val="20"/>
          <w:szCs w:val="20"/>
          <w:color w:val="auto"/>
        </w:rPr>
      </w:pPr>
    </w:p>
    <w:p>
      <w:pPr>
        <w:ind w:left="1500" w:hanging="759"/>
        <w:spacing w:after="0"/>
        <w:tabs>
          <w:tab w:leader="none" w:pos="150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96" w:lineRule="exact"/>
        <w:rPr>
          <w:rFonts w:ascii="Times New Roman" w:cs="Times New Roman" w:eastAsia="Times New Roman" w:hAnsi="Times New Roman"/>
          <w:sz w:val="22"/>
          <w:szCs w:val="22"/>
          <w:b w:val="1"/>
          <w:bCs w:val="1"/>
          <w:color w:val="auto"/>
        </w:rPr>
      </w:pPr>
    </w:p>
    <w:p>
      <w:pPr>
        <w:ind w:left="1860" w:right="20" w:hanging="370"/>
        <w:spacing w:after="0" w:line="264" w:lineRule="auto"/>
        <w:tabs>
          <w:tab w:leader="none" w:pos="18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You many not at any time sell any securities of the Company that are not owned by you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at the time of the sale (a “</w:t>
      </w:r>
      <w:r>
        <w:rPr>
          <w:rFonts w:ascii="Times New Roman" w:cs="Times New Roman" w:eastAsia="Times New Roman" w:hAnsi="Times New Roman"/>
          <w:sz w:val="22"/>
          <w:szCs w:val="22"/>
          <w:u w:val="single" w:color="auto"/>
          <w:color w:val="auto"/>
        </w:rPr>
        <w:t>short sale</w:t>
      </w:r>
      <w:r>
        <w:rPr>
          <w:rFonts w:ascii="Times New Roman" w:cs="Times New Roman" w:eastAsia="Times New Roman" w:hAnsi="Times New Roman"/>
          <w:sz w:val="22"/>
          <w:szCs w:val="22"/>
          <w:color w:val="auto"/>
        </w:rPr>
        <w:t>”).</w:t>
      </w:r>
    </w:p>
    <w:p>
      <w:pPr>
        <w:spacing w:after="0" w:line="37" w:lineRule="exact"/>
        <w:rPr>
          <w:rFonts w:ascii="Times New Roman" w:cs="Times New Roman" w:eastAsia="Times New Roman" w:hAnsi="Times New Roman"/>
          <w:sz w:val="22"/>
          <w:szCs w:val="22"/>
          <w:color w:val="auto"/>
        </w:rPr>
      </w:pPr>
    </w:p>
    <w:p>
      <w:pPr>
        <w:ind w:left="1860" w:hanging="370"/>
        <w:spacing w:after="0"/>
        <w:tabs>
          <w:tab w:leader="none" w:pos="18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Purchases or Sales of Derivative Securities or Hedging Transactions</w:t>
      </w:r>
      <w:r>
        <w:rPr>
          <w:rFonts w:ascii="Times New Roman" w:cs="Times New Roman" w:eastAsia="Times New Roman" w:hAnsi="Times New Roman"/>
          <w:sz w:val="22"/>
          <w:szCs w:val="22"/>
          <w:i w:val="1"/>
          <w:iCs w:val="1"/>
          <w:color w:val="auto"/>
        </w:rPr>
        <w:t>.</w:t>
      </w:r>
    </w:p>
    <w:p>
      <w:pPr>
        <w:spacing w:after="0" w:line="2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575945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440" w:right="339" w:bottom="1440" w:gutter="0" w:footer="0" w:header="0"/>
        </w:sectPr>
      </w:pPr>
    </w:p>
    <w:bookmarkStart w:id="170" w:name="page171"/>
    <w:bookmarkEnd w:id="170"/>
    <w:p>
      <w:pPr>
        <w:spacing w:after="0" w:line="77" w:lineRule="exact"/>
        <w:rPr>
          <w:sz w:val="20"/>
          <w:szCs w:val="20"/>
          <w:color w:val="auto"/>
        </w:rPr>
      </w:pPr>
    </w:p>
    <w:p>
      <w:pPr>
        <w:jc w:val="both"/>
        <w:ind w:left="1868"/>
        <w:spacing w:after="0" w:line="239" w:lineRule="auto"/>
        <w:rPr>
          <w:sz w:val="20"/>
          <w:szCs w:val="20"/>
          <w:color w:val="auto"/>
        </w:rPr>
      </w:pPr>
      <w:r>
        <w:rPr>
          <w:rFonts w:ascii="Times New Roman" w:cs="Times New Roman" w:eastAsia="Times New Roman" w:hAnsi="Times New Roman"/>
          <w:sz w:val="22"/>
          <w:szCs w:val="22"/>
          <w:color w:val="auto"/>
        </w:rPr>
        <w:t>You may not buy or sell puts, calls, other derivative securities 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 at any time.</w:t>
      </w:r>
    </w:p>
    <w:p>
      <w:pPr>
        <w:spacing w:after="0" w:line="66" w:lineRule="exact"/>
        <w:rPr>
          <w:sz w:val="20"/>
          <w:szCs w:val="20"/>
          <w:color w:val="auto"/>
        </w:rPr>
      </w:pPr>
    </w:p>
    <w:p>
      <w:pPr>
        <w:ind w:left="1868" w:right="20" w:hanging="370"/>
        <w:spacing w:after="0" w:line="264" w:lineRule="auto"/>
        <w:tabs>
          <w:tab w:leader="none" w:pos="186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may not use the Company’s securities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collateral in a margin account.</w:t>
      </w:r>
    </w:p>
    <w:p>
      <w:pPr>
        <w:spacing w:after="0" w:line="37" w:lineRule="exact"/>
        <w:rPr>
          <w:rFonts w:ascii="Times New Roman" w:cs="Times New Roman" w:eastAsia="Times New Roman" w:hAnsi="Times New Roman"/>
          <w:sz w:val="22"/>
          <w:szCs w:val="22"/>
          <w:color w:val="auto"/>
        </w:rPr>
      </w:pPr>
    </w:p>
    <w:p>
      <w:pPr>
        <w:ind w:left="1868" w:right="20" w:hanging="370"/>
        <w:spacing w:after="0" w:line="264" w:lineRule="auto"/>
        <w:tabs>
          <w:tab w:leader="none" w:pos="186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You may not pledge Company securities as collateral for a loan (or modify an existing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pledge).</w:t>
      </w:r>
    </w:p>
    <w:p>
      <w:pPr>
        <w:spacing w:after="0" w:line="39" w:lineRule="exact"/>
        <w:rPr>
          <w:rFonts w:ascii="Times New Roman" w:cs="Times New Roman" w:eastAsia="Times New Roman" w:hAnsi="Times New Roman"/>
          <w:sz w:val="22"/>
          <w:szCs w:val="22"/>
          <w:color w:val="auto"/>
        </w:rPr>
      </w:pPr>
    </w:p>
    <w:p>
      <w:pPr>
        <w:ind w:left="1508" w:hanging="759"/>
        <w:spacing w:after="0"/>
        <w:tabs>
          <w:tab w:leader="none" w:pos="1508"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 and Other Distributions in Kind</w:t>
      </w:r>
      <w:r>
        <w:rPr>
          <w:rFonts w:ascii="Times New Roman" w:cs="Times New Roman" w:eastAsia="Times New Roman" w:hAnsi="Times New Roman"/>
          <w:sz w:val="22"/>
          <w:szCs w:val="22"/>
          <w:color w:val="auto"/>
        </w:rPr>
        <w:t>.</w:t>
      </w:r>
    </w:p>
    <w:p>
      <w:pPr>
        <w:spacing w:after="0" w:line="102" w:lineRule="exact"/>
        <w:rPr>
          <w:sz w:val="20"/>
          <w:szCs w:val="20"/>
          <w:color w:val="auto"/>
        </w:rPr>
      </w:pPr>
    </w:p>
    <w:p>
      <w:pPr>
        <w:ind w:left="8" w:right="20" w:firstLine="749"/>
        <w:spacing w:after="0" w:line="258" w:lineRule="auto"/>
        <w:rPr>
          <w:sz w:val="20"/>
          <w:szCs w:val="20"/>
          <w:color w:val="auto"/>
        </w:rPr>
      </w:pPr>
      <w:r>
        <w:rPr>
          <w:rFonts w:ascii="Times New Roman" w:cs="Times New Roman" w:eastAsia="Times New Roman" w:hAnsi="Times New Roman"/>
          <w:sz w:val="22"/>
          <w:szCs w:val="22"/>
          <w:color w:val="auto"/>
        </w:rPr>
        <w:t>No Insider may donate or make any other transfer of Company securities in kind without consideration (e.g., a gift) during a period when the Insider is not permitted to trade.</w:t>
      </w:r>
    </w:p>
    <w:p>
      <w:pPr>
        <w:spacing w:after="0" w:line="152" w:lineRule="exact"/>
        <w:rPr>
          <w:sz w:val="20"/>
          <w:szCs w:val="20"/>
          <w:color w:val="auto"/>
        </w:rPr>
      </w:pPr>
    </w:p>
    <w:p>
      <w:pPr>
        <w:ind w:left="748" w:hanging="748"/>
        <w:spacing w:after="0"/>
        <w:tabs>
          <w:tab w:leader="none" w:pos="748" w:val="left"/>
        </w:tabs>
        <w:numPr>
          <w:ilvl w:val="0"/>
          <w:numId w:val="9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104" w:lineRule="exact"/>
        <w:rPr>
          <w:sz w:val="20"/>
          <w:szCs w:val="20"/>
          <w:color w:val="auto"/>
        </w:rPr>
      </w:pPr>
    </w:p>
    <w:p>
      <w:pPr>
        <w:jc w:val="both"/>
        <w:ind w:left="8" w:firstLine="749"/>
        <w:spacing w:after="0" w:line="235" w:lineRule="auto"/>
        <w:rPr>
          <w:sz w:val="20"/>
          <w:szCs w:val="20"/>
          <w:color w:val="auto"/>
        </w:rPr>
      </w:pPr>
      <w:r>
        <w:rPr>
          <w:rFonts w:ascii="Times New Roman" w:cs="Times New Roman" w:eastAsia="Times New Roman" w:hAnsi="Times New Roman"/>
          <w:sz w:val="22"/>
          <w:szCs w:val="22"/>
          <w:color w:val="auto"/>
        </w:rPr>
        <w:t>No Insider may trade in our securities, even during an open trading window, unless the trade has been approved by the Compliance Officer under the procedures described below. If you are unable to contact the Compliance Officer, or if you do not feel you can discuss the matter with the Compliance Officer, you may contact the Chief Executive Officer, who shall be the alternate Compliance Officer (the Compliance Officer and the alternate Compliance Officer are collectively referred to as the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 in these Trading Procedures). In reviewing trading requests, the Compliance Officer may consult with our other officers and/or outside legal counsel and will receive approval for his or her own trades from the Chief Executive Officer.</w:t>
      </w:r>
    </w:p>
    <w:p>
      <w:pPr>
        <w:spacing w:after="0" w:line="71" w:lineRule="exact"/>
        <w:rPr>
          <w:sz w:val="20"/>
          <w:szCs w:val="20"/>
          <w:color w:val="auto"/>
        </w:rPr>
      </w:pPr>
    </w:p>
    <w:p>
      <w:pPr>
        <w:ind w:left="1648" w:hanging="749"/>
        <w:spacing w:after="0"/>
        <w:tabs>
          <w:tab w:leader="none" w:pos="1648"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Procedures.</w:t>
      </w:r>
    </w:p>
    <w:p>
      <w:pPr>
        <w:spacing w:after="0" w:line="102"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color w:val="auto"/>
        </w:rPr>
        <w:t>No Insider may trade in our securities unless and until:</w:t>
      </w:r>
    </w:p>
    <w:p>
      <w:pPr>
        <w:spacing w:after="0" w:line="98" w:lineRule="exact"/>
        <w:rPr>
          <w:sz w:val="20"/>
          <w:szCs w:val="20"/>
          <w:color w:val="auto"/>
        </w:rPr>
      </w:pPr>
    </w:p>
    <w:p>
      <w:pPr>
        <w:jc w:val="both"/>
        <w:ind w:left="1868" w:hanging="370"/>
        <w:spacing w:after="0" w:line="238" w:lineRule="auto"/>
        <w:tabs>
          <w:tab w:leader="none" w:pos="186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68" w:lineRule="exact"/>
        <w:rPr>
          <w:rFonts w:ascii="Times New Roman" w:cs="Times New Roman" w:eastAsia="Times New Roman" w:hAnsi="Times New Roman"/>
          <w:sz w:val="22"/>
          <w:szCs w:val="22"/>
          <w:color w:val="auto"/>
        </w:rPr>
      </w:pPr>
    </w:p>
    <w:p>
      <w:pPr>
        <w:ind w:left="1868" w:hanging="370"/>
        <w:spacing w:after="0" w:line="258" w:lineRule="auto"/>
        <w:tabs>
          <w:tab w:leader="none" w:pos="186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prior to the proposed trade(s) that the Insider is not in possession of material nonpublic information concerning the Company;</w:t>
      </w:r>
    </w:p>
    <w:p>
      <w:pPr>
        <w:spacing w:after="0" w:line="50" w:lineRule="exact"/>
        <w:rPr>
          <w:rFonts w:ascii="Times New Roman" w:cs="Times New Roman" w:eastAsia="Times New Roman" w:hAnsi="Times New Roman"/>
          <w:sz w:val="22"/>
          <w:szCs w:val="22"/>
          <w:color w:val="auto"/>
        </w:rPr>
      </w:pPr>
    </w:p>
    <w:p>
      <w:pPr>
        <w:jc w:val="both"/>
        <w:ind w:left="1868" w:hanging="370"/>
        <w:spacing w:after="0" w:line="236" w:lineRule="auto"/>
        <w:tabs>
          <w:tab w:leader="none" w:pos="186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Insider is an executive officer or director, the Insider has informed the Compliance Officer whether, to the Insider’s best knowledge, (a) the Insider has (or is deemed to have) engaged in any opposite way transactions within the previous six months that were not exempt from Section 16(b) of the Exchange Act and (b) if the </w:t>
      </w:r>
      <w:r>
        <w:rPr>
          <w:rFonts w:ascii="Times New Roman" w:cs="Times New Roman" w:eastAsia="Times New Roman" w:hAnsi="Times New Roman"/>
          <w:sz w:val="19"/>
          <w:szCs w:val="19"/>
          <w:color w:val="auto"/>
        </w:rPr>
        <w:t>transaction involves a sale by an “affiliate” of the Company or of “restricted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securities” (as such terms are defined under Rule 144 under the Securities Act of 1933, as amended (“</w:t>
      </w:r>
      <w:r>
        <w:rPr>
          <w:rFonts w:ascii="Times New Roman" w:cs="Times New Roman" w:eastAsia="Times New Roman" w:hAnsi="Times New Roman"/>
          <w:sz w:val="19"/>
          <w:szCs w:val="19"/>
          <w:u w:val="single" w:color="auto"/>
          <w:color w:val="auto"/>
        </w:rPr>
        <w:t>Rule 144</w:t>
      </w:r>
      <w:r>
        <w:rPr>
          <w:rFonts w:ascii="Times New Roman" w:cs="Times New Roman" w:eastAsia="Times New Roman" w:hAnsi="Times New Roman"/>
          <w:sz w:val="19"/>
          <w:szCs w:val="19"/>
          <w:color w:val="auto"/>
        </w:rPr>
        <w:t>”)), whether the transaction meets all of the applicable conditions of Rule 144; and</w:t>
      </w:r>
    </w:p>
    <w:p>
      <w:pPr>
        <w:spacing w:after="0" w:line="247"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575945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71" w:name="page172"/>
    <w:bookmarkEnd w:id="171"/>
    <w:p>
      <w:pPr>
        <w:spacing w:after="0" w:line="77" w:lineRule="exact"/>
        <w:rPr>
          <w:sz w:val="20"/>
          <w:szCs w:val="20"/>
          <w:color w:val="auto"/>
        </w:rPr>
      </w:pPr>
    </w:p>
    <w:p>
      <w:pPr>
        <w:ind w:left="1860" w:hanging="370"/>
        <w:spacing w:after="0" w:line="258" w:lineRule="auto"/>
        <w:tabs>
          <w:tab w:leader="none" w:pos="1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or his or her designee has approved the trade(s) and has certified such approval in writing (which may be by email and which may be digitally signed).</w:t>
      </w:r>
    </w:p>
    <w:p>
      <w:pPr>
        <w:spacing w:after="0" w:line="5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does not assume the responsibility for, and approval from the Compliance Officer does not protect the Insider from, the consequences of prohibited insider trading.</w:t>
      </w:r>
    </w:p>
    <w:p>
      <w:pPr>
        <w:spacing w:after="0" w:line="46" w:lineRule="exact"/>
        <w:rPr>
          <w:sz w:val="20"/>
          <w:szCs w:val="20"/>
          <w:color w:val="auto"/>
        </w:rPr>
      </w:pPr>
    </w:p>
    <w:p>
      <w:pPr>
        <w:ind w:left="1640" w:hanging="749"/>
        <w:spacing w:after="0"/>
        <w:tabs>
          <w:tab w:leader="none" w:pos="164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r>
        <w:rPr>
          <w:rFonts w:ascii="Times New Roman" w:cs="Times New Roman" w:eastAsia="Times New Roman" w:hAnsi="Times New Roman"/>
          <w:sz w:val="19"/>
          <w:szCs w:val="19"/>
          <w:color w:val="auto"/>
        </w:rPr>
        <w:t>.</w:t>
      </w:r>
    </w:p>
    <w:p>
      <w:pPr>
        <w:spacing w:after="0" w:line="10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reasonably requested by the officer in furtherance of the foregoing procedures. Any failure to provide such requested information will be grounds for denial of approval by the Compliance Officer.</w:t>
      </w:r>
    </w:p>
    <w:p>
      <w:pPr>
        <w:spacing w:after="0" w:line="61" w:lineRule="exact"/>
        <w:rPr>
          <w:sz w:val="20"/>
          <w:szCs w:val="20"/>
          <w:color w:val="auto"/>
        </w:rPr>
      </w:pPr>
    </w:p>
    <w:p>
      <w:pPr>
        <w:ind w:left="1640" w:hanging="749"/>
        <w:spacing w:after="0"/>
        <w:tabs>
          <w:tab w:leader="none" w:pos="164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of Brokers of Insider Status</w:t>
      </w:r>
      <w:r>
        <w:rPr>
          <w:rFonts w:ascii="Times New Roman" w:cs="Times New Roman" w:eastAsia="Times New Roman" w:hAnsi="Times New Roman"/>
          <w:sz w:val="22"/>
          <w:szCs w:val="22"/>
          <w:color w:val="auto"/>
        </w:rPr>
        <w:t>.</w:t>
      </w:r>
    </w:p>
    <w:p>
      <w:pPr>
        <w:spacing w:after="0" w:line="1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Insiders who are required to file reports under Section 16 of the Exchange Act shall inform all broker-dealers that may trade in our shares on the Insider’s or an Affiliated Person’s behalf of their status as a Section 16 officer and affiliate of the Company, the requirement that the broker confirm that any trade by the Insider has been approved by the Company pursuant to these pre-clearance procedures before making any trade, and arrange for the broker to provide transaction information to the Insider and/or Compliance Officer on the day of any executed transaction.</w:t>
      </w:r>
    </w:p>
    <w:p>
      <w:pPr>
        <w:spacing w:after="0" w:line="65" w:lineRule="exact"/>
        <w:rPr>
          <w:sz w:val="20"/>
          <w:szCs w:val="20"/>
          <w:color w:val="auto"/>
        </w:rPr>
      </w:pPr>
    </w:p>
    <w:p>
      <w:pPr>
        <w:ind w:left="1640" w:hanging="749"/>
        <w:spacing w:after="0"/>
        <w:tabs>
          <w:tab w:leader="none" w:pos="164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1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existence of the foregoing approval procedures does not in any way obligate the Compliance Officer to approve any trade requested by an Insider. The Compliance Officer may reject any trading request at his or her sole discretion.</w:t>
      </w:r>
    </w:p>
    <w:p>
      <w:pPr>
        <w:spacing w:after="0" w:line="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by a limited number of directors and employees. Insiders may not trade in our securities if they are notified by the Compliance Officer that a proposed trade has not been cleared because of the existence of a material nonpublic development –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w:t>
      </w:r>
    </w:p>
    <w:p>
      <w:pPr>
        <w:spacing w:after="0" w:line="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Compliance Officer will subsequently notify the Insider once the material nonpublic development is disclosed to the public or resolved. If an Insider requests clearance to trade in our securities during the pendency of such an event, the Compliance Officer may reject the trading request without disclosing the reason.</w:t>
      </w:r>
    </w:p>
    <w:p>
      <w:pPr>
        <w:spacing w:after="0" w:line="61" w:lineRule="exact"/>
        <w:rPr>
          <w:sz w:val="20"/>
          <w:szCs w:val="20"/>
          <w:color w:val="auto"/>
        </w:rPr>
      </w:pPr>
    </w:p>
    <w:p>
      <w:pPr>
        <w:ind w:left="1640" w:hanging="749"/>
        <w:spacing w:after="0"/>
        <w:tabs>
          <w:tab w:leader="none" w:pos="164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After receiving written clearance to engage in a trade signed by the Compliance Officer, an Insider must complete the proposed trade within five (5) business days or make a new trading request. Notwithstanding that an Insider has received such clearance, the Insider shall not engage in a trade if (i) such clearance has been rescinded by the Compliance Officer, (ii) the Insider has otherwise received notice that the trading window has been closed or (iii) the Insider believes</w:t>
      </w: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575945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440" w:right="339" w:bottom="1440" w:gutter="0" w:footer="0" w:header="0"/>
        </w:sectPr>
      </w:pPr>
    </w:p>
    <w:bookmarkStart w:id="172" w:name="page173"/>
    <w:bookmarkEnd w:id="172"/>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that they may have material nonpublic information.</w:t>
      </w:r>
    </w:p>
    <w:p>
      <w:pPr>
        <w:spacing w:after="0" w:line="94" w:lineRule="exact"/>
        <w:rPr>
          <w:sz w:val="20"/>
          <w:szCs w:val="20"/>
          <w:color w:val="auto"/>
        </w:rPr>
      </w:pPr>
    </w:p>
    <w:p>
      <w:pPr>
        <w:ind w:left="1648" w:hanging="749"/>
        <w:spacing w:after="0"/>
        <w:tabs>
          <w:tab w:leader="none" w:pos="1648"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102" w:lineRule="exact"/>
        <w:rPr>
          <w:sz w:val="20"/>
          <w:szCs w:val="20"/>
          <w:color w:val="auto"/>
        </w:rPr>
      </w:pPr>
    </w:p>
    <w:p>
      <w:pPr>
        <w:jc w:val="both"/>
        <w:ind w:left="8" w:firstLine="749"/>
        <w:spacing w:after="0" w:line="233" w:lineRule="auto"/>
        <w:rPr>
          <w:sz w:val="20"/>
          <w:szCs w:val="20"/>
          <w:color w:val="auto"/>
        </w:rPr>
      </w:pPr>
      <w:r>
        <w:rPr>
          <w:rFonts w:ascii="Times New Roman" w:cs="Times New Roman" w:eastAsia="Times New Roman" w:hAnsi="Times New Roman"/>
          <w:sz w:val="22"/>
          <w:szCs w:val="22"/>
          <w:color w:val="auto"/>
        </w:rPr>
        <w:t>The details of any transactions in our securities (including transactions effected pursuant to a Rule 10b5-1 Plan) by an Insider (or one of their Affiliated Persons) who is required to file reports under Section 16 of the Exchange Act must be reported to the Compliance Officer by the Insider or their brokerage firm on the same day on which a trade order is placed or such a transaction otherwise is entered into. Such report shall include the date of the transaction, quantity of shares, the price and the name of the broker-dealer through which the transaction was effected. This reporting requirement may be satisfied by providing (or having such Insider’s broker provide) a trade order confirmation to the Compliance Officer if such information is received by the Compliance Officer by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shareholders, as well as possible civil or criminal sanctions for chronic or egregious violators.</w:t>
      </w:r>
    </w:p>
    <w:p>
      <w:pPr>
        <w:spacing w:after="0" w:line="181" w:lineRule="exact"/>
        <w:rPr>
          <w:sz w:val="20"/>
          <w:szCs w:val="20"/>
          <w:color w:val="auto"/>
        </w:rPr>
      </w:pPr>
    </w:p>
    <w:p>
      <w:pPr>
        <w:ind w:left="748" w:hanging="748"/>
        <w:spacing w:after="0"/>
        <w:tabs>
          <w:tab w:leader="none" w:pos="748" w:val="left"/>
        </w:tabs>
        <w:numPr>
          <w:ilvl w:val="0"/>
          <w:numId w:val="10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100" w:lineRule="exact"/>
        <w:rPr>
          <w:rFonts w:ascii="Times New Roman" w:cs="Times New Roman" w:eastAsia="Times New Roman" w:hAnsi="Times New Roman"/>
          <w:sz w:val="22"/>
          <w:szCs w:val="22"/>
          <w:b w:val="1"/>
          <w:bCs w:val="1"/>
          <w:i w:val="1"/>
          <w:iCs w:val="1"/>
          <w:color w:val="auto"/>
        </w:rPr>
      </w:pPr>
    </w:p>
    <w:p>
      <w:pPr>
        <w:ind w:left="1788" w:hanging="739"/>
        <w:spacing w:after="0"/>
        <w:tabs>
          <w:tab w:leader="none" w:pos="1788" w:val="left"/>
        </w:tabs>
        <w:numPr>
          <w:ilvl w:val="1"/>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102" w:lineRule="exact"/>
        <w:rPr>
          <w:sz w:val="20"/>
          <w:szCs w:val="20"/>
          <w:color w:val="auto"/>
        </w:rPr>
      </w:pPr>
    </w:p>
    <w:p>
      <w:pPr>
        <w:jc w:val="both"/>
        <w:ind w:left="8" w:firstLine="749"/>
        <w:spacing w:after="0" w:line="236" w:lineRule="auto"/>
        <w:rPr>
          <w:sz w:val="20"/>
          <w:szCs w:val="20"/>
          <w:color w:val="auto"/>
        </w:rPr>
      </w:pPr>
      <w:r>
        <w:rPr>
          <w:rFonts w:ascii="Times New Roman" w:cs="Times New Roman" w:eastAsia="Times New Roman" w:hAnsi="Times New Roman"/>
          <w:sz w:val="22"/>
          <w:szCs w:val="22"/>
          <w:color w:val="auto"/>
        </w:rPr>
        <w:t>Transactions made pursuant to an approved Rule 10b5-1 Plan (as defined below) will not be subject to our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the SEC’s Rule 10b5-1 (a “</w:t>
      </w:r>
      <w:r>
        <w:rPr>
          <w:rFonts w:ascii="Times New Roman" w:cs="Times New Roman" w:eastAsia="Times New Roman" w:hAnsi="Times New Roman"/>
          <w:sz w:val="22"/>
          <w:szCs w:val="22"/>
          <w:u w:val="single" w:color="auto"/>
          <w:color w:val="auto"/>
        </w:rPr>
        <w:t>Rule 10b5-1 Plan</w:t>
      </w:r>
      <w:r>
        <w:rPr>
          <w:rFonts w:ascii="Times New Roman" w:cs="Times New Roman" w:eastAsia="Times New Roman" w:hAnsi="Times New Roman"/>
          <w:sz w:val="22"/>
          <w:szCs w:val="22"/>
          <w:color w:val="auto"/>
        </w:rPr>
        <w:t>”) enables Insiders to trade in Company securities outside of our trading windows, even when in possession of material nonpublic information.</w:t>
      </w:r>
    </w:p>
    <w:p>
      <w:pPr>
        <w:spacing w:after="0" w:line="73"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color w:val="auto"/>
        </w:rPr>
        <w:t>If an Insider intends to trade pursuant to a Rule 10b5-1 Plan, such plan, arrangement or instruction must:</w:t>
      </w:r>
    </w:p>
    <w:p>
      <w:pPr>
        <w:spacing w:after="0" w:line="98" w:lineRule="exact"/>
        <w:rPr>
          <w:sz w:val="20"/>
          <w:szCs w:val="20"/>
          <w:color w:val="auto"/>
        </w:rPr>
      </w:pPr>
    </w:p>
    <w:p>
      <w:pPr>
        <w:ind w:left="1868" w:hanging="370"/>
        <w:spacing w:after="0"/>
        <w:tabs>
          <w:tab w:leader="none" w:pos="186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satisfy the requirements of Rule 10b5-1;</w:t>
      </w:r>
    </w:p>
    <w:p>
      <w:pPr>
        <w:spacing w:after="0" w:line="98" w:lineRule="exact"/>
        <w:rPr>
          <w:rFonts w:ascii="Times New Roman" w:cs="Times New Roman" w:eastAsia="Times New Roman" w:hAnsi="Times New Roman"/>
          <w:sz w:val="22"/>
          <w:szCs w:val="22"/>
          <w:color w:val="auto"/>
        </w:rPr>
      </w:pPr>
    </w:p>
    <w:p>
      <w:pPr>
        <w:ind w:left="1868" w:hanging="370"/>
        <w:spacing w:after="0"/>
        <w:tabs>
          <w:tab w:leader="none" w:pos="186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documented in writing;</w:t>
      </w:r>
    </w:p>
    <w:p>
      <w:pPr>
        <w:spacing w:after="0" w:line="98" w:lineRule="exact"/>
        <w:rPr>
          <w:rFonts w:ascii="Times New Roman" w:cs="Times New Roman" w:eastAsia="Times New Roman" w:hAnsi="Times New Roman"/>
          <w:sz w:val="22"/>
          <w:szCs w:val="22"/>
          <w:color w:val="auto"/>
        </w:rPr>
      </w:pPr>
    </w:p>
    <w:p>
      <w:pPr>
        <w:ind w:left="1868" w:hanging="370"/>
        <w:spacing w:after="0" w:line="258" w:lineRule="auto"/>
        <w:tabs>
          <w:tab w:leader="none" w:pos="186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established during a trading window when such Insider does not possess material nonpublic information; and</w:t>
      </w:r>
    </w:p>
    <w:p>
      <w:pPr>
        <w:spacing w:after="0" w:line="50" w:lineRule="exact"/>
        <w:rPr>
          <w:rFonts w:ascii="Times New Roman" w:cs="Times New Roman" w:eastAsia="Times New Roman" w:hAnsi="Times New Roman"/>
          <w:sz w:val="22"/>
          <w:szCs w:val="22"/>
          <w:color w:val="auto"/>
        </w:rPr>
      </w:pPr>
    </w:p>
    <w:p>
      <w:pPr>
        <w:ind w:left="1868" w:hanging="370"/>
        <w:spacing w:after="0"/>
        <w:tabs>
          <w:tab w:leader="none" w:pos="186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pre-approved by the Compliance Officer.</w:t>
      </w:r>
    </w:p>
    <w:p>
      <w:pPr>
        <w:spacing w:after="0" w:line="98" w:lineRule="exact"/>
        <w:rPr>
          <w:sz w:val="20"/>
          <w:szCs w:val="20"/>
          <w:color w:val="auto"/>
        </w:rPr>
      </w:pPr>
    </w:p>
    <w:p>
      <w:pPr>
        <w:jc w:val="both"/>
        <w:ind w:left="8" w:firstLine="749"/>
        <w:spacing w:after="0" w:line="238" w:lineRule="auto"/>
        <w:rPr>
          <w:sz w:val="20"/>
          <w:szCs w:val="20"/>
          <w:color w:val="auto"/>
        </w:rPr>
      </w:pPr>
      <w:r>
        <w:rPr>
          <w:rFonts w:ascii="Times New Roman" w:cs="Times New Roman" w:eastAsia="Times New Roman" w:hAnsi="Times New Roman"/>
          <w:sz w:val="22"/>
          <w:szCs w:val="22"/>
          <w:color w:val="auto"/>
        </w:rPr>
        <w:t>Prior to approving any 10b5-1 Plan, the Compliance Officer may require that the plan exclude or include certain provisions (e.g., cooling off period, minimum number of trades requirement, specified term) to ensure compliance with SEC regulations, best practices or otherwise as the Compliance Officer deems to be in the best interests of the Company. Alternatively, the Compliance Officer may refuse to approve a 10b5-1 Plan that does not meet applicable legal requirements or satisfy best practices.</w:t>
      </w:r>
    </w:p>
    <w:p>
      <w:pPr>
        <w:spacing w:after="0" w:line="69" w:lineRule="exact"/>
        <w:rPr>
          <w:sz w:val="20"/>
          <w:szCs w:val="20"/>
          <w:color w:val="auto"/>
        </w:rPr>
      </w:pPr>
    </w:p>
    <w:p>
      <w:pPr>
        <w:jc w:val="both"/>
        <w:ind w:left="8" w:firstLine="749"/>
        <w:spacing w:after="0" w:line="258" w:lineRule="auto"/>
        <w:rPr>
          <w:sz w:val="20"/>
          <w:szCs w:val="20"/>
          <w:color w:val="auto"/>
        </w:rPr>
      </w:pPr>
      <w:r>
        <w:rPr>
          <w:rFonts w:ascii="Times New Roman" w:cs="Times New Roman" w:eastAsia="Times New Roman" w:hAnsi="Times New Roman"/>
          <w:sz w:val="22"/>
          <w:szCs w:val="22"/>
          <w:color w:val="auto"/>
        </w:rPr>
        <w:t>Any proposed deviation from the specifications of an approved Rule 10b5-1 Plan (including, without limitation, the amount, price or timing of a purchase or sale) must be reported</w:t>
      </w:r>
    </w:p>
    <w:p>
      <w:pPr>
        <w:spacing w:after="0" w:line="217"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575945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73" w:name="page174"/>
    <w:bookmarkEnd w:id="173"/>
    <w:p>
      <w:pPr>
        <w:spacing w:after="0" w:line="73" w:lineRule="exact"/>
        <w:rPr>
          <w:sz w:val="20"/>
          <w:szCs w:val="20"/>
          <w:color w:val="auto"/>
        </w:rPr>
      </w:pPr>
    </w:p>
    <w:p>
      <w:pPr>
        <w:jc w:val="both"/>
        <w:ind w:left="8"/>
        <w:spacing w:after="0" w:line="241" w:lineRule="auto"/>
        <w:rPr>
          <w:sz w:val="20"/>
          <w:szCs w:val="20"/>
          <w:color w:val="auto"/>
        </w:rPr>
      </w:pPr>
      <w:r>
        <w:rPr>
          <w:rFonts w:ascii="Times New Roman" w:cs="Times New Roman" w:eastAsia="Times New Roman" w:hAnsi="Times New Roman"/>
          <w:sz w:val="22"/>
          <w:szCs w:val="22"/>
          <w:color w:val="auto"/>
        </w:rPr>
        <w:t xml:space="preserve">immediately to, and be approved by, the Compliance Officer. </w:t>
      </w:r>
      <w:r>
        <w:rPr>
          <w:rFonts w:ascii="Times New Roman" w:cs="Times New Roman" w:eastAsia="Times New Roman" w:hAnsi="Times New Roman"/>
          <w:sz w:val="22"/>
          <w:szCs w:val="22"/>
          <w:b w:val="1"/>
          <w:bCs w:val="1"/>
          <w:color w:val="auto"/>
        </w:rPr>
        <w:t>Any transaction pursuant to a Rule 10b5-1 Plan must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timely reported following the transaction in accordance with the procedures set forth above. </w:t>
      </w:r>
      <w:r>
        <w:rPr>
          <w:rFonts w:ascii="Times New Roman" w:cs="Times New Roman" w:eastAsia="Times New Roman" w:hAnsi="Times New Roman"/>
          <w:sz w:val="22"/>
          <w:szCs w:val="22"/>
          <w:color w:val="auto"/>
        </w:rPr>
        <w:t>The Compliance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refuse to approve a Rule 10b5-1 Plan as he or she deems appropriate including, without limitation, if he or she determines that such plan does not satisfy the requirements of Rule 10b5-1.</w:t>
      </w:r>
    </w:p>
    <w:p>
      <w:pPr>
        <w:spacing w:after="0" w:line="68" w:lineRule="exact"/>
        <w:rPr>
          <w:sz w:val="20"/>
          <w:szCs w:val="20"/>
          <w:color w:val="auto"/>
        </w:rPr>
      </w:pPr>
    </w:p>
    <w:p>
      <w:pPr>
        <w:jc w:val="both"/>
        <w:ind w:left="8" w:firstLine="749"/>
        <w:spacing w:after="0" w:line="244" w:lineRule="auto"/>
        <w:rPr>
          <w:sz w:val="20"/>
          <w:szCs w:val="20"/>
          <w:color w:val="auto"/>
        </w:rPr>
      </w:pPr>
      <w:r>
        <w:rPr>
          <w:rFonts w:ascii="Times New Roman" w:cs="Times New Roman" w:eastAsia="Times New Roman" w:hAnsi="Times New Roman"/>
          <w:sz w:val="22"/>
          <w:szCs w:val="22"/>
          <w:color w:val="auto"/>
        </w:rPr>
        <w:t>Any modification or termination of an existing Rule 10b5-1 Plan requires pre- approval by the Compliance Officer. The Compliance Officer may require as a condition to such approval that the modification or termination occur during a trading window and while such individual is not aware of material nonpublic information.</w:t>
      </w:r>
    </w:p>
    <w:p>
      <w:pPr>
        <w:spacing w:after="0" w:line="61" w:lineRule="exact"/>
        <w:rPr>
          <w:sz w:val="20"/>
          <w:szCs w:val="20"/>
          <w:color w:val="auto"/>
        </w:rPr>
      </w:pPr>
    </w:p>
    <w:p>
      <w:pPr>
        <w:ind w:left="1788" w:hanging="739"/>
        <w:spacing w:after="0"/>
        <w:tabs>
          <w:tab w:leader="none" w:pos="1788"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 Plans.</w:t>
      </w:r>
    </w:p>
    <w:p>
      <w:pPr>
        <w:spacing w:after="0" w:line="96" w:lineRule="exact"/>
        <w:rPr>
          <w:sz w:val="20"/>
          <w:szCs w:val="20"/>
          <w:color w:val="auto"/>
        </w:rPr>
      </w:pPr>
    </w:p>
    <w:p>
      <w:pPr>
        <w:jc w:val="both"/>
        <w:ind w:left="8"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Exercise of Share Options</w:t>
      </w:r>
      <w:r>
        <w:rPr>
          <w:rFonts w:ascii="Times New Roman" w:cs="Times New Roman" w:eastAsia="Times New Roman" w:hAnsi="Times New Roman"/>
          <w:sz w:val="22"/>
          <w:szCs w:val="22"/>
          <w:color w:val="auto"/>
        </w:rPr>
        <w:t>. The trading prohibitions and restrictions set forth in the Trading Procedures do not apply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B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share appreciation right, share withholding, any sale of shares as part of a broker-assisted cashless exercise of an option, or any other market sale for the purpose of generating the cash needed to pay the exercise price of an option.</w:t>
      </w:r>
    </w:p>
    <w:p>
      <w:pPr>
        <w:spacing w:after="0" w:line="71" w:lineRule="exact"/>
        <w:rPr>
          <w:sz w:val="20"/>
          <w:szCs w:val="20"/>
          <w:color w:val="auto"/>
        </w:rPr>
      </w:pPr>
    </w:p>
    <w:p>
      <w:pPr>
        <w:jc w:val="both"/>
        <w:ind w:left="8"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color w:val="auto"/>
        </w:rPr>
        <w:t>. 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upon vesting of restricted shares or upon settlement of restricted share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63" w:lineRule="exact"/>
        <w:rPr>
          <w:sz w:val="20"/>
          <w:szCs w:val="20"/>
          <w:color w:val="auto"/>
        </w:rPr>
      </w:pPr>
    </w:p>
    <w:p>
      <w:pPr>
        <w:jc w:val="both"/>
        <w:ind w:left="8"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 or our employees that are used to purchase our shares pursuant to the employees’ advance instructions under the Company’s employee stock purchase plan(s). However, no Insider may: (a) elect to participate in the plan or alter their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76" w:lineRule="exact"/>
        <w:rPr>
          <w:sz w:val="20"/>
          <w:szCs w:val="20"/>
          <w:color w:val="auto"/>
        </w:rPr>
      </w:pPr>
    </w:p>
    <w:p>
      <w:pPr>
        <w:ind w:left="748" w:hanging="748"/>
        <w:spacing w:after="0"/>
        <w:tabs>
          <w:tab w:leader="none" w:pos="748" w:val="left"/>
        </w:tabs>
        <w:numPr>
          <w:ilvl w:val="0"/>
          <w:numId w:val="11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104" w:lineRule="exact"/>
        <w:rPr>
          <w:sz w:val="20"/>
          <w:szCs w:val="20"/>
          <w:color w:val="auto"/>
        </w:rPr>
      </w:pPr>
    </w:p>
    <w:p>
      <w:pPr>
        <w:jc w:val="both"/>
        <w:ind w:left="8"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contained herein, in a specific instance may be authorized in writing by the Compliance Officer or that officer’s designee or the Audit Committee, and any such waiver shall be reported to the Board of Directors.</w:t>
      </w:r>
    </w:p>
    <w:p>
      <w:pPr>
        <w:spacing w:after="0" w:line="232"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575945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552" w:top="1440" w:right="339" w:bottom="1440" w:gutter="0" w:footer="0" w:header="0"/>
        </w:sectPr>
      </w:pPr>
    </w:p>
    <w:bookmarkStart w:id="174" w:name="page175"/>
    <w:bookmarkEnd w:id="174"/>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AMENDMENT</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may be amended from time to time with the approval of the Board of Directors or a designated committee thereof.</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IV. ACKNOWLEDGEMENT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We will make this Insider Trading Policy available to all current employees and directors and designated agents and to future employees and directors and designated agents at the start of their employment or relationship with the Company. Upon first receiving a copy of this Insider Trading Policy, each individual must acknowledge that they have received a copy and agree to comply with the terms of this Insider Trading Policy, and, if applicable, the Trading Procedures contained herein. The acknowledgment attached hereto (or such other acknowledgment as requested by the Company in its sole discretion) must be completed and submitted to the Company within ten (10) days of receipt.</w:t>
      </w:r>
    </w:p>
    <w:p>
      <w:pPr>
        <w:spacing w:after="0" w:line="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Upon our request, directors and employees and designated agents will be required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by the Compliance Officer.</w:t>
      </w:r>
    </w:p>
    <w:p>
      <w:pPr>
        <w:spacing w:after="0" w:line="6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made available to you by regular or electronic mail (or other delivery option used by the Company) or posting on the Company’s intranet site or Human Resources management system by the Company. You will be deemed to have received, be bound by and agree to revisions of this Insider Trading Policy when such revisions have been delivered to you.</w:t>
      </w:r>
    </w:p>
    <w:p>
      <w:pPr>
        <w:spacing w:after="0" w:line="73" w:lineRule="exact"/>
        <w:rPr>
          <w:sz w:val="20"/>
          <w:szCs w:val="20"/>
          <w:color w:val="auto"/>
        </w:rPr>
      </w:pPr>
    </w:p>
    <w:p>
      <w:pPr>
        <w:ind w:left="4840"/>
        <w:spacing w:after="0"/>
        <w:tabs>
          <w:tab w:leader="none" w:pos="5240" w:val="left"/>
          <w:tab w:leader="none" w:pos="568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Questions regarding this Insider Trading Policy are encouraged and may be directed to the Compliance Officer.</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ADOPTED:</w:t>
            </w:r>
          </w:p>
        </w:tc>
        <w:tc>
          <w:tcPr>
            <w:tcW w:w="3280" w:type="dxa"/>
            <w:vAlign w:val="bottom"/>
            <w:gridSpan w:val="2"/>
          </w:tcPr>
          <w:p>
            <w:pPr>
              <w:ind w:left="1140"/>
              <w:spacing w:after="0"/>
              <w:rPr>
                <w:sz w:val="20"/>
                <w:szCs w:val="20"/>
                <w:color w:val="auto"/>
              </w:rPr>
            </w:pPr>
            <w:r>
              <w:rPr>
                <w:rFonts w:ascii="Times New Roman" w:cs="Times New Roman" w:eastAsia="Times New Roman" w:hAnsi="Times New Roman"/>
                <w:sz w:val="22"/>
                <w:szCs w:val="22"/>
                <w:color w:val="auto"/>
              </w:rPr>
              <w:t>July 15, 2016</w:t>
            </w:r>
          </w:p>
        </w:tc>
      </w:tr>
      <w:tr>
        <w:trPr>
          <w:trHeight w:val="243"/>
        </w:trPr>
        <w:tc>
          <w:tcPr>
            <w:tcW w:w="1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EFFECTIVE:</w:t>
            </w:r>
          </w:p>
        </w:tc>
        <w:tc>
          <w:tcPr>
            <w:tcW w:w="3280" w:type="dxa"/>
            <w:vAlign w:val="bottom"/>
            <w:gridSpan w:val="2"/>
          </w:tcPr>
          <w:p>
            <w:pPr>
              <w:ind w:left="700"/>
              <w:spacing w:after="0" w:line="243" w:lineRule="exact"/>
              <w:rPr>
                <w:sz w:val="20"/>
                <w:szCs w:val="20"/>
                <w:color w:val="auto"/>
              </w:rPr>
            </w:pPr>
            <w:r>
              <w:rPr>
                <w:rFonts w:ascii="Times New Roman" w:cs="Times New Roman" w:eastAsia="Times New Roman" w:hAnsi="Times New Roman"/>
                <w:sz w:val="22"/>
                <w:szCs w:val="22"/>
                <w:color w:val="auto"/>
              </w:rPr>
              <w:t>October 18, 2016</w:t>
            </w: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AMENDED AND RESTATED:</w:t>
            </w:r>
          </w:p>
        </w:tc>
        <w:tc>
          <w:tcPr>
            <w:tcW w:w="1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May 30, 2018</w:t>
            </w:r>
          </w:p>
        </w:tc>
      </w:tr>
      <w:tr>
        <w:trPr>
          <w:trHeight w:val="243"/>
        </w:trPr>
        <w:tc>
          <w:tcPr>
            <w:tcW w:w="1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AMENDED:</w:t>
            </w:r>
          </w:p>
        </w:tc>
        <w:tc>
          <w:tcPr>
            <w:tcW w:w="3280" w:type="dxa"/>
            <w:vAlign w:val="bottom"/>
            <w:gridSpan w:val="2"/>
          </w:tcPr>
          <w:p>
            <w:pPr>
              <w:ind w:left="700"/>
              <w:spacing w:after="0" w:line="243" w:lineRule="exact"/>
              <w:rPr>
                <w:sz w:val="20"/>
                <w:szCs w:val="20"/>
                <w:color w:val="auto"/>
              </w:rPr>
            </w:pPr>
            <w:r>
              <w:rPr>
                <w:rFonts w:ascii="Times New Roman" w:cs="Times New Roman" w:eastAsia="Times New Roman" w:hAnsi="Times New Roman"/>
                <w:sz w:val="22"/>
                <w:szCs w:val="22"/>
                <w:color w:val="auto"/>
              </w:rPr>
              <w:t>July 1, 2019</w:t>
            </w: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COMPANY ADDRESS UPDATED:</w:t>
            </w:r>
          </w:p>
        </w:tc>
        <w:tc>
          <w:tcPr>
            <w:tcW w:w="1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December 12, 2022</w:t>
            </w: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AMENDED AND RESTATED:</w:t>
            </w:r>
          </w:p>
        </w:tc>
        <w:tc>
          <w:tcPr>
            <w:tcW w:w="18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February 21, 2023</w:t>
            </w:r>
          </w:p>
        </w:tc>
      </w:tr>
      <w:tr>
        <w:trPr>
          <w:trHeight w:val="243"/>
        </w:trPr>
        <w:tc>
          <w:tcPr>
            <w:tcW w:w="1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AMENDED:</w:t>
            </w:r>
          </w:p>
        </w:tc>
        <w:tc>
          <w:tcPr>
            <w:tcW w:w="3280" w:type="dxa"/>
            <w:vAlign w:val="bottom"/>
            <w:gridSpan w:val="2"/>
          </w:tcPr>
          <w:p>
            <w:pPr>
              <w:ind w:left="700"/>
              <w:spacing w:after="0" w:line="243" w:lineRule="exact"/>
              <w:rPr>
                <w:sz w:val="20"/>
                <w:szCs w:val="20"/>
                <w:color w:val="auto"/>
              </w:rPr>
            </w:pPr>
            <w:r>
              <w:rPr>
                <w:rFonts w:ascii="Times New Roman" w:cs="Times New Roman" w:eastAsia="Times New Roman" w:hAnsi="Times New Roman"/>
                <w:sz w:val="22"/>
                <w:szCs w:val="22"/>
                <w:color w:val="auto"/>
              </w:rPr>
              <w:t>December 7, 2023</w:t>
            </w:r>
          </w:p>
        </w:tc>
      </w:tr>
      <w:tr>
        <w:trPr>
          <w:trHeight w:val="282"/>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AMENDED:</w:t>
            </w:r>
          </w:p>
        </w:tc>
        <w:tc>
          <w:tcPr>
            <w:tcW w:w="3280" w:type="dxa"/>
            <w:vAlign w:val="bottom"/>
            <w:gridSpan w:val="2"/>
          </w:tcPr>
          <w:p>
            <w:pPr>
              <w:ind w:left="700"/>
              <w:spacing w:after="0"/>
              <w:rPr>
                <w:sz w:val="20"/>
                <w:szCs w:val="20"/>
                <w:color w:val="auto"/>
              </w:rPr>
            </w:pPr>
            <w:r>
              <w:rPr>
                <w:rFonts w:ascii="Times New Roman" w:cs="Times New Roman" w:eastAsia="Times New Roman" w:hAnsi="Times New Roman"/>
                <w:sz w:val="22"/>
                <w:szCs w:val="22"/>
                <w:color w:val="auto"/>
              </w:rPr>
              <w:t>September 12, 2024</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575945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440"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414"/>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71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CRISPR Therapeutics, Inc.</w:t>
            </w:r>
          </w:p>
        </w:tc>
        <w:tc>
          <w:tcPr>
            <w:tcW w:w="71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TRACR Hematology Ltd</w:t>
            </w:r>
          </w:p>
        </w:tc>
        <w:tc>
          <w:tcPr>
            <w:tcW w:w="710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1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CTX Financing GmbH</w:t>
            </w:r>
          </w:p>
        </w:tc>
        <w:tc>
          <w:tcPr>
            <w:tcW w:w="71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4"/>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CTX Securities Corporation</w:t>
            </w:r>
          </w:p>
        </w:tc>
        <w:tc>
          <w:tcPr>
            <w:tcW w:w="71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1627"/>
        </w:trPr>
        <w:tc>
          <w:tcPr>
            <w:tcW w:w="41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1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333-281262) of CRISPR Therapeutics AG,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333-221427) pertaining to the CRISPR Therapeutics AG Amended and Restated 2016 Stock Option and Incentive Plan,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333-214184) pertaining to the CRISPR Therapeutics AG 2015 Stock Option and Grant Plan, the CRISPR Therapeutics AG 2016 Stock Option and Incentive Plan, the CRISPR Therapeutics AG 2016 Employee Stock Purchase Plan, the Non-Qualified Option Agreement with Megan Menner, the Non-Qualified Option Agreement with Paul Schneider, and the Non-Qualified Option Agreement with Pablo Cagnoni of CRISPR Therapeutics AG, and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333-225369, 333-232877, 333-240120, 333-266636, 333-273764, 333-281247) pertaining to the CRISPR Therapeutics AG 2018 Stock Option and Incentive Plan;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our reports dated February 11, 2025, with respect to the consolidated financial statements of CRISPR Therapeutics AG and the effectiveness of internal control over financial reporting of CRISPR Therapeutics AG included in this Annual Report (Form 10-K) of CRISPR Therapeutics AG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Samarth Kulkarni, certify that:</w:t>
      </w:r>
    </w:p>
    <w:p>
      <w:pPr>
        <w:spacing w:after="0" w:line="117" w:lineRule="exact"/>
        <w:rPr>
          <w:sz w:val="20"/>
          <w:szCs w:val="20"/>
          <w:color w:val="auto"/>
        </w:rPr>
      </w:pPr>
    </w:p>
    <w:p>
      <w:pPr>
        <w:ind w:left="760" w:hanging="752"/>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CRISPR Therapeutics AG;</w:t>
      </w:r>
    </w:p>
    <w:p>
      <w:pPr>
        <w:spacing w:after="0" w:line="117"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20" w:hanging="743"/>
        <w:spacing w:after="0" w:line="282" w:lineRule="auto"/>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Samarth Kulkarni</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Raju Prasad, certify that:</w:t>
      </w:r>
    </w:p>
    <w:p>
      <w:pPr>
        <w:spacing w:after="0" w:line="117" w:lineRule="exact"/>
        <w:rPr>
          <w:sz w:val="20"/>
          <w:szCs w:val="20"/>
          <w:color w:val="auto"/>
        </w:rPr>
      </w:pPr>
    </w:p>
    <w:p>
      <w:pPr>
        <w:ind w:left="760" w:hanging="752"/>
        <w:spacing w:after="0"/>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CRISPR Therapeutics AG;</w:t>
      </w:r>
    </w:p>
    <w:p>
      <w:pPr>
        <w:spacing w:after="0" w:line="117"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20" w:hanging="743"/>
        <w:spacing w:after="0" w:line="282"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Raju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Raju Prasad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CEO/CFO CERTIFICATION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CRISPR Therapeutics AG (the “Company”), does hereby certify, to such officer’s knowledge, that:</w:t>
      </w:r>
    </w:p>
    <w:p>
      <w:pPr>
        <w:spacing w:after="0" w:line="207"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11,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Samarth Kulkarni</w:t>
            </w:r>
          </w:p>
        </w:tc>
      </w:tr>
      <w:tr>
        <w:trPr>
          <w:trHeight w:val="191"/>
        </w:trPr>
        <w:tc>
          <w:tcPr>
            <w:tcW w:w="5620" w:type="dxa"/>
            <w:vAlign w:val="bottom"/>
          </w:tcPr>
          <w:p>
            <w:pPr>
              <w:spacing w:after="0"/>
              <w:rPr>
                <w:sz w:val="16"/>
                <w:szCs w:val="16"/>
                <w:color w:val="auto"/>
              </w:rPr>
            </w:pPr>
          </w:p>
        </w:tc>
        <w:tc>
          <w:tcPr>
            <w:tcW w:w="5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Samarth Kulkarni</w:t>
            </w:r>
          </w:p>
        </w:tc>
      </w:tr>
      <w:tr>
        <w:trPr>
          <w:trHeight w:val="216"/>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11,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Raju Prasad</w:t>
            </w:r>
          </w:p>
        </w:tc>
      </w:tr>
      <w:tr>
        <w:trPr>
          <w:trHeight w:val="191"/>
        </w:trPr>
        <w:tc>
          <w:tcPr>
            <w:tcW w:w="5620" w:type="dxa"/>
            <w:vAlign w:val="bottom"/>
          </w:tcPr>
          <w:p>
            <w:pPr>
              <w:spacing w:after="0"/>
              <w:rPr>
                <w:sz w:val="16"/>
                <w:szCs w:val="16"/>
                <w:color w:val="auto"/>
              </w:rPr>
            </w:pPr>
          </w:p>
        </w:tc>
        <w:tc>
          <w:tcPr>
            <w:tcW w:w="5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Raju Prasad</w:t>
            </w:r>
          </w:p>
        </w:tc>
      </w:tr>
      <w:tr>
        <w:trPr>
          <w:trHeight w:val="216"/>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1."/>
      <w:numFmt w:val="decimal"/>
      <w:start w:val="2"/>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lvl w:ilvl="1">
      <w:lvlJc w:val="left"/>
      <w:lvlText w:val="%2"/>
      <w:numFmt w:val="decimal"/>
      <w:start w:val="104"/>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1."/>
      <w:numFmt w:val="decimal"/>
      <w:start w:val="606"/>
    </w:lvl>
  </w:abstractNum>
  <w:abstractNum w:abstractNumId="50">
    <w:nsid w:val="14330624"/>
    <w:multiLevelType w:val="hybridMultilevel"/>
    <w:lvl w:ilvl="0">
      <w:lvlJc w:val="left"/>
      <w:lvlText w:val="%1."/>
      <w:numFmt w:val="decimal"/>
      <w:start w:val="718"/>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1."/>
      <w:numFmt w:val="decimal"/>
      <w:start w:val="8"/>
    </w:lvl>
  </w:abstractNum>
  <w:abstractNum w:abstractNumId="53">
    <w:nsid w:val="71EA1109"/>
    <w:multiLevelType w:val="hybridMultilevel"/>
    <w:lvl w:ilvl="0">
      <w:lvlJc w:val="left"/>
      <w:lvlText w:val="%1."/>
      <w:numFmt w:val="decimal"/>
      <w:start w:val="11"/>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1."/>
      <w:numFmt w:val="decimal"/>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1."/>
      <w:numFmt w:val="decimal"/>
      <w:start w:val="2"/>
    </w:lvl>
  </w:abstractNum>
  <w:abstractNum w:abstractNumId="59">
    <w:nsid w:val="885E1B"/>
    <w:multiLevelType w:val="hybridMultilevel"/>
    <w:lvl w:ilvl="0">
      <w:lvlJc w:val="left"/>
      <w:lvlText w:val="%1."/>
      <w:numFmt w:val="decimal"/>
      <w:start w:val="3"/>
    </w:lvl>
  </w:abstractNum>
  <w:abstractNum w:abstractNumId="60">
    <w:nsid w:val="76272110"/>
    <w:multiLevelType w:val="hybridMultilevel"/>
    <w:lvl w:ilvl="0">
      <w:lvlJc w:val="left"/>
      <w:lvlText w:val="%1)"/>
      <w:numFmt w:val="lowerLetter"/>
      <w:start w:val="1"/>
    </w:lvl>
  </w:abstractNum>
  <w:abstractNum w:abstractNumId="61">
    <w:nsid w:val="4C04A8AF"/>
    <w:multiLevelType w:val="hybridMultilevel"/>
    <w:lvl w:ilvl="0">
      <w:lvlJc w:val="left"/>
      <w:lvlText w:val="%1)"/>
      <w:numFmt w:val="lowerLetter"/>
      <w:start w:val="1"/>
    </w:lvl>
  </w:abstractNum>
  <w:abstractNum w:abstractNumId="62">
    <w:nsid w:val="1716703B"/>
    <w:multiLevelType w:val="hybridMultilevel"/>
    <w:lvl w:ilvl="0">
      <w:lvlJc w:val="left"/>
      <w:lvlText w:val="%1)"/>
      <w:numFmt w:val="lowerLetter"/>
      <w:start w:val="1"/>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decimal"/>
      <w:start w:val="4"/>
    </w:lvl>
  </w:abstractNum>
  <w:abstractNum w:abstractNumId="65">
    <w:nsid w:val="74DE0EE3"/>
    <w:multiLevelType w:val="hybridMultilevel"/>
    <w:lvl w:ilvl="0">
      <w:lvlJc w:val="left"/>
      <w:lvlText w:val="%1)"/>
      <w:numFmt w:val="lowerLetter"/>
      <w:start w:val="1"/>
    </w:lvl>
  </w:abstractNum>
  <w:abstractNum w:abstractNumId="66">
    <w:nsid w:val="68EBC550"/>
    <w:multiLevelType w:val="hybridMultilevel"/>
    <w:lvl w:ilvl="0">
      <w:lvlJc w:val="left"/>
      <w:lvlText w:val="%1."/>
      <w:numFmt w:val="decimal"/>
      <w:start w:val="5"/>
    </w:lvl>
  </w:abstractNum>
  <w:abstractNum w:abstractNumId="67">
    <w:nsid w:val="2DF6D648"/>
    <w:multiLevelType w:val="hybridMultilevel"/>
    <w:lvl w:ilvl="0">
      <w:lvlJc w:val="left"/>
      <w:lvlText w:val="%1)"/>
      <w:numFmt w:val="lowerLetter"/>
      <w:start w:val="1"/>
    </w:lvl>
  </w:abstractNum>
  <w:abstractNum w:abstractNumId="68">
    <w:nsid w:val="46B7D447"/>
    <w:multiLevelType w:val="hybridMultilevel"/>
    <w:lvl w:ilvl="0">
      <w:lvlJc w:val="left"/>
      <w:lvlText w:val="%1."/>
      <w:numFmt w:val="decimal"/>
      <w:start w:val="6"/>
    </w:lvl>
  </w:abstractNum>
  <w:abstractNum w:abstractNumId="69">
    <w:nsid w:val="4A2AC315"/>
    <w:multiLevelType w:val="hybridMultilevel"/>
    <w:lvl w:ilvl="0">
      <w:lvlJc w:val="left"/>
      <w:lvlText w:val="(%1)"/>
      <w:numFmt w:val="lowerRoman"/>
      <w:start w:val="1"/>
    </w:lvl>
  </w:abstractNum>
  <w:abstractNum w:abstractNumId="70">
    <w:nsid w:val="39EE015C"/>
    <w:multiLevelType w:val="hybridMultilevel"/>
    <w:lvl w:ilvl="0">
      <w:lvlJc w:val="left"/>
      <w:lvlText w:val="%1."/>
      <w:numFmt w:val="decimal"/>
      <w:start w:val="7"/>
    </w:lvl>
  </w:abstractNum>
  <w:abstractNum w:abstractNumId="71">
    <w:nsid w:val="57FC4FBB"/>
    <w:multiLevelType w:val="hybridMultilevel"/>
    <w:lvl w:ilvl="0">
      <w:lvlJc w:val="left"/>
      <w:lvlText w:val="%1."/>
      <w:numFmt w:val="decimal"/>
      <w:start w:val="8"/>
    </w:lvl>
  </w:abstractNum>
  <w:abstractNum w:abstractNumId="72">
    <w:nsid w:val="CC1016F"/>
    <w:multiLevelType w:val="hybridMultilevel"/>
    <w:lvl w:ilvl="0">
      <w:lvlJc w:val="left"/>
      <w:lvlText w:val="%1."/>
      <w:numFmt w:val="decimal"/>
      <w:start w:val="9"/>
    </w:lvl>
  </w:abstractNum>
  <w:abstractNum w:abstractNumId="73">
    <w:nsid w:val="43F18422"/>
    <w:multiLevelType w:val="hybridMultilevel"/>
    <w:lvl w:ilvl="0">
      <w:lvlJc w:val="left"/>
      <w:lvlText w:val="%1)"/>
      <w:numFmt w:val="lowerLetter"/>
      <w:start w:val="1"/>
    </w:lvl>
  </w:abstractNum>
  <w:abstractNum w:abstractNumId="74">
    <w:nsid w:val="60EF0119"/>
    <w:multiLevelType w:val="hybridMultilevel"/>
    <w:lvl w:ilvl="0">
      <w:lvlJc w:val="left"/>
      <w:lvlText w:val="%1."/>
      <w:numFmt w:val="upperLetter"/>
      <w:start w:val="1"/>
    </w:lvl>
  </w:abstractNum>
  <w:abstractNum w:abstractNumId="75">
    <w:nsid w:val="26F324BA"/>
    <w:multiLevelType w:val="hybridMultilevel"/>
    <w:lvl w:ilvl="0">
      <w:lvlJc w:val="left"/>
      <w:lvlText w:val="%1"/>
      <w:numFmt w:val="upperLetter"/>
      <w:start w:val="35"/>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1."/>
      <w:numFmt w:val="upperLetter"/>
      <w:start w:val="2"/>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
      <w:numFmt w:val="bullet"/>
      <w:start w:val="1"/>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1."/>
      <w:numFmt w:val="upperLetter"/>
      <w:start w:val="3"/>
    </w:lvl>
  </w:abstractNum>
  <w:abstractNum w:abstractNumId="84">
    <w:nsid w:val="7672BD23"/>
    <w:multiLevelType w:val="hybridMultilevel"/>
    <w:lvl w:ilvl="0">
      <w:lvlJc w:val="left"/>
      <w:lvlText w:val="%1."/>
      <w:numFmt w:val="decimal"/>
      <w:start w:val="1"/>
    </w:lvl>
  </w:abstractNum>
  <w:abstractNum w:abstractNumId="85">
    <w:nsid w:val="6FC75AF8"/>
    <w:multiLevelType w:val="hybridMultilevel"/>
    <w:lvl w:ilvl="0">
      <w:lvlJc w:val="left"/>
      <w:lvlText w:val="•"/>
      <w:numFmt w:val="bullet"/>
      <w:start w:val="1"/>
    </w:lvl>
  </w:abstractNum>
  <w:abstractNum w:abstractNumId="86">
    <w:nsid w:val="6A5F7029"/>
    <w:multiLevelType w:val="hybridMultilevel"/>
    <w:lvl w:ilvl="0">
      <w:lvlJc w:val="left"/>
      <w:lvlText w:val="%1."/>
      <w:numFmt w:val="decimal"/>
      <w:start w:val="2"/>
    </w:lvl>
  </w:abstractNum>
  <w:abstractNum w:abstractNumId="87">
    <w:nsid w:val="7D5E18F8"/>
    <w:multiLevelType w:val="hybridMultilevel"/>
    <w:lvl w:ilvl="0">
      <w:lvlJc w:val="left"/>
      <w:lvlText w:val="%1."/>
      <w:numFmt w:val="upperLetter"/>
      <w:start w:val="4"/>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1."/>
      <w:numFmt w:val="upperLetter"/>
      <w:start w:val="5"/>
    </w:lvl>
  </w:abstractNum>
  <w:abstractNum w:abstractNumId="91">
    <w:nsid w:val="555C55B5"/>
    <w:multiLevelType w:val="hybridMultilevel"/>
    <w:lvl w:ilvl="0">
      <w:lvlJc w:val="left"/>
      <w:lvlText w:val="%1."/>
      <w:numFmt w:val="upperLetter"/>
      <w:start w:val="6"/>
    </w:lvl>
  </w:abstractNum>
  <w:abstractNum w:abstractNumId="92">
    <w:nsid w:val="3FA62ACA"/>
    <w:multiLevelType w:val="hybridMultilevel"/>
    <w:lvl w:ilvl="0">
      <w:lvlJc w:val="left"/>
      <w:lvlText w:val="%1."/>
      <w:numFmt w:val="upperLetter"/>
      <w:start w:val="1"/>
    </w:lvl>
  </w:abstractNum>
  <w:abstractNum w:abstractNumId="93">
    <w:nsid w:val="14FCE74E"/>
    <w:multiLevelType w:val="hybridMultilevel"/>
    <w:lvl w:ilvl="0">
      <w:lvlJc w:val="left"/>
      <w:lvlText w:val="%1."/>
      <w:numFmt w:val="decimal"/>
      <w:start w:val="1"/>
    </w:lvl>
  </w:abstractNum>
  <w:abstractNum w:abstractNumId="94">
    <w:nsid w:val="6A3DD3E8"/>
    <w:multiLevelType w:val="hybridMultilevel"/>
    <w:lvl w:ilvl="0">
      <w:lvlJc w:val="left"/>
      <w:lvlText w:val="%1."/>
      <w:numFmt w:val="decimal"/>
      <w:start w:val="2"/>
    </w:lvl>
  </w:abstractNum>
  <w:abstractNum w:abstractNumId="95">
    <w:nsid w:val="71C91298"/>
    <w:multiLevelType w:val="hybridMultilevel"/>
    <w:lvl w:ilvl="0">
      <w:lvlJc w:val="left"/>
      <w:lvlText w:val="%1."/>
      <w:numFmt w:val="decimal"/>
      <w:start w:val="3"/>
    </w:lvl>
    <w:lvl w:ilvl="1">
      <w:lvlJc w:val="left"/>
      <w:lvlText w:val="•"/>
      <w:numFmt w:val="bullet"/>
      <w:start w:val="1"/>
    </w:lvl>
  </w:abstractNum>
  <w:abstractNum w:abstractNumId="96">
    <w:nsid w:val="9DAF632"/>
    <w:multiLevelType w:val="hybridMultilevel"/>
    <w:lvl w:ilvl="0">
      <w:lvlJc w:val="left"/>
      <w:lvlText w:val="%1."/>
      <w:numFmt w:val="decimal"/>
      <w:start w:val="3"/>
    </w:lvl>
    <w:lvl w:ilvl="1">
      <w:lvlJc w:val="left"/>
      <w:lvlText w:val="•"/>
      <w:numFmt w:val="bullet"/>
      <w:start w:val="1"/>
    </w:lvl>
  </w:abstractNum>
  <w:abstractNum w:abstractNumId="97">
    <w:nsid w:val="53299938"/>
    <w:multiLevelType w:val="hybridMultilevel"/>
    <w:lvl w:ilvl="0">
      <w:lvlJc w:val="left"/>
      <w:lvlText w:val="%1."/>
      <w:numFmt w:val="upperLetter"/>
      <w:start w:val="2"/>
    </w:lvl>
  </w:abstractNum>
  <w:abstractNum w:abstractNumId="98">
    <w:nsid w:val="1FBFE8E0"/>
    <w:multiLevelType w:val="hybridMultilevel"/>
    <w:lvl w:ilvl="0">
      <w:lvlJc w:val="left"/>
      <w:lvlText w:val="%1."/>
      <w:numFmt w:val="decimal"/>
      <w:start w:val="1"/>
    </w:lvl>
  </w:abstractNum>
  <w:abstractNum w:abstractNumId="99">
    <w:nsid w:val="5092CA79"/>
    <w:multiLevelType w:val="hybridMultilevel"/>
    <w:lvl w:ilvl="0">
      <w:lvlJc w:val="left"/>
      <w:lvlText w:val="•"/>
      <w:numFmt w:val="bullet"/>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1."/>
      <w:numFmt w:val="decimal"/>
      <w:start w:val="2"/>
    </w:lvl>
  </w:abstractNum>
  <w:abstractNum w:abstractNumId="102">
    <w:nsid w:val="288F1A34"/>
    <w:multiLevelType w:val="hybridMultilevel"/>
    <w:lvl w:ilvl="0">
      <w:lvlJc w:val="left"/>
      <w:lvlText w:val="%1."/>
      <w:numFmt w:val="decimal"/>
      <w:start w:val="3"/>
    </w:lvl>
  </w:abstractNum>
  <w:abstractNum w:abstractNumId="103">
    <w:nsid w:val="2A155DBC"/>
    <w:multiLevelType w:val="hybridMultilevel"/>
    <w:lvl w:ilvl="0">
      <w:lvlJc w:val="left"/>
      <w:lvlText w:val="%1."/>
      <w:numFmt w:val="decimal"/>
      <w:start w:val="4"/>
    </w:lvl>
  </w:abstractNum>
  <w:abstractNum w:abstractNumId="104">
    <w:nsid w:val="1D9F6E5F"/>
    <w:multiLevelType w:val="hybridMultilevel"/>
    <w:lvl w:ilvl="0">
      <w:lvlJc w:val="left"/>
      <w:lvlText w:val="%1."/>
      <w:numFmt w:val="decimal"/>
      <w:start w:val="5"/>
    </w:lvl>
  </w:abstractNum>
  <w:abstractNum w:abstractNumId="105">
    <w:nsid w:val="97E1B4E"/>
    <w:multiLevelType w:val="hybridMultilevel"/>
    <w:lvl w:ilvl="0">
      <w:lvlJc w:val="left"/>
      <w:lvlText w:val="%1."/>
      <w:numFmt w:val="decimal"/>
      <w:start w:val="6"/>
    </w:lvl>
  </w:abstractNum>
  <w:abstractNum w:abstractNumId="106">
    <w:nsid w:val="51088277"/>
    <w:multiLevelType w:val="hybridMultilevel"/>
    <w:lvl w:ilvl="0">
      <w:lvlJc w:val="left"/>
      <w:lvlText w:val="%1."/>
      <w:numFmt w:val="upperLetter"/>
      <w:start w:val="3"/>
    </w:lvl>
    <w:lvl w:ilvl="1">
      <w:lvlJc w:val="left"/>
      <w:lvlText w:val="%2."/>
      <w:numFmt w:val="decimal"/>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1."/>
      <w:numFmt w:val="decimal"/>
      <w:start w:val="2"/>
    </w:lvl>
  </w:abstractNum>
  <w:abstractNum w:abstractNumId="109">
    <w:nsid w:val="415E286C"/>
    <w:multiLevelType w:val="hybridMultilevel"/>
    <w:lvl w:ilvl="0">
      <w:lvlJc w:val="left"/>
      <w:lvlText w:val="%1."/>
      <w:numFmt w:val="upperLetter"/>
      <w:start w:val="4"/>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2" Type="http://schemas.openxmlformats.org/officeDocument/2006/relationships/image" Target="media/image237.png"/><Relationship Id="rId293" Type="http://schemas.openxmlformats.org/officeDocument/2006/relationships/image" Target="media/image238.png"/><Relationship Id="rId294" Type="http://schemas.openxmlformats.org/officeDocument/2006/relationships/image" Target="media/image239.png"/><Relationship Id="rId295" Type="http://schemas.openxmlformats.org/officeDocument/2006/relationships/image" Target="media/image240.png"/><Relationship Id="rId296" Type="http://schemas.openxmlformats.org/officeDocument/2006/relationships/image" Target="media/image241.png"/><Relationship Id="rId297" Type="http://schemas.openxmlformats.org/officeDocument/2006/relationships/image" Target="media/image242.png"/><Relationship Id="rId298" Type="http://schemas.openxmlformats.org/officeDocument/2006/relationships/image" Target="media/image243.png"/><Relationship Id="rId299" Type="http://schemas.openxmlformats.org/officeDocument/2006/relationships/image" Target="media/image244.png"/><Relationship Id="rId300" Type="http://schemas.openxmlformats.org/officeDocument/2006/relationships/image" Target="media/image245.png"/><Relationship Id="rId301" Type="http://schemas.openxmlformats.org/officeDocument/2006/relationships/image" Target="media/image246.png"/><Relationship Id="rId302" Type="http://schemas.openxmlformats.org/officeDocument/2006/relationships/image" Target="media/image247.png"/><Relationship Id="rId303" Type="http://schemas.openxmlformats.org/officeDocument/2006/relationships/image" Target="media/image248.png"/><Relationship Id="rId304" Type="http://schemas.openxmlformats.org/officeDocument/2006/relationships/image" Target="media/image249.png"/><Relationship Id="rId305" Type="http://schemas.openxmlformats.org/officeDocument/2006/relationships/image" Target="media/image250.png"/><Relationship Id="rId306" Type="http://schemas.openxmlformats.org/officeDocument/2006/relationships/image" Target="media/image251.png"/><Relationship Id="rId307" Type="http://schemas.openxmlformats.org/officeDocument/2006/relationships/image" Target="media/image252.png"/><Relationship Id="rId308" Type="http://schemas.openxmlformats.org/officeDocument/2006/relationships/image" Target="media/image253.png"/><Relationship Id="rId309" Type="http://schemas.openxmlformats.org/officeDocument/2006/relationships/image" Target="media/image254.png"/><Relationship Id="rId310" Type="http://schemas.openxmlformats.org/officeDocument/2006/relationships/image" Target="media/image255.png"/><Relationship Id="rId311" Type="http://schemas.openxmlformats.org/officeDocument/2006/relationships/image" Target="media/image256.png"/><Relationship Id="rId312" Type="http://schemas.openxmlformats.org/officeDocument/2006/relationships/image" Target="media/image257.png"/><Relationship Id="rId313" Type="http://schemas.openxmlformats.org/officeDocument/2006/relationships/image" Target="media/image258.png"/><Relationship Id="rId314" Type="http://schemas.openxmlformats.org/officeDocument/2006/relationships/image" Target="media/image259.png"/><Relationship Id="rId315" Type="http://schemas.openxmlformats.org/officeDocument/2006/relationships/image" Target="media/image260.png"/><Relationship Id="rId316" Type="http://schemas.openxmlformats.org/officeDocument/2006/relationships/image" Target="media/image261.png"/><Relationship Id="rId317" Type="http://schemas.openxmlformats.org/officeDocument/2006/relationships/image" Target="media/image262.png"/><Relationship Id="rId318" Type="http://schemas.openxmlformats.org/officeDocument/2006/relationships/image" Target="media/image263.png"/><Relationship Id="rId319" Type="http://schemas.openxmlformats.org/officeDocument/2006/relationships/image" Target="media/image264.png"/><Relationship Id="rId320" Type="http://schemas.openxmlformats.org/officeDocument/2006/relationships/image" Target="media/image265.png"/><Relationship Id="rId321" Type="http://schemas.openxmlformats.org/officeDocument/2006/relationships/image" Target="media/image266.png"/><Relationship Id="rId322" Type="http://schemas.openxmlformats.org/officeDocument/2006/relationships/image" Target="media/image267.png"/><Relationship Id="rId323" Type="http://schemas.openxmlformats.org/officeDocument/2006/relationships/image" Target="media/image268.png"/><Relationship Id="rId324" Type="http://schemas.openxmlformats.org/officeDocument/2006/relationships/image" Target="media/image269.png"/><Relationship Id="rId325" Type="http://schemas.openxmlformats.org/officeDocument/2006/relationships/image" Target="media/image270.png"/><Relationship Id="rId326" Type="http://schemas.openxmlformats.org/officeDocument/2006/relationships/image" Target="media/image271.png"/><Relationship Id="rId327" Type="http://schemas.openxmlformats.org/officeDocument/2006/relationships/image" Target="media/image272.png"/><Relationship Id="rId328" Type="http://schemas.openxmlformats.org/officeDocument/2006/relationships/image" Target="media/image273.png"/><Relationship Id="rId329" Type="http://schemas.openxmlformats.org/officeDocument/2006/relationships/image" Target="media/image274.png"/><Relationship Id="rId330" Type="http://schemas.openxmlformats.org/officeDocument/2006/relationships/image" Target="media/image275.png"/><Relationship Id="rId331" Type="http://schemas.openxmlformats.org/officeDocument/2006/relationships/image" Target="media/image276.png"/><Relationship Id="rId332" Type="http://schemas.openxmlformats.org/officeDocument/2006/relationships/image" Target="media/image277.png"/><Relationship Id="rId333" Type="http://schemas.openxmlformats.org/officeDocument/2006/relationships/image" Target="media/image278.png"/><Relationship Id="rId334" Type="http://schemas.openxmlformats.org/officeDocument/2006/relationships/image" Target="media/image279.png"/><Relationship Id="rId335" Type="http://schemas.openxmlformats.org/officeDocument/2006/relationships/image" Target="media/image280.png"/><Relationship Id="rId336" Type="http://schemas.openxmlformats.org/officeDocument/2006/relationships/image" Target="media/image281.png"/><Relationship Id="rId337" Type="http://schemas.openxmlformats.org/officeDocument/2006/relationships/image" Target="media/image282.png"/><Relationship Id="rId338" Type="http://schemas.openxmlformats.org/officeDocument/2006/relationships/image" Target="media/image283.png"/><Relationship Id="rId339" Type="http://schemas.openxmlformats.org/officeDocument/2006/relationships/image" Target="media/image284.png"/><Relationship Id="rId340" Type="http://schemas.openxmlformats.org/officeDocument/2006/relationships/image" Target="media/image285.png"/><Relationship Id="rId341" Type="http://schemas.openxmlformats.org/officeDocument/2006/relationships/image" Target="media/image286.png"/><Relationship Id="rId342" Type="http://schemas.openxmlformats.org/officeDocument/2006/relationships/image" Target="media/image287.png"/><Relationship Id="rId343" Type="http://schemas.openxmlformats.org/officeDocument/2006/relationships/image" Target="media/image288.png"/><Relationship Id="rId344" Type="http://schemas.openxmlformats.org/officeDocument/2006/relationships/image" Target="media/image289.png"/><Relationship Id="rId345" Type="http://schemas.openxmlformats.org/officeDocument/2006/relationships/image" Target="media/image290.png"/><Relationship Id="rId346" Type="http://schemas.openxmlformats.org/officeDocument/2006/relationships/image" Target="media/image291.png"/><Relationship Id="rId347" Type="http://schemas.openxmlformats.org/officeDocument/2006/relationships/image" Target="media/image292.png"/><Relationship Id="rId348" Type="http://schemas.openxmlformats.org/officeDocument/2006/relationships/image" Target="media/image293.png"/><Relationship Id="rId349" Type="http://schemas.openxmlformats.org/officeDocument/2006/relationships/image" Target="media/image294.png"/><Relationship Id="rId350" Type="http://schemas.openxmlformats.org/officeDocument/2006/relationships/image" Target="media/image295.png"/><Relationship Id="rId351" Type="http://schemas.openxmlformats.org/officeDocument/2006/relationships/image" Target="media/image296.png"/><Relationship Id="rId352" Type="http://schemas.openxmlformats.org/officeDocument/2006/relationships/image" Target="media/image297.png"/><Relationship Id="rId353" Type="http://schemas.openxmlformats.org/officeDocument/2006/relationships/image" Target="media/image298.png"/><Relationship Id="rId354" Type="http://schemas.openxmlformats.org/officeDocument/2006/relationships/image" Target="media/image299.png"/><Relationship Id="rId355" Type="http://schemas.openxmlformats.org/officeDocument/2006/relationships/image" Target="media/image300.png"/><Relationship Id="rId356" Type="http://schemas.openxmlformats.org/officeDocument/2006/relationships/image" Target="media/image301.png"/><Relationship Id="rId357" Type="http://schemas.openxmlformats.org/officeDocument/2006/relationships/image" Target="media/image302.png"/><Relationship Id="rId358" Type="http://schemas.openxmlformats.org/officeDocument/2006/relationships/image" Target="media/image303.png"/><Relationship Id="rId359" Type="http://schemas.openxmlformats.org/officeDocument/2006/relationships/image" Target="media/image304.png"/><Relationship Id="rId360" Type="http://schemas.openxmlformats.org/officeDocument/2006/relationships/image" Target="media/image305.png"/><Relationship Id="rId361" Type="http://schemas.openxmlformats.org/officeDocument/2006/relationships/image" Target="media/image306.png"/><Relationship Id="rId362" Type="http://schemas.openxmlformats.org/officeDocument/2006/relationships/image" Target="media/image307.png"/><Relationship Id="rId363" Type="http://schemas.openxmlformats.org/officeDocument/2006/relationships/image" Target="media/image308.png"/><Relationship Id="rId364" Type="http://schemas.openxmlformats.org/officeDocument/2006/relationships/image" Target="media/image309.png"/><Relationship Id="rId365" Type="http://schemas.openxmlformats.org/officeDocument/2006/relationships/image" Target="media/image310.png"/><Relationship Id="rId366" Type="http://schemas.openxmlformats.org/officeDocument/2006/relationships/image" Target="media/image311.png"/><Relationship Id="rId367" Type="http://schemas.openxmlformats.org/officeDocument/2006/relationships/image" Target="media/image312.png"/><Relationship Id="rId368" Type="http://schemas.openxmlformats.org/officeDocument/2006/relationships/image" Target="media/image313.png"/><Relationship Id="rId369"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2" Type="http://schemas.openxmlformats.org/officeDocument/2006/relationships/image" Target="media/image317.png"/><Relationship Id="rId373" Type="http://schemas.openxmlformats.org/officeDocument/2006/relationships/image" Target="media/image318.png"/><Relationship Id="rId374" Type="http://schemas.openxmlformats.org/officeDocument/2006/relationships/image" Target="media/image319.png"/><Relationship Id="rId375" Type="http://schemas.openxmlformats.org/officeDocument/2006/relationships/image" Target="media/image320.png"/><Relationship Id="rId376" Type="http://schemas.openxmlformats.org/officeDocument/2006/relationships/image" Target="media/image321.png"/><Relationship Id="rId377"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pn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441" Type="http://schemas.openxmlformats.org/officeDocument/2006/relationships/image" Target="media/image386.png"/><Relationship Id="rId442" Type="http://schemas.openxmlformats.org/officeDocument/2006/relationships/image" Target="media/image387.png"/><Relationship Id="rId443" Type="http://schemas.openxmlformats.org/officeDocument/2006/relationships/image" Target="media/image388.png"/><Relationship Id="rId444" Type="http://schemas.openxmlformats.org/officeDocument/2006/relationships/image" Target="media/image389.pn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465" Type="http://schemas.openxmlformats.org/officeDocument/2006/relationships/image" Target="media/image410.png"/><Relationship Id="rId466" Type="http://schemas.openxmlformats.org/officeDocument/2006/relationships/image" Target="media/image411.png"/><Relationship Id="rId467" Type="http://schemas.openxmlformats.org/officeDocument/2006/relationships/image" Target="media/image412.png"/><Relationship Id="rId468" Type="http://schemas.openxmlformats.org/officeDocument/2006/relationships/image" Target="media/image413.png"/><Relationship Id="rId469" Type="http://schemas.openxmlformats.org/officeDocument/2006/relationships/image" Target="media/image414.png"/><Relationship Id="rId470" Type="http://schemas.openxmlformats.org/officeDocument/2006/relationships/image" Target="media/image415.png"/><Relationship Id="rId471" Type="http://schemas.openxmlformats.org/officeDocument/2006/relationships/image" Target="media/image416.png"/><Relationship Id="rId472" Type="http://schemas.openxmlformats.org/officeDocument/2006/relationships/image" Target="media/image417.png"/><Relationship Id="rId473" Type="http://schemas.openxmlformats.org/officeDocument/2006/relationships/image" Target="media/image418.png"/><Relationship Id="rId474" Type="http://schemas.openxmlformats.org/officeDocument/2006/relationships/image" Target="media/image419.png"/><Relationship Id="rId475" Type="http://schemas.openxmlformats.org/officeDocument/2006/relationships/image" Target="media/image420.png"/><Relationship Id="rId476" Type="http://schemas.openxmlformats.org/officeDocument/2006/relationships/image" Target="media/image421.png"/><Relationship Id="rId477" Type="http://schemas.openxmlformats.org/officeDocument/2006/relationships/image" Target="media/image422.png"/><Relationship Id="rId478" Type="http://schemas.openxmlformats.org/officeDocument/2006/relationships/image" Target="media/image423.png"/><Relationship Id="rId479" Type="http://schemas.openxmlformats.org/officeDocument/2006/relationships/image" Target="media/image424.png"/><Relationship Id="rId480" Type="http://schemas.openxmlformats.org/officeDocument/2006/relationships/image" Target="media/image425.png"/><Relationship Id="rId481" Type="http://schemas.openxmlformats.org/officeDocument/2006/relationships/image" Target="media/image426.png"/><Relationship Id="rId482" Type="http://schemas.openxmlformats.org/officeDocument/2006/relationships/image" Target="media/image427.png"/><Relationship Id="rId483" Type="http://schemas.openxmlformats.org/officeDocument/2006/relationships/image" Target="media/image428.png"/><Relationship Id="rId484" Type="http://schemas.openxmlformats.org/officeDocument/2006/relationships/image" Target="media/image429.png"/><Relationship Id="rId485" Type="http://schemas.openxmlformats.org/officeDocument/2006/relationships/image" Target="media/image430.png"/><Relationship Id="rId486" Type="http://schemas.openxmlformats.org/officeDocument/2006/relationships/image" Target="media/image431.png"/><Relationship Id="rId487" Type="http://schemas.openxmlformats.org/officeDocument/2006/relationships/image" Target="media/image432.png"/><Relationship Id="rId488" Type="http://schemas.openxmlformats.org/officeDocument/2006/relationships/image" Target="media/image433.png"/><Relationship Id="rId489" Type="http://schemas.openxmlformats.org/officeDocument/2006/relationships/image" Target="media/image434.png"/><Relationship Id="rId490" Type="http://schemas.openxmlformats.org/officeDocument/2006/relationships/image" Target="media/image435.png"/><Relationship Id="rId491" Type="http://schemas.openxmlformats.org/officeDocument/2006/relationships/image" Target="media/image436.png"/><Relationship Id="rId492" Type="http://schemas.openxmlformats.org/officeDocument/2006/relationships/image" Target="media/image437.png"/><Relationship Id="rId493" Type="http://schemas.openxmlformats.org/officeDocument/2006/relationships/image" Target="media/image438.png"/><Relationship Id="rId494" Type="http://schemas.openxmlformats.org/officeDocument/2006/relationships/image" Target="media/image439.png"/><Relationship Id="rId495" Type="http://schemas.openxmlformats.org/officeDocument/2006/relationships/image" Target="media/image440.png"/><Relationship Id="rId496" Type="http://schemas.openxmlformats.org/officeDocument/2006/relationships/image" Target="media/image441.png"/><Relationship Id="rId497" Type="http://schemas.openxmlformats.org/officeDocument/2006/relationships/image" Target="media/image442.png"/><Relationship Id="rId498" Type="http://schemas.openxmlformats.org/officeDocument/2006/relationships/image" Target="media/image443.png"/><Relationship Id="rId499" Type="http://schemas.openxmlformats.org/officeDocument/2006/relationships/image" Target="media/image444.png"/><Relationship Id="rId500" Type="http://schemas.openxmlformats.org/officeDocument/2006/relationships/image" Target="media/image445.png"/><Relationship Id="rId501" Type="http://schemas.openxmlformats.org/officeDocument/2006/relationships/image" Target="media/image446.png"/><Relationship Id="rId502" Type="http://schemas.openxmlformats.org/officeDocument/2006/relationships/image" Target="media/image447.png"/><Relationship Id="rId503" Type="http://schemas.openxmlformats.org/officeDocument/2006/relationships/image" Target="media/image448.png"/><Relationship Id="rId504" Type="http://schemas.openxmlformats.org/officeDocument/2006/relationships/image" Target="media/image449.png"/><Relationship Id="rId505" Type="http://schemas.openxmlformats.org/officeDocument/2006/relationships/image" Target="media/image450.png"/><Relationship Id="rId506" Type="http://schemas.openxmlformats.org/officeDocument/2006/relationships/image" Target="media/image451.png"/><Relationship Id="rId507" Type="http://schemas.openxmlformats.org/officeDocument/2006/relationships/image" Target="media/image452.png"/><Relationship Id="rId508" Type="http://schemas.openxmlformats.org/officeDocument/2006/relationships/image" Target="media/image453.png"/><Relationship Id="rId509" Type="http://schemas.openxmlformats.org/officeDocument/2006/relationships/image" Target="media/image454.png"/><Relationship Id="rId510" Type="http://schemas.openxmlformats.org/officeDocument/2006/relationships/image" Target="media/image455.png"/><Relationship Id="rId511" Type="http://schemas.openxmlformats.org/officeDocument/2006/relationships/image" Target="media/image456.png"/><Relationship Id="rId512" Type="http://schemas.openxmlformats.org/officeDocument/2006/relationships/image" Target="media/image457.png"/><Relationship Id="rId513" Type="http://schemas.openxmlformats.org/officeDocument/2006/relationships/image" Target="media/image458.png"/><Relationship Id="rId514" Type="http://schemas.openxmlformats.org/officeDocument/2006/relationships/image" Target="media/image459.png"/><Relationship Id="rId169" Type="http://schemas.openxmlformats.org/officeDocument/2006/relationships/hyperlink" Target="https://www.sec.gov/Archives/edgar/data/1674416/000095017024067660/crsp-ex3_1.htm" TargetMode="External"/><Relationship Id="rId170" Type="http://schemas.openxmlformats.org/officeDocument/2006/relationships/hyperlink" Target="https://www.sec.gov/Archives/edgar/data/0001674416/000119312516733213/d183927dex105.htm" TargetMode="External"/><Relationship Id="rId171" Type="http://schemas.openxmlformats.org/officeDocument/2006/relationships/hyperlink" Target="https://www.sec.gov/Archives/edgar/data/0001674416/000119312516733213/d183927dex106.htm" TargetMode="External"/><Relationship Id="rId172" Type="http://schemas.openxmlformats.org/officeDocument/2006/relationships/hyperlink" Target="https://www.sec.gov/Archives/edgar/data/0001674416/000119312516733213/d183927dex107.htm" TargetMode="External"/><Relationship Id="rId173" Type="http://schemas.openxmlformats.org/officeDocument/2006/relationships/hyperlink" Target="https://www.sec.gov/Archives/edgar/data/1674416/000095017024121105/crsp-ex10_1.htm" TargetMode="External"/><Relationship Id="rId174" Type="http://schemas.openxmlformats.org/officeDocument/2006/relationships/hyperlink" Target="https://www.sec.gov/Archives/edgar/data/0001674416/000119312517300284/d406376dex101.htm" TargetMode="External"/><Relationship Id="rId175" Type="http://schemas.openxmlformats.org/officeDocument/2006/relationships/hyperlink" Target="https://www.sec.gov/Archives/edgar/data/1674416/000156459018004920/crsp-ex1016_540.htm" TargetMode="External"/><Relationship Id="rId176" Type="http://schemas.openxmlformats.org/officeDocument/2006/relationships/hyperlink" Target="https://www.sec.gov/Archives/edgar/data/1674416/000095012324005877/crsp-ex10_1.htm" TargetMode="External"/><Relationship Id="rId177" Type="http://schemas.openxmlformats.org/officeDocument/2006/relationships/hyperlink" Target="https://www.sec.gov/Archives/edgar/data/1674416/000095017024090746/crsp-ex10_2.htm" TargetMode="External"/><Relationship Id="rId178" Type="http://schemas.openxmlformats.org/officeDocument/2006/relationships/hyperlink" Target="https://www.sec.gov/Archives/edgar/data/1674416/000095017023007716/crsp-ex10_1.htm" TargetMode="External"/><Relationship Id="rId179" Type="http://schemas.openxmlformats.org/officeDocument/2006/relationships/hyperlink" Target="https://www.sec.gov/Archives/edgar/data/1674416/000156459018004920/crsp-ex1026_549.htm" TargetMode="External"/><Relationship Id="rId182" Type="http://schemas.openxmlformats.org/officeDocument/2006/relationships/hyperlink" Target="https://www.sec.gov/Archives/edgar/data/0001674416/000119312516706569/d183927dex1014.htm" TargetMode="External"/><Relationship Id="rId183" Type="http://schemas.openxmlformats.org/officeDocument/2006/relationships/hyperlink" Target="https://www.sec.gov/Archives/edgar/data/0001674416/000119312517191981/d514417dex101.htm" TargetMode="External"/><Relationship Id="rId184" Type="http://schemas.openxmlformats.org/officeDocument/2006/relationships/hyperlink" Target="https://www.sec.gov/Archives/edgar/data/0001674416/000156459017022720/crsp-ex102_310.htm" TargetMode="External"/><Relationship Id="rId185" Type="http://schemas.openxmlformats.org/officeDocument/2006/relationships/hyperlink" Target="https://www.sec.gov/Archives/edgar/data/0001674416/000156459017022720/crsp-ex103_311.htm" TargetMode="External"/><Relationship Id="rId186" Type="http://schemas.openxmlformats.org/officeDocument/2006/relationships/hyperlink" Target="https://www.sec.gov/Archives/edgar/data/0001674416/000156459017022720/crsp-ex104_312.htm" TargetMode="External"/><Relationship Id="rId187" Type="http://schemas.openxmlformats.org/officeDocument/2006/relationships/hyperlink" Target="https://www.sec.gov/Archives/edgar/data/0001674416/000156459017022720/crsp-ex105_313.htm" TargetMode="External"/><Relationship Id="rId188" Type="http://schemas.openxmlformats.org/officeDocument/2006/relationships/hyperlink" Target="https://www.sec.gov/Archives/edgar/data/0001674416/000156459017022720/crsp-ex106_314.htm" TargetMode="External"/><Relationship Id="rId189" Type="http://schemas.openxmlformats.org/officeDocument/2006/relationships/hyperlink" Target="https://www.sec.gov/Archives/edgar/data/0001674416/000156459017022720/crsp-ex107_315.htm" TargetMode="External"/><Relationship Id="rId190" Type="http://schemas.openxmlformats.org/officeDocument/2006/relationships/hyperlink" Target="https://www.sec.gov/Archives/edgar/data/1674416/000119312518181742/d588659dex991.htm" TargetMode="External"/><Relationship Id="rId191" Type="http://schemas.openxmlformats.org/officeDocument/2006/relationships/hyperlink" Target="https://www.sec.gov/Archives/edgar/data/1674416/000119312518181742/d588659dex992.htm" TargetMode="External"/><Relationship Id="rId192" Type="http://schemas.openxmlformats.org/officeDocument/2006/relationships/hyperlink" Target="https://www.sec.gov/Archives/edgar/data/1674416/000119312518181742/d588659dex993.htm" TargetMode="External"/><Relationship Id="rId193" Type="http://schemas.openxmlformats.org/officeDocument/2006/relationships/hyperlink" Target="https://www.sec.gov/Archives/edgar/data/1674416/000119312518181742/d588659dex994.htm" TargetMode="External"/><Relationship Id="rId194" Type="http://schemas.openxmlformats.org/officeDocument/2006/relationships/hyperlink" Target="https://www.sec.gov/Archives/edgar/data/1674416/000119312518181742/d588659dex995.htm" TargetMode="External"/><Relationship Id="rId195" Type="http://schemas.openxmlformats.org/officeDocument/2006/relationships/hyperlink" Target="https://www.sec.gov/Archives/edgar/data/1674416/000119312518181742/d588659dex996.htm" TargetMode="External"/><Relationship Id="rId196" Type="http://schemas.openxmlformats.org/officeDocument/2006/relationships/hyperlink" Target="https://www.sec.gov/Archives/edgar/data/1674416/000119312518181742/d588659dex997.htm" TargetMode="External"/><Relationship Id="rId197" Type="http://schemas.openxmlformats.org/officeDocument/2006/relationships/hyperlink" Target="https://www.sec.gov/Archives/edgar/data/1674416/000119312519129267/d660374ddef14a.htm" TargetMode="External"/><Relationship Id="rId198" Type="http://schemas.openxmlformats.org/officeDocument/2006/relationships/hyperlink" Target="https://www.sec.gov/Archives/edgar/data/1674416/000156459020018495/crsp-def14a_20200611.htm" TargetMode="External"/><Relationship Id="rId199" Type="http://schemas.openxmlformats.org/officeDocument/2006/relationships/hyperlink" Target="https://www.sec.gov/Archives/edgar/data/1674416/000095017022006098/crsp-def_14a-2022.htm#householding_annual_meeting_materials" TargetMode="External"/><Relationship Id="rId202" Type="http://schemas.openxmlformats.org/officeDocument/2006/relationships/hyperlink" Target="https://www.sec.gov/ix?doc=/Archives/edgar/data/1674416/000095017023014831/crsp-20230426.htm#appendix_b" TargetMode="External"/><Relationship Id="rId203" Type="http://schemas.openxmlformats.org/officeDocument/2006/relationships/hyperlink" Target="https://www.sec.gov/ix?doc=/Archives/edgar/data/1674416/000095017024043025/crsp-20240409.htm" TargetMode="External"/><Relationship Id="rId204" Type="http://schemas.openxmlformats.org/officeDocument/2006/relationships/hyperlink" Target="https://www.sec.gov/Archives/edgar/data/0001674416/000119312516706569/d183927dex1016.htm" TargetMode="External"/><Relationship Id="rId205" Type="http://schemas.openxmlformats.org/officeDocument/2006/relationships/hyperlink" Target="https://www.sec.gov/Archives/edgar/data/0001674416/000119312516795948/d283294dex101.htm" TargetMode="External"/><Relationship Id="rId206" Type="http://schemas.openxmlformats.org/officeDocument/2006/relationships/hyperlink" Target="https://www.sec.gov/Archives/edgar/data/0001674416/000119312516733213/d183927dex104.htm" TargetMode="External"/><Relationship Id="rId207" Type="http://schemas.openxmlformats.org/officeDocument/2006/relationships/hyperlink" Target="https://www.sec.gov/Archives/edgar/data/0001674416/000119312517372224/d492785dex102.htm" TargetMode="External"/><Relationship Id="rId208" Type="http://schemas.openxmlformats.org/officeDocument/2006/relationships/hyperlink" Target="https://www.sec.gov/Archives/edgar/data/1674416/000156459019026600/crsp-ex101_284.htm" TargetMode="External"/><Relationship Id="rId209" Type="http://schemas.openxmlformats.org/officeDocument/2006/relationships/hyperlink" Target="https://www.sec.gov/Archives/edgar/data/1674416/000156459019026600/crsp-ex102_285.htm" TargetMode="External"/><Relationship Id="rId210" Type="http://schemas.openxmlformats.org/officeDocument/2006/relationships/hyperlink" Target="https://www.sec.gov/Archives/edgar/data/1674416/000156459021020902/crsp-ex103_11.htm" TargetMode="External"/><Relationship Id="rId211" Type="http://schemas.openxmlformats.org/officeDocument/2006/relationships/hyperlink" Target="https://www.sec.gov/Archives/edgar/data/1674416/000156459021020902/crsp-ex104_533.htm" TargetMode="External"/><Relationship Id="rId212" Type="http://schemas.openxmlformats.org/officeDocument/2006/relationships/hyperlink" Target="https://www.sec.gov/Archives/edgar/data/1674416/000095017023069892/crsp-ex10_1.htm" TargetMode="External"/><Relationship Id="rId213" Type="http://schemas.openxmlformats.org/officeDocument/2006/relationships/hyperlink" Target="https://www.sec.gov/Archives/edgar/data/1674416/000095017023009861/crsp-ex10_1.htm" TargetMode="External"/><Relationship Id="rId214" Type="http://schemas.openxmlformats.org/officeDocument/2006/relationships/hyperlink" Target="https://www.sec.gov/Archives/edgar/data/1674416/000156459021020902/crsp-ex101_13.htm" TargetMode="External"/><Relationship Id="rId215" Type="http://schemas.openxmlformats.org/officeDocument/2006/relationships/hyperlink" Target="https://www.sec.gov/Archives/edgar/data/1674416/000156459021020902/crsp-ex102_12.htm" TargetMode="External"/><Relationship Id="rId218" Type="http://schemas.openxmlformats.org/officeDocument/2006/relationships/hyperlink" Target="https://www.sec.gov/Archives/edgar/data/1674416/000156459021039178/crsp-ex101_103.htm" TargetMode="External"/><Relationship Id="rId219" Type="http://schemas.openxmlformats.org/officeDocument/2006/relationships/hyperlink" Target="https://www.sec.gov/Archives/edgar/data/1674416/000156459020033602/crsp-ex101_293.htm" TargetMode="External"/><Relationship Id="rId220" Type="http://schemas.openxmlformats.org/officeDocument/2006/relationships/hyperlink" Target="https://www.sec.gov/Archives/edgar/data/1674416/000095017022001282/crsp-ex10_37.htm" TargetMode="External"/><Relationship Id="rId221" Type="http://schemas.openxmlformats.org/officeDocument/2006/relationships/hyperlink" Target="https://www.sec.gov/Archives/edgar/data/1674416/000095017022015256/crsp-ex10_2.htm" TargetMode="External"/><Relationship Id="rId222" Type="http://schemas.openxmlformats.org/officeDocument/2006/relationships/hyperlink" Target="https://www.sec.gov/Archives/edgar/data/1674416/000095017024017571/crs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2025-02-11T15:33:26Z</dcterms:created>
  <dcterms:modified xsi:type="dcterms:W3CDTF">2025-02-11T15:33:26Z</dcterms:modified>
</cp:coreProperties>
</file>