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6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CRISPR Therapeutics AG</w:t>
      </w:r>
    </w:p>
    <w:p>
      <w:pPr>
        <w:spacing w:after="0" w:line="4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(Name of Issuer)</w:t>
      </w:r>
    </w:p>
    <w:p>
      <w:pPr>
        <w:spacing w:after="0" w:line="29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Common Shares, CHF 0.03 nominal value per share</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9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H17182 108</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9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Matthew R. Gemello, Esq.</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William L. Hughes, Esq.</w:t>
      </w:r>
    </w:p>
    <w:p>
      <w:pPr>
        <w:jc w:val="center"/>
        <w:ind w:right="-99"/>
        <w:spacing w:after="0" w:line="230" w:lineRule="auto"/>
        <w:rPr>
          <w:sz w:val="20"/>
          <w:szCs w:val="20"/>
          <w:color w:val="auto"/>
        </w:rPr>
      </w:pPr>
      <w:r>
        <w:rPr>
          <w:rFonts w:ascii="Arial" w:cs="Arial" w:eastAsia="Arial" w:hAnsi="Arial"/>
          <w:sz w:val="22"/>
          <w:szCs w:val="22"/>
          <w:b w:val="1"/>
          <w:bCs w:val="1"/>
          <w:color w:val="auto"/>
        </w:rPr>
        <w:t>Orrick, Herrington &amp; Sutcliffe LLP</w:t>
      </w:r>
    </w:p>
    <w:p>
      <w:pPr>
        <w:jc w:val="center"/>
        <w:ind w:right="-99"/>
        <w:spacing w:after="0" w:line="231" w:lineRule="auto"/>
        <w:rPr>
          <w:sz w:val="20"/>
          <w:szCs w:val="20"/>
          <w:color w:val="auto"/>
        </w:rPr>
      </w:pPr>
      <w:r>
        <w:rPr>
          <w:rFonts w:ascii="Arial" w:cs="Arial" w:eastAsia="Arial" w:hAnsi="Arial"/>
          <w:sz w:val="22"/>
          <w:szCs w:val="22"/>
          <w:b w:val="1"/>
          <w:bCs w:val="1"/>
          <w:color w:val="auto"/>
        </w:rPr>
        <w:t>405 Howard Street</w:t>
      </w:r>
    </w:p>
    <w:p>
      <w:pPr>
        <w:jc w:val="center"/>
        <w:ind w:right="-99"/>
        <w:spacing w:after="0" w:line="230" w:lineRule="auto"/>
        <w:rPr>
          <w:sz w:val="20"/>
          <w:szCs w:val="20"/>
          <w:color w:val="auto"/>
        </w:rPr>
      </w:pPr>
      <w:r>
        <w:rPr>
          <w:rFonts w:ascii="Arial" w:cs="Arial" w:eastAsia="Arial" w:hAnsi="Arial"/>
          <w:sz w:val="22"/>
          <w:szCs w:val="22"/>
          <w:b w:val="1"/>
          <w:bCs w:val="1"/>
          <w:color w:val="auto"/>
        </w:rPr>
        <w:t>San Francisco, CA 94105</w:t>
      </w:r>
    </w:p>
    <w:p>
      <w:pPr>
        <w:jc w:val="center"/>
        <w:ind w:right="-99"/>
        <w:spacing w:after="0" w:line="228" w:lineRule="auto"/>
        <w:rPr>
          <w:sz w:val="20"/>
          <w:szCs w:val="20"/>
          <w:color w:val="auto"/>
        </w:rPr>
      </w:pPr>
      <w:r>
        <w:rPr>
          <w:rFonts w:ascii="Arial" w:cs="Arial" w:eastAsia="Arial" w:hAnsi="Arial"/>
          <w:sz w:val="22"/>
          <w:szCs w:val="22"/>
          <w:b w:val="1"/>
          <w:bCs w:val="1"/>
          <w:color w:val="auto"/>
        </w:rPr>
        <w:t>(415) 773-5700</w:t>
      </w:r>
    </w:p>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9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December 31, 2019</w:t>
      </w:r>
    </w:p>
    <w:p>
      <w:pPr>
        <w:spacing w:after="0" w:line="15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right="520"/>
        <w:spacing w:after="0" w:line="260"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21"/>
          <w:szCs w:val="21"/>
          <w:color w:val="auto"/>
        </w:rPr>
        <w:t>☐</w:t>
      </w:r>
    </w:p>
    <w:p>
      <w:pPr>
        <w:spacing w:after="0" w:line="200" w:lineRule="exact"/>
        <w:rPr>
          <w:sz w:val="24"/>
          <w:szCs w:val="24"/>
          <w:color w:val="auto"/>
        </w:rPr>
      </w:pPr>
    </w:p>
    <w:p>
      <w:pPr>
        <w:spacing w:after="0" w:line="267" w:lineRule="exact"/>
        <w:rPr>
          <w:sz w:val="24"/>
          <w:szCs w:val="24"/>
          <w:color w:val="auto"/>
        </w:rPr>
      </w:pPr>
    </w:p>
    <w:p>
      <w:pPr>
        <w:ind w:right="240"/>
        <w:spacing w:after="0" w:line="256" w:lineRule="auto"/>
        <w:rPr>
          <w:sz w:val="20"/>
          <w:szCs w:val="20"/>
          <w:color w:val="auto"/>
        </w:rPr>
      </w:pPr>
      <w:r>
        <w:rPr>
          <w:rFonts w:ascii="Arial" w:cs="Arial" w:eastAsia="Arial" w:hAnsi="Arial"/>
          <w:sz w:val="22"/>
          <w:szCs w:val="22"/>
          <w:b w:val="1"/>
          <w:bCs w:val="1"/>
          <w:color w:val="auto"/>
        </w:rPr>
        <w:t xml:space="preserve">Note: </w:t>
      </w:r>
      <w:r>
        <w:rPr>
          <w:rFonts w:ascii="Arial" w:cs="Arial" w:eastAsia="Arial" w:hAnsi="Arial"/>
          <w:sz w:val="22"/>
          <w:szCs w:val="22"/>
          <w:color w:val="auto"/>
        </w:rPr>
        <w:t>Schedules filed in paper format shall include a signed original and five copies of this Schedule, including all exhibits. See</w:t>
      </w:r>
      <w:r>
        <w:rPr>
          <w:rFonts w:ascii="Arial" w:cs="Arial" w:eastAsia="Arial" w:hAnsi="Arial"/>
          <w:sz w:val="22"/>
          <w:szCs w:val="22"/>
          <w:b w:val="1"/>
          <w:bCs w:val="1"/>
          <w:color w:val="auto"/>
        </w:rPr>
        <w:t xml:space="preserve"> </w:t>
      </w:r>
      <w:r>
        <w:rPr>
          <w:rFonts w:ascii="Arial" w:cs="Arial" w:eastAsia="Arial" w:hAnsi="Arial"/>
          <w:sz w:val="22"/>
          <w:szCs w:val="22"/>
          <w:color w:val="auto"/>
        </w:rPr>
        <w:t>Rule 240.13d-7 for other parties to whom copies are to be sent.</w:t>
      </w:r>
    </w:p>
    <w:p>
      <w:pPr>
        <w:spacing w:after="0" w:line="200" w:lineRule="exact"/>
        <w:rPr>
          <w:sz w:val="24"/>
          <w:szCs w:val="24"/>
          <w:color w:val="auto"/>
        </w:rPr>
      </w:pPr>
    </w:p>
    <w:p>
      <w:pPr>
        <w:spacing w:after="0" w:line="273" w:lineRule="exact"/>
        <w:rPr>
          <w:sz w:val="24"/>
          <w:szCs w:val="24"/>
          <w:color w:val="auto"/>
        </w:rPr>
      </w:pPr>
    </w:p>
    <w:p>
      <w:pPr>
        <w:ind w:left="420" w:right="60" w:hanging="358"/>
        <w:spacing w:after="0" w:line="277"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903605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color w:val="auto"/>
        </w:rPr>
        <w:t>SCHEDULE 13D/A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CUSIP No. H17182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7572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7572375"/>
                    </a:xfrm>
                    <a:prstGeom prst="rect">
                      <a:avLst/>
                    </a:prstGeom>
                    <a:noFill/>
                  </pic:spPr>
                </pic:pic>
              </a:graphicData>
            </a:graphic>
          </wp:anchor>
        </w:drawing>
      </w:r>
    </w:p>
    <w:p>
      <w:pPr>
        <w:spacing w:after="0" w:line="226"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ind w:left="1440" w:hanging="817"/>
        <w:spacing w:after="0" w:line="182" w:lineRule="auto"/>
        <w:tabs>
          <w:tab w:leader="none" w:pos="1440" w:val="left"/>
        </w:tabs>
        <w:numPr>
          <w:ilvl w:val="0"/>
          <w:numId w:val="2"/>
        </w:numPr>
        <w:rPr>
          <w:rFonts w:ascii="Arial" w:cs="Arial" w:eastAsia="Arial" w:hAnsi="Arial"/>
          <w:sz w:val="34"/>
          <w:szCs w:val="34"/>
          <w:b w:val="1"/>
          <w:bCs w:val="1"/>
          <w:color w:val="auto"/>
          <w:vertAlign w:val="subscript"/>
        </w:rPr>
      </w:pPr>
      <w:r>
        <w:rPr>
          <w:rFonts w:ascii="Arial" w:cs="Arial" w:eastAsia="Arial" w:hAnsi="Arial"/>
          <w:sz w:val="15"/>
          <w:szCs w:val="15"/>
          <w:color w:val="auto"/>
        </w:rPr>
        <w:t>S.S. OR I.R.S. IDENTIFICATION NO. OF ABOVE PERSON (ENTITIES ONLY)</w:t>
      </w:r>
    </w:p>
    <w:p>
      <w:pPr>
        <w:spacing w:after="0" w:line="20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Bayer Global Investments B.V.</w:t>
      </w:r>
    </w:p>
    <w:p>
      <w:pPr>
        <w:spacing w:after="0" w:line="68"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620"/>
        <w:spacing w:after="0" w:line="211" w:lineRule="auto"/>
        <w:rPr>
          <w:sz w:val="20"/>
          <w:szCs w:val="20"/>
          <w:color w:val="auto"/>
        </w:rPr>
      </w:pPr>
      <w:r>
        <w:rPr>
          <w:rFonts w:ascii="Arial" w:cs="Arial" w:eastAsia="Arial" w:hAnsi="Arial"/>
          <w:sz w:val="32"/>
          <w:szCs w:val="32"/>
          <w:b w:val="1"/>
          <w:bCs w:val="1"/>
          <w:color w:val="auto"/>
        </w:rPr>
        <w:t>2</w:t>
      </w:r>
    </w:p>
    <w:p>
      <w:pPr>
        <w:spacing w:after="0" w:line="1" w:lineRule="exact"/>
        <w:rPr>
          <w:sz w:val="20"/>
          <w:szCs w:val="20"/>
          <w:color w:val="auto"/>
        </w:rPr>
      </w:pPr>
    </w:p>
    <w:p>
      <w:pPr>
        <w:ind w:left="1680" w:hanging="254"/>
        <w:spacing w:after="0" w:line="207" w:lineRule="exact"/>
        <w:tabs>
          <w:tab w:leader="none" w:pos="16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85"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SOURCE OF FUNDS (SEE INSTRUCTIONS)</w:t>
      </w:r>
    </w:p>
    <w:p>
      <w:pPr>
        <w:ind w:left="620"/>
        <w:spacing w:after="0" w:line="215" w:lineRule="auto"/>
        <w:rPr>
          <w:sz w:val="20"/>
          <w:szCs w:val="20"/>
          <w:color w:val="auto"/>
        </w:rPr>
      </w:pPr>
      <w:r>
        <w:rPr>
          <w:rFonts w:ascii="Arial" w:cs="Arial" w:eastAsia="Arial" w:hAnsi="Arial"/>
          <w:sz w:val="32"/>
          <w:szCs w:val="32"/>
          <w:b w:val="1"/>
          <w:bCs w:val="1"/>
          <w:color w:val="auto"/>
        </w:rPr>
        <w:t>4</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N/A</w:t>
      </w:r>
    </w:p>
    <w:p>
      <w:pPr>
        <w:spacing w:after="0" w:line="7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bl>
      <w:tblPr>
        <w:tblLayout w:type="fixed"/>
        <w:tblInd w:w="0" w:type="dxa"/>
        <w:tblCellMar>
          <w:top w:w="0" w:type="dxa"/>
          <w:left w:w="0" w:type="dxa"/>
          <w:bottom w:w="0" w:type="dxa"/>
          <w:right w:w="0" w:type="dxa"/>
        </w:tblCellMar>
      </w:tblPr>
      <w:tr>
        <w:trPr>
          <w:trHeight w:val="289"/>
        </w:trPr>
        <w:tc>
          <w:tcPr>
            <w:tcW w:w="2060" w:type="dxa"/>
            <w:vAlign w:val="bottom"/>
          </w:tcPr>
          <w:p>
            <w:pPr>
              <w:jc w:val="right"/>
              <w:ind w:right="1176"/>
              <w:spacing w:after="0" w:line="289" w:lineRule="exact"/>
              <w:rPr>
                <w:sz w:val="20"/>
                <w:szCs w:val="20"/>
                <w:color w:val="auto"/>
              </w:rPr>
            </w:pPr>
            <w:r>
              <w:rPr>
                <w:rFonts w:ascii="Arial" w:cs="Arial" w:eastAsia="Arial" w:hAnsi="Arial"/>
                <w:sz w:val="32"/>
                <w:szCs w:val="32"/>
                <w:b w:val="1"/>
                <w:bCs w:val="1"/>
                <w:color w:val="auto"/>
              </w:rPr>
              <w:t>5</w:t>
            </w:r>
          </w:p>
        </w:tc>
        <w:tc>
          <w:tcPr>
            <w:tcW w:w="70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6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14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1420" w:type="dxa"/>
            <w:vAlign w:val="bottom"/>
            <w:gridSpan w:val="3"/>
          </w:tcPr>
          <w:p>
            <w:pPr>
              <w:ind w:left="1420"/>
              <w:spacing w:after="0" w:line="182" w:lineRule="exact"/>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337"/>
        </w:trPr>
        <w:tc>
          <w:tcPr>
            <w:tcW w:w="2060" w:type="dxa"/>
            <w:vAlign w:val="bottom"/>
          </w:tcPr>
          <w:p>
            <w:pPr>
              <w:jc w:val="right"/>
              <w:ind w:right="1176"/>
              <w:spacing w:after="0" w:line="336" w:lineRule="exact"/>
              <w:rPr>
                <w:sz w:val="20"/>
                <w:szCs w:val="20"/>
                <w:color w:val="auto"/>
              </w:rPr>
            </w:pPr>
            <w:r>
              <w:rPr>
                <w:rFonts w:ascii="Arial" w:cs="Arial" w:eastAsia="Arial" w:hAnsi="Arial"/>
                <w:sz w:val="32"/>
                <w:szCs w:val="32"/>
                <w:b w:val="1"/>
                <w:bCs w:val="1"/>
                <w:color w:val="auto"/>
              </w:rPr>
              <w:t>6</w:t>
            </w:r>
          </w:p>
        </w:tc>
        <w:tc>
          <w:tcPr>
            <w:tcW w:w="70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20" w:type="dxa"/>
            <w:vAlign w:val="bottom"/>
            <w:gridSpan w:val="3"/>
          </w:tcPr>
          <w:p>
            <w:pPr>
              <w:ind w:left="1440"/>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54"/>
        </w:trPr>
        <w:tc>
          <w:tcPr>
            <w:tcW w:w="20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866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53"/>
        </w:trPr>
        <w:tc>
          <w:tcPr>
            <w:tcW w:w="206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866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1"/>
        </w:trPr>
        <w:tc>
          <w:tcPr>
            <w:tcW w:w="206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8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60" w:type="dxa"/>
            <w:vAlign w:val="bottom"/>
            <w:tcBorders>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8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866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700" w:type="dxa"/>
            <w:vAlign w:val="bottom"/>
            <w:tcBorders>
              <w:right w:val="single" w:sz="8" w:color="auto"/>
            </w:tcBorders>
            <w:vMerge w:val="continue"/>
          </w:tcPr>
          <w:p>
            <w:pPr>
              <w:spacing w:after="0"/>
              <w:rPr>
                <w:sz w:val="21"/>
                <w:szCs w:val="21"/>
                <w:color w:val="auto"/>
              </w:rPr>
            </w:pPr>
          </w:p>
        </w:tc>
        <w:tc>
          <w:tcPr>
            <w:tcW w:w="8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700" w:type="dxa"/>
            <w:vAlign w:val="bottom"/>
            <w:tcBorders>
              <w:right w:val="single" w:sz="8" w:color="auto"/>
            </w:tcBorders>
          </w:tcPr>
          <w:p>
            <w:pPr>
              <w:spacing w:after="0"/>
              <w:rPr>
                <w:sz w:val="18"/>
                <w:szCs w:val="18"/>
                <w:color w:val="auto"/>
              </w:rPr>
            </w:pPr>
          </w:p>
        </w:tc>
        <w:tc>
          <w:tcPr>
            <w:tcW w:w="8660" w:type="dxa"/>
            <w:vAlign w:val="bottom"/>
          </w:tcPr>
          <w:p>
            <w:pPr>
              <w:ind w:left="20"/>
              <w:spacing w:after="0"/>
              <w:rPr>
                <w:sz w:val="20"/>
                <w:szCs w:val="20"/>
                <w:color w:val="auto"/>
              </w:rPr>
            </w:pPr>
            <w:r>
              <w:rPr>
                <w:rFonts w:ascii="Arial" w:cs="Arial" w:eastAsia="Arial" w:hAnsi="Arial"/>
                <w:sz w:val="18"/>
                <w:szCs w:val="18"/>
                <w:color w:val="auto"/>
              </w:rPr>
              <w:t>4,319,717</w:t>
            </w:r>
          </w:p>
        </w:tc>
        <w:tc>
          <w:tcPr>
            <w:tcW w:w="0" w:type="dxa"/>
            <w:vAlign w:val="bottom"/>
          </w:tcPr>
          <w:p>
            <w:pPr>
              <w:spacing w:after="0"/>
              <w:rPr>
                <w:sz w:val="1"/>
                <w:szCs w:val="1"/>
                <w:color w:val="auto"/>
              </w:rPr>
            </w:pPr>
          </w:p>
        </w:tc>
      </w:tr>
      <w:tr>
        <w:trPr>
          <w:trHeight w:val="108"/>
        </w:trPr>
        <w:tc>
          <w:tcPr>
            <w:tcW w:w="2060" w:type="dxa"/>
            <w:vAlign w:val="bottom"/>
            <w:tcBorders>
              <w:right w:val="single" w:sz="8" w:color="auto"/>
            </w:tcBorders>
            <w:vMerge w:val="restart"/>
          </w:tcPr>
          <w:p>
            <w:pPr>
              <w:jc w:val="center"/>
              <w:spacing w:after="0" w:line="198" w:lineRule="exact"/>
              <w:rPr>
                <w:sz w:val="20"/>
                <w:szCs w:val="20"/>
                <w:color w:val="auto"/>
              </w:rPr>
            </w:pPr>
            <w:r>
              <w:rPr>
                <w:rFonts w:ascii="Arial" w:cs="Arial" w:eastAsia="Arial" w:hAnsi="Arial"/>
                <w:sz w:val="18"/>
                <w:szCs w:val="18"/>
                <w:b w:val="1"/>
                <w:bCs w:val="1"/>
                <w:color w:val="auto"/>
              </w:rPr>
              <w:t>OWNED BY EACH</w:t>
            </w:r>
          </w:p>
        </w:tc>
        <w:tc>
          <w:tcPr>
            <w:tcW w:w="700" w:type="dxa"/>
            <w:vAlign w:val="bottom"/>
            <w:tcBorders>
              <w:bottom w:val="single" w:sz="8" w:color="auto"/>
              <w:right w:val="single" w:sz="8" w:color="auto"/>
            </w:tcBorders>
          </w:tcPr>
          <w:p>
            <w:pPr>
              <w:spacing w:after="0"/>
              <w:rPr>
                <w:sz w:val="9"/>
                <w:szCs w:val="9"/>
                <w:color w:val="auto"/>
              </w:rPr>
            </w:pPr>
          </w:p>
        </w:tc>
        <w:tc>
          <w:tcPr>
            <w:tcW w:w="8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8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8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vMerge w:val="continue"/>
          </w:tcPr>
          <w:p>
            <w:pPr>
              <w:spacing w:after="0"/>
              <w:rPr>
                <w:sz w:val="4"/>
                <w:szCs w:val="4"/>
                <w:color w:val="auto"/>
              </w:rPr>
            </w:pPr>
          </w:p>
        </w:tc>
        <w:tc>
          <w:tcPr>
            <w:tcW w:w="700" w:type="dxa"/>
            <w:vAlign w:val="bottom"/>
            <w:tcBorders>
              <w:right w:val="single" w:sz="8" w:color="auto"/>
            </w:tcBorders>
            <w:vMerge w:val="continue"/>
          </w:tcPr>
          <w:p>
            <w:pPr>
              <w:spacing w:after="0"/>
              <w:rPr>
                <w:sz w:val="4"/>
                <w:szCs w:val="4"/>
                <w:color w:val="auto"/>
              </w:rPr>
            </w:pPr>
          </w:p>
        </w:tc>
        <w:tc>
          <w:tcPr>
            <w:tcW w:w="8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WITH</w:t>
            </w:r>
          </w:p>
        </w:tc>
        <w:tc>
          <w:tcPr>
            <w:tcW w:w="700" w:type="dxa"/>
            <w:vAlign w:val="bottom"/>
            <w:tcBorders>
              <w:right w:val="single" w:sz="8" w:color="auto"/>
            </w:tcBorders>
            <w:vMerge w:val="continue"/>
          </w:tcPr>
          <w:p>
            <w:pPr>
              <w:spacing w:after="0"/>
              <w:rPr>
                <w:sz w:val="24"/>
                <w:szCs w:val="24"/>
                <w:color w:val="auto"/>
              </w:rPr>
            </w:pPr>
          </w:p>
        </w:tc>
        <w:tc>
          <w:tcPr>
            <w:tcW w:w="86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1"/>
        </w:trPr>
        <w:tc>
          <w:tcPr>
            <w:tcW w:w="206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8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60" w:type="dxa"/>
            <w:vAlign w:val="bottom"/>
            <w:tcBorders>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8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66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3"/>
        </w:trPr>
        <w:tc>
          <w:tcPr>
            <w:tcW w:w="206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8660" w:type="dxa"/>
            <w:vAlign w:val="bottom"/>
            <w:vMerge w:val="restart"/>
          </w:tcPr>
          <w:p>
            <w:pPr>
              <w:ind w:left="20"/>
              <w:spacing w:after="0"/>
              <w:rPr>
                <w:sz w:val="20"/>
                <w:szCs w:val="20"/>
                <w:color w:val="auto"/>
              </w:rPr>
            </w:pPr>
            <w:r>
              <w:rPr>
                <w:rFonts w:ascii="Arial" w:cs="Arial" w:eastAsia="Arial" w:hAnsi="Arial"/>
                <w:sz w:val="18"/>
                <w:szCs w:val="18"/>
                <w:color w:val="auto"/>
              </w:rPr>
              <w:t>4,319,717</w:t>
            </w:r>
          </w:p>
        </w:tc>
        <w:tc>
          <w:tcPr>
            <w:tcW w:w="0" w:type="dxa"/>
            <w:vAlign w:val="bottom"/>
          </w:tcPr>
          <w:p>
            <w:pPr>
              <w:spacing w:after="0"/>
              <w:rPr>
                <w:sz w:val="1"/>
                <w:szCs w:val="1"/>
                <w:color w:val="auto"/>
              </w:rPr>
            </w:pPr>
          </w:p>
        </w:tc>
      </w:tr>
      <w:tr>
        <w:trPr>
          <w:trHeight w:val="161"/>
        </w:trPr>
        <w:tc>
          <w:tcPr>
            <w:tcW w:w="206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8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6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8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AGGREGATE AMOUNT BENEFICIALLY OWNED BY EACH REPORTING PERSON</w:t>
      </w:r>
    </w:p>
    <w:p>
      <w:pPr>
        <w:ind w:left="560"/>
        <w:spacing w:after="0" w:line="215" w:lineRule="auto"/>
        <w:rPr>
          <w:sz w:val="20"/>
          <w:szCs w:val="20"/>
          <w:color w:val="auto"/>
        </w:rPr>
      </w:pPr>
      <w:r>
        <w:rPr>
          <w:rFonts w:ascii="Arial" w:cs="Arial" w:eastAsia="Arial" w:hAnsi="Arial"/>
          <w:sz w:val="32"/>
          <w:szCs w:val="32"/>
          <w:b w:val="1"/>
          <w:bCs w:val="1"/>
          <w:color w:val="auto"/>
        </w:rPr>
        <w:t>11</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4,319,717</w:t>
      </w:r>
    </w:p>
    <w:p>
      <w:pPr>
        <w:spacing w:after="0" w:line="84"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p>
      <w:pPr>
        <w:ind w:left="540"/>
        <w:spacing w:after="0" w:line="181" w:lineRule="auto"/>
        <w:tabs>
          <w:tab w:leader="none" w:pos="1400" w:val="left"/>
        </w:tabs>
        <w:rPr>
          <w:sz w:val="20"/>
          <w:szCs w:val="20"/>
          <w:color w:val="auto"/>
        </w:rPr>
      </w:pPr>
      <w:r>
        <w:rPr>
          <w:rFonts w:ascii="Arial" w:cs="Arial" w:eastAsia="Arial" w:hAnsi="Arial"/>
          <w:sz w:val="28"/>
          <w:szCs w:val="28"/>
          <w:b w:val="1"/>
          <w:bCs w:val="1"/>
          <w:color w:val="auto"/>
          <w:vertAlign w:val="subscript"/>
        </w:rPr>
        <w:t>12</w:t>
      </w:r>
      <w:r>
        <w:rPr>
          <w:sz w:val="20"/>
          <w:szCs w:val="20"/>
          <w:color w:val="auto"/>
        </w:rPr>
        <w:tab/>
      </w:r>
      <w:r>
        <w:rPr>
          <w:rFonts w:ascii="Arial" w:cs="Arial" w:eastAsia="Arial" w:hAnsi="Arial"/>
          <w:sz w:val="14"/>
          <w:szCs w:val="14"/>
          <w:b w:val="1"/>
          <w:bCs w:val="1"/>
          <w:color w:val="auto"/>
        </w:rPr>
        <w:t>INSTRUCTIONS)</w:t>
      </w:r>
    </w:p>
    <w:p>
      <w:pPr>
        <w:spacing w:after="0" w:line="251" w:lineRule="exact"/>
        <w:rPr>
          <w:sz w:val="20"/>
          <w:szCs w:val="20"/>
          <w:color w:val="auto"/>
        </w:rPr>
      </w:pPr>
    </w:p>
    <w:p>
      <w:pPr>
        <w:ind w:left="1480"/>
        <w:spacing w:after="0" w:line="181" w:lineRule="exact"/>
        <w:rPr>
          <w:sz w:val="20"/>
          <w:szCs w:val="20"/>
          <w:color w:val="auto"/>
        </w:rPr>
      </w:pPr>
      <w:r>
        <w:rPr>
          <w:rFonts w:ascii="MS PGothic" w:cs="MS PGothic" w:eastAsia="MS PGothic" w:hAnsi="MS PGothic"/>
          <w:sz w:val="18"/>
          <w:szCs w:val="18"/>
          <w:color w:val="auto"/>
        </w:rPr>
        <w:t>☐</w:t>
      </w:r>
    </w:p>
    <w:p>
      <w:pPr>
        <w:spacing w:after="0" w:line="15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PERCENT OF CLASS REPRESENTED BY AMOUNT IN ROW (11)</w:t>
      </w:r>
    </w:p>
    <w:p>
      <w:pPr>
        <w:ind w:left="540"/>
        <w:spacing w:after="0" w:line="215" w:lineRule="auto"/>
        <w:rPr>
          <w:sz w:val="20"/>
          <w:szCs w:val="20"/>
          <w:color w:val="auto"/>
        </w:rPr>
      </w:pPr>
      <w:r>
        <w:rPr>
          <w:rFonts w:ascii="Arial" w:cs="Arial" w:eastAsia="Arial" w:hAnsi="Arial"/>
          <w:sz w:val="32"/>
          <w:szCs w:val="32"/>
          <w:b w:val="1"/>
          <w:bCs w:val="1"/>
          <w:color w:val="auto"/>
        </w:rPr>
        <w:t>13</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7.2%</w:t>
      </w:r>
    </w:p>
    <w:p>
      <w:pPr>
        <w:spacing w:after="0" w:line="7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46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855345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H17182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7675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7675245"/>
                    </a:xfrm>
                    <a:prstGeom prst="rect">
                      <a:avLst/>
                    </a:prstGeom>
                    <a:noFill/>
                  </pic:spPr>
                </pic:pic>
              </a:graphicData>
            </a:graphic>
          </wp:anchor>
        </w:drawing>
      </w:r>
    </w:p>
    <w:p>
      <w:pPr>
        <w:spacing w:after="0" w:line="24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ind w:left="1440" w:hanging="817"/>
        <w:spacing w:after="0" w:line="182" w:lineRule="auto"/>
        <w:tabs>
          <w:tab w:leader="none" w:pos="1440" w:val="left"/>
        </w:tabs>
        <w:numPr>
          <w:ilvl w:val="0"/>
          <w:numId w:val="4"/>
        </w:numPr>
        <w:rPr>
          <w:rFonts w:ascii="Arial" w:cs="Arial" w:eastAsia="Arial" w:hAnsi="Arial"/>
          <w:sz w:val="34"/>
          <w:szCs w:val="34"/>
          <w:b w:val="1"/>
          <w:bCs w:val="1"/>
          <w:color w:val="auto"/>
          <w:vertAlign w:val="subscript"/>
        </w:rPr>
      </w:pPr>
      <w:r>
        <w:rPr>
          <w:rFonts w:ascii="Arial" w:cs="Arial" w:eastAsia="Arial" w:hAnsi="Arial"/>
          <w:sz w:val="15"/>
          <w:szCs w:val="15"/>
          <w:color w:val="auto"/>
        </w:rPr>
        <w:t>S.S. OR I.R.S. IDENTIFICATION NO. OF ABOVE PERSON</w:t>
      </w:r>
    </w:p>
    <w:p>
      <w:pPr>
        <w:spacing w:after="0" w:line="20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Bayer AG</w:t>
      </w:r>
    </w:p>
    <w:p>
      <w:pPr>
        <w:spacing w:after="0" w:line="68"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620"/>
        <w:spacing w:after="0" w:line="211" w:lineRule="auto"/>
        <w:rPr>
          <w:sz w:val="20"/>
          <w:szCs w:val="20"/>
          <w:color w:val="auto"/>
        </w:rPr>
      </w:pPr>
      <w:r>
        <w:rPr>
          <w:rFonts w:ascii="Arial" w:cs="Arial" w:eastAsia="Arial" w:hAnsi="Arial"/>
          <w:sz w:val="32"/>
          <w:szCs w:val="32"/>
          <w:b w:val="1"/>
          <w:bCs w:val="1"/>
          <w:color w:val="auto"/>
        </w:rPr>
        <w:t>2</w:t>
      </w:r>
    </w:p>
    <w:p>
      <w:pPr>
        <w:spacing w:after="0" w:line="1" w:lineRule="exact"/>
        <w:rPr>
          <w:sz w:val="20"/>
          <w:szCs w:val="20"/>
          <w:color w:val="auto"/>
        </w:rPr>
      </w:pPr>
    </w:p>
    <w:p>
      <w:pPr>
        <w:ind w:left="1680" w:hanging="254"/>
        <w:spacing w:after="0" w:line="207" w:lineRule="exact"/>
        <w:tabs>
          <w:tab w:leader="none" w:pos="16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85"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SOURCE OF FUNDS (SEE INSTRUCTIONS)</w:t>
      </w:r>
    </w:p>
    <w:p>
      <w:pPr>
        <w:ind w:left="620"/>
        <w:spacing w:after="0" w:line="215" w:lineRule="auto"/>
        <w:rPr>
          <w:sz w:val="20"/>
          <w:szCs w:val="20"/>
          <w:color w:val="auto"/>
        </w:rPr>
      </w:pPr>
      <w:r>
        <w:rPr>
          <w:rFonts w:ascii="Arial" w:cs="Arial" w:eastAsia="Arial" w:hAnsi="Arial"/>
          <w:sz w:val="32"/>
          <w:szCs w:val="32"/>
          <w:b w:val="1"/>
          <w:bCs w:val="1"/>
          <w:color w:val="auto"/>
        </w:rPr>
        <w:t>4</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N/A</w:t>
      </w:r>
    </w:p>
    <w:p>
      <w:pPr>
        <w:spacing w:after="0" w:line="84"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p>
      <w:pPr>
        <w:ind w:left="1480" w:hanging="857"/>
        <w:spacing w:after="0" w:line="182" w:lineRule="auto"/>
        <w:tabs>
          <w:tab w:leader="none" w:pos="1480" w:val="left"/>
        </w:tabs>
        <w:numPr>
          <w:ilvl w:val="0"/>
          <w:numId w:val="6"/>
        </w:numPr>
        <w:rPr>
          <w:rFonts w:ascii="Arial" w:cs="Arial" w:eastAsia="Arial" w:hAnsi="Arial"/>
          <w:sz w:val="34"/>
          <w:szCs w:val="34"/>
          <w:b w:val="1"/>
          <w:bCs w:val="1"/>
          <w:color w:val="auto"/>
          <w:vertAlign w:val="subscript"/>
        </w:rPr>
      </w:pPr>
      <w:r>
        <w:rPr>
          <w:rFonts w:ascii="Arial" w:cs="Arial" w:eastAsia="Arial" w:hAnsi="Arial"/>
          <w:sz w:val="15"/>
          <w:szCs w:val="15"/>
          <w:color w:val="auto"/>
        </w:rPr>
        <w:t>2(e)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200" w:type="dxa"/>
            <w:vAlign w:val="bottom"/>
            <w:tcBorders>
              <w:bottom w:val="single" w:sz="8" w:color="auto"/>
            </w:tcBorders>
            <w:gridSpan w:val="2"/>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9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1420" w:type="dxa"/>
            <w:vAlign w:val="bottom"/>
            <w:gridSpan w:val="3"/>
          </w:tcPr>
          <w:p>
            <w:pPr>
              <w:ind w:left="1420"/>
              <w:spacing w:after="0" w:line="186" w:lineRule="exact"/>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337"/>
        </w:trPr>
        <w:tc>
          <w:tcPr>
            <w:tcW w:w="2040" w:type="dxa"/>
            <w:vAlign w:val="bottom"/>
          </w:tcPr>
          <w:p>
            <w:pPr>
              <w:jc w:val="right"/>
              <w:ind w:right="1162"/>
              <w:spacing w:after="0" w:line="336" w:lineRule="exact"/>
              <w:rPr>
                <w:sz w:val="20"/>
                <w:szCs w:val="20"/>
                <w:color w:val="auto"/>
              </w:rPr>
            </w:pPr>
            <w:r>
              <w:rPr>
                <w:rFonts w:ascii="Arial" w:cs="Arial" w:eastAsia="Arial" w:hAnsi="Arial"/>
                <w:sz w:val="32"/>
                <w:szCs w:val="32"/>
                <w:b w:val="1"/>
                <w:bCs w:val="1"/>
                <w:color w:val="auto"/>
              </w:rPr>
              <w:t>6</w:t>
            </w:r>
          </w:p>
        </w:tc>
        <w:tc>
          <w:tcPr>
            <w:tcW w:w="16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1440"/>
              <w:spacing w:after="0"/>
              <w:rPr>
                <w:sz w:val="20"/>
                <w:szCs w:val="20"/>
                <w:color w:val="auto"/>
              </w:rPr>
            </w:pPr>
            <w:r>
              <w:rPr>
                <w:rFonts w:ascii="Arial" w:cs="Arial" w:eastAsia="Arial" w:hAnsi="Arial"/>
                <w:sz w:val="18"/>
                <w:szCs w:val="18"/>
                <w:color w:val="auto"/>
                <w:w w:val="99"/>
              </w:rPr>
              <w:t>Germany</w:t>
            </w:r>
          </w:p>
        </w:tc>
        <w:tc>
          <w:tcPr>
            <w:tcW w:w="9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20" w:type="dxa"/>
            <w:vAlign w:val="bottom"/>
          </w:tcPr>
          <w:p>
            <w:pPr>
              <w:ind w:left="580"/>
              <w:spacing w:after="0" w:line="182" w:lineRule="exact"/>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37"/>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20" w:type="dxa"/>
            <w:vAlign w:val="bottom"/>
          </w:tcPr>
          <w:p>
            <w:pPr>
              <w:jc w:val="right"/>
              <w:ind w:right="8826"/>
              <w:spacing w:after="0" w:line="336" w:lineRule="exact"/>
              <w:rPr>
                <w:sz w:val="20"/>
                <w:szCs w:val="20"/>
                <w:color w:val="auto"/>
              </w:rPr>
            </w:pPr>
            <w:r>
              <w:rPr>
                <w:rFonts w:ascii="Arial" w:cs="Arial" w:eastAsia="Arial" w:hAnsi="Arial"/>
                <w:sz w:val="32"/>
                <w:szCs w:val="32"/>
                <w:b w:val="1"/>
                <w:bCs w:val="1"/>
                <w:color w:val="auto"/>
              </w:rPr>
              <w:t>7</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20" w:type="dxa"/>
            <w:vAlign w:val="bottom"/>
          </w:tcPr>
          <w:p>
            <w:pPr>
              <w:ind w:left="5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20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20" w:type="dxa"/>
            <w:vAlign w:val="bottom"/>
          </w:tcPr>
          <w:p>
            <w:pPr>
              <w:ind w:left="580"/>
              <w:spacing w:after="0" w:line="182"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99"/>
        </w:trPr>
        <w:tc>
          <w:tcPr>
            <w:tcW w:w="2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8"/>
              </w:rPr>
              <w:t>NUMBER OF SHARES</w:t>
            </w:r>
          </w:p>
        </w:tc>
        <w:tc>
          <w:tcPr>
            <w:tcW w:w="9220" w:type="dxa"/>
            <w:vAlign w:val="bottom"/>
          </w:tcPr>
          <w:p>
            <w:pPr>
              <w:jc w:val="right"/>
              <w:ind w:right="8826"/>
              <w:spacing w:after="0" w:line="298" w:lineRule="exact"/>
              <w:rPr>
                <w:sz w:val="20"/>
                <w:szCs w:val="20"/>
                <w:color w:val="auto"/>
              </w:rPr>
            </w:pPr>
            <w:r>
              <w:rPr>
                <w:rFonts w:ascii="Arial" w:cs="Arial" w:eastAsia="Arial" w:hAnsi="Arial"/>
                <w:sz w:val="32"/>
                <w:szCs w:val="32"/>
                <w:b w:val="1"/>
                <w:bCs w:val="1"/>
                <w:color w:val="auto"/>
              </w:rPr>
              <w:t>8</w:t>
            </w:r>
          </w:p>
        </w:tc>
        <w:tc>
          <w:tcPr>
            <w:tcW w:w="0" w:type="dxa"/>
            <w:vAlign w:val="bottom"/>
          </w:tcPr>
          <w:p>
            <w:pPr>
              <w:spacing w:after="0"/>
              <w:rPr>
                <w:sz w:val="1"/>
                <w:szCs w:val="1"/>
                <w:color w:val="auto"/>
              </w:rPr>
            </w:pPr>
          </w:p>
        </w:tc>
      </w:tr>
      <w:tr>
        <w:trPr>
          <w:trHeight w:val="214"/>
        </w:trPr>
        <w:tc>
          <w:tcPr>
            <w:tcW w:w="2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BENEFICIALLY</w:t>
            </w:r>
          </w:p>
        </w:tc>
        <w:tc>
          <w:tcPr>
            <w:tcW w:w="9220" w:type="dxa"/>
            <w:vAlign w:val="bottom"/>
          </w:tcPr>
          <w:p>
            <w:pPr>
              <w:ind w:left="580"/>
              <w:spacing w:after="0"/>
              <w:rPr>
                <w:sz w:val="20"/>
                <w:szCs w:val="20"/>
                <w:color w:val="auto"/>
              </w:rPr>
            </w:pPr>
            <w:r>
              <w:rPr>
                <w:rFonts w:ascii="Arial" w:cs="Arial" w:eastAsia="Arial" w:hAnsi="Arial"/>
                <w:sz w:val="18"/>
                <w:szCs w:val="18"/>
                <w:color w:val="auto"/>
              </w:rPr>
              <w:t>4,319,717</w:t>
            </w:r>
          </w:p>
        </w:tc>
        <w:tc>
          <w:tcPr>
            <w:tcW w:w="0" w:type="dxa"/>
            <w:vAlign w:val="bottom"/>
          </w:tcPr>
          <w:p>
            <w:pPr>
              <w:spacing w:after="0"/>
              <w:rPr>
                <w:sz w:val="1"/>
                <w:szCs w:val="1"/>
                <w:color w:val="auto"/>
              </w:rPr>
            </w:pPr>
          </w:p>
        </w:tc>
      </w:tr>
      <w:tr>
        <w:trPr>
          <w:trHeight w:val="108"/>
        </w:trPr>
        <w:tc>
          <w:tcPr>
            <w:tcW w:w="2040" w:type="dxa"/>
            <w:vAlign w:val="bottom"/>
            <w:vMerge w:val="restart"/>
          </w:tcPr>
          <w:p>
            <w:pPr>
              <w:jc w:val="center"/>
              <w:spacing w:after="0" w:line="198" w:lineRule="exact"/>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9"/>
                <w:szCs w:val="9"/>
                <w:color w:val="auto"/>
              </w:rPr>
            </w:pPr>
          </w:p>
        </w:tc>
        <w:tc>
          <w:tcPr>
            <w:tcW w:w="9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9220" w:type="dxa"/>
            <w:vAlign w:val="bottom"/>
            <w:vMerge w:val="restart"/>
          </w:tcPr>
          <w:p>
            <w:pPr>
              <w:ind w:left="580"/>
              <w:spacing w:after="0" w:line="182"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13"/>
        </w:trPr>
        <w:tc>
          <w:tcPr>
            <w:tcW w:w="220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8"/>
              </w:rPr>
              <w:t>REPORTING PERSON</w:t>
            </w:r>
          </w:p>
        </w:tc>
        <w:tc>
          <w:tcPr>
            <w:tcW w:w="9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200" w:type="dxa"/>
            <w:vAlign w:val="bottom"/>
            <w:gridSpan w:val="2"/>
            <w:vMerge w:val="continue"/>
          </w:tcPr>
          <w:p>
            <w:pPr>
              <w:spacing w:after="0"/>
              <w:rPr>
                <w:sz w:val="8"/>
                <w:szCs w:val="8"/>
                <w:color w:val="auto"/>
              </w:rPr>
            </w:pPr>
          </w:p>
        </w:tc>
        <w:tc>
          <w:tcPr>
            <w:tcW w:w="9220" w:type="dxa"/>
            <w:vAlign w:val="bottom"/>
            <w:vMerge w:val="restart"/>
          </w:tcPr>
          <w:p>
            <w:pPr>
              <w:jc w:val="right"/>
              <w:ind w:right="8826"/>
              <w:spacing w:after="0" w:line="336" w:lineRule="exact"/>
              <w:rPr>
                <w:sz w:val="20"/>
                <w:szCs w:val="20"/>
                <w:color w:val="auto"/>
              </w:rPr>
            </w:pPr>
            <w:r>
              <w:rPr>
                <w:rFonts w:ascii="Arial" w:cs="Arial" w:eastAsia="Arial" w:hAnsi="Arial"/>
                <w:sz w:val="32"/>
                <w:szCs w:val="32"/>
                <w:b w:val="1"/>
                <w:bCs w:val="1"/>
                <w:color w:val="auto"/>
              </w:rPr>
              <w:t>9</w:t>
            </w:r>
          </w:p>
        </w:tc>
        <w:tc>
          <w:tcPr>
            <w:tcW w:w="0" w:type="dxa"/>
            <w:vAlign w:val="bottom"/>
          </w:tcPr>
          <w:p>
            <w:pPr>
              <w:spacing w:after="0"/>
              <w:rPr>
                <w:sz w:val="1"/>
                <w:szCs w:val="1"/>
                <w:color w:val="auto"/>
              </w:rPr>
            </w:pPr>
          </w:p>
        </w:tc>
      </w:tr>
      <w:tr>
        <w:trPr>
          <w:trHeight w:val="234"/>
        </w:trPr>
        <w:tc>
          <w:tcPr>
            <w:tcW w:w="2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WITH</w:t>
            </w:r>
          </w:p>
        </w:tc>
        <w:tc>
          <w:tcPr>
            <w:tcW w:w="9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20" w:type="dxa"/>
            <w:vAlign w:val="bottom"/>
          </w:tcPr>
          <w:p>
            <w:pPr>
              <w:ind w:left="5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SHARED DISPOSITIVE POWER</w:t>
      </w:r>
    </w:p>
    <w:p>
      <w:pPr>
        <w:ind w:left="2220"/>
        <w:spacing w:after="0" w:line="215" w:lineRule="auto"/>
        <w:rPr>
          <w:sz w:val="20"/>
          <w:szCs w:val="20"/>
          <w:color w:val="auto"/>
        </w:rPr>
      </w:pPr>
      <w:r>
        <w:rPr>
          <w:rFonts w:ascii="Arial" w:cs="Arial" w:eastAsia="Arial" w:hAnsi="Arial"/>
          <w:sz w:val="32"/>
          <w:szCs w:val="32"/>
          <w:b w:val="1"/>
          <w:bCs w:val="1"/>
          <w:color w:val="auto"/>
        </w:rPr>
        <w:t>10</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4,319,717</w:t>
      </w:r>
    </w:p>
    <w:p>
      <w:pPr>
        <w:spacing w:after="0" w:line="7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AGGREGATE AMOUNT BENEFICIALLY OWNED BY EACH REPORTING PERSON</w:t>
      </w:r>
    </w:p>
    <w:p>
      <w:pPr>
        <w:ind w:left="560"/>
        <w:spacing w:after="0" w:line="215" w:lineRule="auto"/>
        <w:rPr>
          <w:sz w:val="20"/>
          <w:szCs w:val="20"/>
          <w:color w:val="auto"/>
        </w:rPr>
      </w:pPr>
      <w:r>
        <w:rPr>
          <w:rFonts w:ascii="Arial" w:cs="Arial" w:eastAsia="Arial" w:hAnsi="Arial"/>
          <w:sz w:val="32"/>
          <w:szCs w:val="32"/>
          <w:b w:val="1"/>
          <w:bCs w:val="1"/>
          <w:color w:val="auto"/>
        </w:rPr>
        <w:t>11</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4,319,717</w:t>
      </w:r>
    </w:p>
    <w:p>
      <w:pPr>
        <w:spacing w:after="0" w:line="84"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p>
      <w:pPr>
        <w:ind w:left="540"/>
        <w:spacing w:after="0" w:line="181" w:lineRule="auto"/>
        <w:tabs>
          <w:tab w:leader="none" w:pos="1400" w:val="left"/>
        </w:tabs>
        <w:rPr>
          <w:sz w:val="20"/>
          <w:szCs w:val="20"/>
          <w:color w:val="auto"/>
        </w:rPr>
      </w:pPr>
      <w:r>
        <w:rPr>
          <w:rFonts w:ascii="Arial" w:cs="Arial" w:eastAsia="Arial" w:hAnsi="Arial"/>
          <w:sz w:val="28"/>
          <w:szCs w:val="28"/>
          <w:b w:val="1"/>
          <w:bCs w:val="1"/>
          <w:color w:val="auto"/>
          <w:vertAlign w:val="subscript"/>
        </w:rPr>
        <w:t>12</w:t>
      </w:r>
      <w:r>
        <w:rPr>
          <w:sz w:val="20"/>
          <w:szCs w:val="20"/>
          <w:color w:val="auto"/>
        </w:rPr>
        <w:tab/>
      </w:r>
      <w:r>
        <w:rPr>
          <w:rFonts w:ascii="Arial" w:cs="Arial" w:eastAsia="Arial" w:hAnsi="Arial"/>
          <w:sz w:val="14"/>
          <w:szCs w:val="14"/>
          <w:b w:val="1"/>
          <w:bCs w:val="1"/>
          <w:color w:val="auto"/>
        </w:rPr>
        <w:t>INSTRUCTIONS)</w:t>
      </w:r>
    </w:p>
    <w:p>
      <w:pPr>
        <w:spacing w:after="0" w:line="251" w:lineRule="exact"/>
        <w:rPr>
          <w:sz w:val="20"/>
          <w:szCs w:val="20"/>
          <w:color w:val="auto"/>
        </w:rPr>
      </w:pPr>
    </w:p>
    <w:p>
      <w:pPr>
        <w:ind w:left="1420"/>
        <w:spacing w:after="0" w:line="181" w:lineRule="exact"/>
        <w:rPr>
          <w:sz w:val="20"/>
          <w:szCs w:val="20"/>
          <w:color w:val="auto"/>
        </w:rPr>
      </w:pPr>
      <w:r>
        <w:rPr>
          <w:rFonts w:ascii="MS PGothic" w:cs="MS PGothic" w:eastAsia="MS PGothic" w:hAnsi="MS PGothic"/>
          <w:sz w:val="18"/>
          <w:szCs w:val="18"/>
          <w:color w:val="auto"/>
        </w:rPr>
        <w:t>☐</w:t>
      </w:r>
    </w:p>
    <w:p>
      <w:pPr>
        <w:spacing w:after="0" w:line="15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PERCENT OF CLASS REPRESENTED BY AMOUNT IN ROW (11)</w:t>
      </w:r>
    </w:p>
    <w:p>
      <w:pPr>
        <w:ind w:left="540"/>
        <w:spacing w:after="0" w:line="215" w:lineRule="auto"/>
        <w:rPr>
          <w:sz w:val="20"/>
          <w:szCs w:val="20"/>
          <w:color w:val="auto"/>
        </w:rPr>
      </w:pPr>
      <w:r>
        <w:rPr>
          <w:rFonts w:ascii="Arial" w:cs="Arial" w:eastAsia="Arial" w:hAnsi="Arial"/>
          <w:sz w:val="32"/>
          <w:szCs w:val="32"/>
          <w:b w:val="1"/>
          <w:bCs w:val="1"/>
          <w:color w:val="auto"/>
        </w:rPr>
        <w:t>13</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7.2%</w:t>
      </w:r>
    </w:p>
    <w:p>
      <w:pPr>
        <w:spacing w:after="0" w:line="7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line="215" w:lineRule="auto"/>
        <w:rPr>
          <w:sz w:val="20"/>
          <w:szCs w:val="20"/>
          <w:color w:val="auto"/>
        </w:rPr>
      </w:pPr>
      <w:r>
        <w:rPr>
          <w:rFonts w:ascii="Arial" w:cs="Arial" w:eastAsia="Arial" w:hAnsi="Arial"/>
          <w:sz w:val="32"/>
          <w:szCs w:val="32"/>
          <w:b w:val="1"/>
          <w:bCs w:val="1"/>
          <w:color w:val="auto"/>
        </w:rPr>
        <w:t>14</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776605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SCHEDULE 13D/A</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Introduction</w:t>
      </w:r>
    </w:p>
    <w:p>
      <w:pPr>
        <w:spacing w:after="0" w:line="239"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This Amendment No. 1 (this “Amendment No. 1”) to Schedule 13D amends the statement on Schedule 13D (the “Schedule 13D”), originally filed with the Securities and Exchange Commission (the “Commission”) on October 28, 2016 (the “Original Filing Date”) by Bayer Global Investments B.V. (the “Company”) and Bayer AG, the 100% owner, through subsidiaries, of the Company (the “Owner” and together with the Company, the “Reporting Persons”). This Amendment No. 1 relates to the sale by the Reporting Persons of 1,389,030 shares of common stock, having a nominal value of CHF 0.03 per share (the “Common Stock”), of CRISPR Therapeutics AG (the “Issuer”) which resulted in a decrease in the Reporting Persons’ beneficial ownership to 7.2% as of January 8, 2020. Capitalized terms not otherwise defined in this Amendment No. 1 shall have the same meaning assigned to them in the Schedule 13D.</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Identity and Background.</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Item 2 of the Schedule 13D is hereby amended by adding the following to the end thereof.</w:t>
      </w:r>
    </w:p>
    <w:p>
      <w:pPr>
        <w:spacing w:after="0" w:line="98" w:lineRule="exact"/>
        <w:rPr>
          <w:sz w:val="20"/>
          <w:szCs w:val="20"/>
          <w:color w:val="auto"/>
        </w:rPr>
      </w:pPr>
    </w:p>
    <w:p>
      <w:pPr>
        <w:ind w:left="340" w:right="500"/>
        <w:spacing w:after="0" w:line="251" w:lineRule="auto"/>
        <w:rPr>
          <w:sz w:val="20"/>
          <w:szCs w:val="20"/>
          <w:color w:val="auto"/>
        </w:rPr>
      </w:pPr>
      <w:r>
        <w:rPr>
          <w:rFonts w:ascii="Arial" w:cs="Arial" w:eastAsia="Arial" w:hAnsi="Arial"/>
          <w:sz w:val="22"/>
          <w:szCs w:val="22"/>
          <w:color w:val="auto"/>
        </w:rPr>
        <w:t>In connection with the filing of Amendment No. 1 to the Schedule 13D, Exhibits A and B have been updated and are filed herewith.</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Purpose of Transaction.</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Item 4 of the Schedule 13D is hereby amended by adding the following to the end thereof:</w:t>
      </w:r>
    </w:p>
    <w:p>
      <w:pPr>
        <w:spacing w:after="0" w:line="206" w:lineRule="exact"/>
        <w:rPr>
          <w:sz w:val="20"/>
          <w:szCs w:val="20"/>
          <w:color w:val="auto"/>
        </w:rPr>
      </w:pPr>
    </w:p>
    <w:p>
      <w:pPr>
        <w:ind w:left="340"/>
        <w:spacing w:after="0" w:line="238" w:lineRule="auto"/>
        <w:rPr>
          <w:sz w:val="20"/>
          <w:szCs w:val="20"/>
          <w:color w:val="auto"/>
        </w:rPr>
      </w:pPr>
      <w:r>
        <w:rPr>
          <w:rFonts w:ascii="Arial" w:cs="Arial" w:eastAsia="Arial" w:hAnsi="Arial"/>
          <w:sz w:val="22"/>
          <w:szCs w:val="22"/>
          <w:color w:val="auto"/>
        </w:rPr>
        <w:t>From December 18, 2019 to January 8, 2020, the Reporting Persons sold an aggregate of 1,389,030 shares of Common Stock of the Issuer in a series of open market transactions at various prices. Information regarding the sales is set forth in Item 5(c). The Reporting Persons may engage in additional sales of the Issuer’s Common Stock as described in the second paragraph of this Item 4.</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Interest in Securities of the Issuer.</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Paragraphs (a) and (b) of Item 5 of the Schedule 13D are hereby amended and restated in their entirety as follows:</w:t>
      </w:r>
    </w:p>
    <w:p>
      <w:pPr>
        <w:spacing w:after="0" w:line="98" w:lineRule="exact"/>
        <w:rPr>
          <w:sz w:val="20"/>
          <w:szCs w:val="20"/>
          <w:color w:val="auto"/>
        </w:rPr>
      </w:pPr>
    </w:p>
    <w:p>
      <w:pPr>
        <w:ind w:left="340" w:right="320" w:hanging="8"/>
        <w:spacing w:after="0" w:line="251" w:lineRule="auto"/>
        <w:tabs>
          <w:tab w:leader="none" w:pos="634" w:val="left"/>
        </w:tabs>
        <w:numPr>
          <w:ilvl w:val="0"/>
          <w:numId w:val="7"/>
        </w:numPr>
        <w:rPr>
          <w:rFonts w:ascii="Arial" w:cs="Arial" w:eastAsia="Arial" w:hAnsi="Arial"/>
          <w:sz w:val="22"/>
          <w:szCs w:val="22"/>
          <w:color w:val="auto"/>
        </w:rPr>
      </w:pPr>
      <w:r>
        <w:rPr>
          <w:rFonts w:ascii="Arial" w:cs="Arial" w:eastAsia="Arial" w:hAnsi="Arial"/>
          <w:sz w:val="22"/>
          <w:szCs w:val="22"/>
          <w:color w:val="auto"/>
        </w:rPr>
        <w:t>To the knowledge of the Reporting Persons, no director or executive officer of either Reporting Person beneficially owns any shares of Common Stock of the Issuer.</w:t>
      </w:r>
    </w:p>
    <w:p>
      <w:pPr>
        <w:spacing w:after="0" w:line="65" w:lineRule="exact"/>
        <w:rPr>
          <w:sz w:val="20"/>
          <w:szCs w:val="20"/>
          <w:color w:val="auto"/>
        </w:rPr>
      </w:pPr>
    </w:p>
    <w:p>
      <w:pPr>
        <w:ind w:left="340" w:right="80"/>
        <w:spacing w:after="0" w:line="252" w:lineRule="auto"/>
        <w:rPr>
          <w:sz w:val="20"/>
          <w:szCs w:val="20"/>
          <w:color w:val="auto"/>
        </w:rPr>
      </w:pPr>
      <w:r>
        <w:rPr>
          <w:rFonts w:ascii="Arial" w:cs="Arial" w:eastAsia="Arial" w:hAnsi="Arial"/>
          <w:sz w:val="21"/>
          <w:szCs w:val="21"/>
          <w:color w:val="auto"/>
        </w:rPr>
        <w:t>As of the Original Filing Date, the Company beneficially owned 5,105,330 shares of Common Stock of the Issuer. As the Company is indirectly wholly-owned by the Owner, the Owner also beneficially owned the same 5,105,330 shares of Common Stock as of the Original Filing Date, which then represented 12.8% of the outstanding shares of the Issuer as calculated under Rule 13d-3 of the Securities Exchange Act of 1934, as amended.</w:t>
      </w:r>
    </w:p>
    <w:p>
      <w:pPr>
        <w:spacing w:after="0" w:line="66" w:lineRule="exact"/>
        <w:rPr>
          <w:sz w:val="20"/>
          <w:szCs w:val="20"/>
          <w:color w:val="auto"/>
        </w:rPr>
      </w:pPr>
    </w:p>
    <w:p>
      <w:pPr>
        <w:ind w:left="340"/>
        <w:spacing w:after="0" w:line="235" w:lineRule="auto"/>
        <w:rPr>
          <w:sz w:val="20"/>
          <w:szCs w:val="20"/>
          <w:color w:val="auto"/>
        </w:rPr>
      </w:pPr>
      <w:r>
        <w:rPr>
          <w:rFonts w:ascii="Arial" w:cs="Arial" w:eastAsia="Arial" w:hAnsi="Arial"/>
          <w:sz w:val="22"/>
          <w:szCs w:val="22"/>
          <w:color w:val="auto"/>
        </w:rPr>
        <w:t>From December 18, 2019 to January 8, 2020, the Reporting Persons sold an aggregate of 1,389,030 shares of Common Stock of the Issuer in a series of open market transactions. As of December 18, 2019, prior to any sales on such date, the Reporting Persons beneficially owned less than 10% of the Issuer’s outstanding Common Stock as a result of the Issuer’s issuance of additional Common Stock since the Original Filing Date. As of January 8, 2020, the Reporting Persons beneficially owned an aggregate of 4,319,717 shares of the Issuer’s Common Stock, or approximately 7.2% of the Issuer’s Common Stock outstanding.</w:t>
      </w:r>
    </w:p>
    <w:p>
      <w:pPr>
        <w:spacing w:after="0" w:line="80" w:lineRule="exact"/>
        <w:rPr>
          <w:sz w:val="20"/>
          <w:szCs w:val="20"/>
          <w:color w:val="auto"/>
        </w:rPr>
      </w:pPr>
    </w:p>
    <w:p>
      <w:pPr>
        <w:ind w:left="340" w:right="40" w:hanging="8"/>
        <w:spacing w:after="0" w:line="251" w:lineRule="auto"/>
        <w:tabs>
          <w:tab w:leader="none" w:pos="646" w:val="left"/>
        </w:tabs>
        <w:numPr>
          <w:ilvl w:val="0"/>
          <w:numId w:val="8"/>
        </w:numPr>
        <w:rPr>
          <w:rFonts w:ascii="Arial" w:cs="Arial" w:eastAsia="Arial" w:hAnsi="Arial"/>
          <w:sz w:val="22"/>
          <w:szCs w:val="22"/>
          <w:color w:val="auto"/>
        </w:rPr>
      </w:pPr>
      <w:r>
        <w:rPr>
          <w:rFonts w:ascii="Arial" w:cs="Arial" w:eastAsia="Arial" w:hAnsi="Arial"/>
          <w:sz w:val="22"/>
          <w:szCs w:val="22"/>
          <w:color w:val="auto"/>
        </w:rPr>
        <w:t>As the Company is indirectly wholly-owned by the Owner, the Company and the Owner share voting and investment power over the Issuer’s Common Stock reported in the Schedule 13D and amendments thereto.</w:t>
      </w:r>
    </w:p>
    <w:p>
      <w:pPr>
        <w:spacing w:after="0" w:line="65" w:lineRule="exact"/>
        <w:rPr>
          <w:sz w:val="20"/>
          <w:szCs w:val="20"/>
          <w:color w:val="auto"/>
        </w:rPr>
      </w:pPr>
    </w:p>
    <w:p>
      <w:pPr>
        <w:ind w:left="340" w:right="220"/>
        <w:spacing w:after="0" w:line="251" w:lineRule="auto"/>
        <w:rPr>
          <w:sz w:val="20"/>
          <w:szCs w:val="20"/>
          <w:color w:val="auto"/>
        </w:rPr>
      </w:pPr>
      <w:r>
        <w:rPr>
          <w:rFonts w:ascii="Arial" w:cs="Arial" w:eastAsia="Arial" w:hAnsi="Arial"/>
          <w:sz w:val="22"/>
          <w:szCs w:val="22"/>
          <w:color w:val="auto"/>
        </w:rPr>
        <w:t>As of the Original Filing Date, the Reporting Persons shared voting and investment power over 5,105,330 shares of Common Stock of the Issuer.</w:t>
      </w:r>
    </w:p>
    <w:p>
      <w:pPr>
        <w:spacing w:after="0" w:line="65" w:lineRule="exact"/>
        <w:rPr>
          <w:sz w:val="20"/>
          <w:szCs w:val="20"/>
          <w:color w:val="auto"/>
        </w:rPr>
      </w:pPr>
    </w:p>
    <w:p>
      <w:pPr>
        <w:ind w:left="340" w:right="140"/>
        <w:spacing w:after="0" w:line="251" w:lineRule="auto"/>
        <w:rPr>
          <w:sz w:val="20"/>
          <w:szCs w:val="20"/>
          <w:color w:val="auto"/>
        </w:rPr>
      </w:pPr>
      <w:r>
        <w:rPr>
          <w:rFonts w:ascii="Arial" w:cs="Arial" w:eastAsia="Arial" w:hAnsi="Arial"/>
          <w:sz w:val="22"/>
          <w:szCs w:val="22"/>
          <w:color w:val="auto"/>
        </w:rPr>
        <w:t>As of January 8, 2020, the Reporting Persons shared voting and investment power over 4,319,717 shares of Common Stock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767080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Item 5(c) of the Schedule 13D is hereby amended and restated in its entirety as follows:</w:t>
      </w:r>
    </w:p>
    <w:p>
      <w:pPr>
        <w:spacing w:after="0" w:line="206" w:lineRule="exact"/>
        <w:rPr>
          <w:sz w:val="20"/>
          <w:szCs w:val="20"/>
          <w:color w:val="auto"/>
        </w:rPr>
      </w:pPr>
    </w:p>
    <w:p>
      <w:pPr>
        <w:ind w:left="340" w:right="180" w:hanging="8"/>
        <w:spacing w:after="0"/>
        <w:tabs>
          <w:tab w:leader="none" w:pos="634" w:val="left"/>
        </w:tabs>
        <w:numPr>
          <w:ilvl w:val="0"/>
          <w:numId w:val="9"/>
        </w:numPr>
        <w:rPr>
          <w:rFonts w:ascii="Arial" w:cs="Arial" w:eastAsia="Arial" w:hAnsi="Arial"/>
          <w:sz w:val="22"/>
          <w:szCs w:val="22"/>
          <w:color w:val="auto"/>
        </w:rPr>
      </w:pPr>
      <w:r>
        <w:rPr>
          <w:rFonts w:ascii="Arial" w:cs="Arial" w:eastAsia="Arial" w:hAnsi="Arial"/>
          <w:sz w:val="22"/>
          <w:szCs w:val="22"/>
          <w:color w:val="auto"/>
        </w:rPr>
        <w:t>Other than the transactions described below, neither the Reporting Persons nor, to the knowledge of the Reporting Persons, any director or executive officer of either Reporting Person has effected any transaction in the Common Stock of the Issuer during the past 60 days.</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From December 18, 2019 to January 8, 2020, the Reporting Persons sold an aggregate of 1,389,030 shares of Common Stock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Issuer in a series of open market transactions at various prices as follows:</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1340" w:type="dxa"/>
            <w:vAlign w:val="bottom"/>
            <w:tcBorders>
              <w:top w:val="single" w:sz="8" w:color="auto"/>
              <w:left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20" w:type="dxa"/>
            <w:vAlign w:val="bottom"/>
            <w:tcBorders>
              <w:top w:val="single" w:sz="8" w:color="auto"/>
              <w:right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680" w:type="dxa"/>
            <w:vAlign w:val="bottom"/>
            <w:tcBorders>
              <w:top w:val="single" w:sz="8" w:color="auto"/>
              <w:right w:val="single" w:sz="8" w:color="auto"/>
            </w:tcBorders>
            <w:gridSpan w:val="2"/>
          </w:tcPr>
          <w:p>
            <w:pPr>
              <w:jc w:val="center"/>
              <w:ind w:right="1320"/>
              <w:spacing w:after="0"/>
              <w:rPr>
                <w:sz w:val="20"/>
                <w:szCs w:val="20"/>
                <w:color w:val="auto"/>
              </w:rPr>
            </w:pPr>
            <w:r>
              <w:rPr>
                <w:rFonts w:ascii="Arial" w:cs="Arial" w:eastAsia="Arial" w:hAnsi="Arial"/>
                <w:sz w:val="18"/>
                <w:szCs w:val="18"/>
                <w:color w:val="auto"/>
                <w:w w:val="89"/>
              </w:rPr>
              <w:t>Weighted Average</w:t>
            </w:r>
          </w:p>
        </w:tc>
      </w:tr>
      <w:tr>
        <w:trPr>
          <w:trHeight w:val="190"/>
        </w:trPr>
        <w:tc>
          <w:tcPr>
            <w:tcW w:w="3480" w:type="dxa"/>
            <w:vAlign w:val="bottom"/>
            <w:tcBorders>
              <w:left w:val="single" w:sz="8" w:color="auto"/>
              <w:right w:val="single" w:sz="8" w:color="auto"/>
            </w:tcBorders>
            <w:gridSpan w:val="3"/>
          </w:tcPr>
          <w:p>
            <w:pPr>
              <w:ind w:left="1340"/>
              <w:spacing w:after="0" w:line="190" w:lineRule="exact"/>
              <w:rPr>
                <w:sz w:val="20"/>
                <w:szCs w:val="20"/>
                <w:color w:val="auto"/>
              </w:rPr>
            </w:pPr>
            <w:r>
              <w:rPr>
                <w:rFonts w:ascii="Arial" w:cs="Arial" w:eastAsia="Arial" w:hAnsi="Arial"/>
                <w:sz w:val="18"/>
                <w:szCs w:val="18"/>
                <w:color w:val="auto"/>
              </w:rPr>
              <w:t>Trade Date</w:t>
            </w:r>
          </w:p>
        </w:tc>
        <w:tc>
          <w:tcPr>
            <w:tcW w:w="4020" w:type="dxa"/>
            <w:vAlign w:val="bottom"/>
            <w:tcBorders>
              <w:right w:val="single" w:sz="8" w:color="auto"/>
            </w:tcBorders>
            <w:gridSpan w:val="3"/>
          </w:tcPr>
          <w:p>
            <w:pPr>
              <w:ind w:left="1540"/>
              <w:spacing w:after="0" w:line="190" w:lineRule="exact"/>
              <w:rPr>
                <w:sz w:val="20"/>
                <w:szCs w:val="20"/>
                <w:color w:val="auto"/>
              </w:rPr>
            </w:pPr>
            <w:r>
              <w:rPr>
                <w:rFonts w:ascii="Arial" w:cs="Arial" w:eastAsia="Arial" w:hAnsi="Arial"/>
                <w:sz w:val="18"/>
                <w:szCs w:val="18"/>
                <w:color w:val="auto"/>
              </w:rPr>
              <w:t>Shares Sold</w:t>
            </w:r>
          </w:p>
        </w:tc>
        <w:tc>
          <w:tcPr>
            <w:tcW w:w="3940" w:type="dxa"/>
            <w:vAlign w:val="bottom"/>
            <w:tcBorders>
              <w:right w:val="single" w:sz="8" w:color="auto"/>
            </w:tcBorders>
            <w:gridSpan w:val="3"/>
          </w:tcPr>
          <w:p>
            <w:pPr>
              <w:jc w:val="center"/>
              <w:ind w:right="60"/>
              <w:spacing w:after="0" w:line="190" w:lineRule="exact"/>
              <w:rPr>
                <w:sz w:val="20"/>
                <w:szCs w:val="20"/>
                <w:color w:val="auto"/>
              </w:rPr>
            </w:pPr>
            <w:r>
              <w:rPr>
                <w:rFonts w:ascii="Arial" w:cs="Arial" w:eastAsia="Arial" w:hAnsi="Arial"/>
                <w:sz w:val="18"/>
                <w:szCs w:val="18"/>
                <w:color w:val="auto"/>
                <w:w w:val="88"/>
              </w:rPr>
              <w:t xml:space="preserve">Price Per Share </w:t>
            </w:r>
            <w:r>
              <w:rPr>
                <w:rFonts w:ascii="Arial" w:cs="Arial" w:eastAsia="Arial" w:hAnsi="Arial"/>
                <w:sz w:val="18"/>
                <w:szCs w:val="18"/>
                <w:u w:val="single" w:color="auto"/>
                <w:color w:val="auto"/>
                <w:w w:val="88"/>
              </w:rPr>
              <w:t>($</w:t>
            </w:r>
            <w:r>
              <w:rPr>
                <w:rFonts w:ascii="Arial" w:cs="Arial" w:eastAsia="Arial" w:hAnsi="Arial"/>
                <w:sz w:val="18"/>
                <w:szCs w:val="18"/>
                <w:color w:val="auto"/>
                <w:w w:val="88"/>
              </w:rPr>
              <w:t>)</w:t>
            </w:r>
          </w:p>
        </w:tc>
      </w:tr>
      <w:tr>
        <w:trPr>
          <w:trHeight w:val="21"/>
        </w:trPr>
        <w:tc>
          <w:tcPr>
            <w:tcW w:w="13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3480" w:type="dxa"/>
            <w:vAlign w:val="bottom"/>
            <w:tcBorders>
              <w:left w:val="single" w:sz="8" w:color="auto"/>
              <w:bottom w:val="single" w:sz="8" w:color="auto"/>
              <w:right w:val="single" w:sz="8" w:color="auto"/>
            </w:tcBorders>
            <w:gridSpan w:val="3"/>
          </w:tcPr>
          <w:p>
            <w:pPr>
              <w:ind w:left="1320"/>
              <w:spacing w:after="0"/>
              <w:rPr>
                <w:sz w:val="20"/>
                <w:szCs w:val="20"/>
                <w:color w:val="auto"/>
              </w:rPr>
            </w:pPr>
            <w:r>
              <w:rPr>
                <w:rFonts w:ascii="Arial" w:cs="Arial" w:eastAsia="Arial" w:hAnsi="Arial"/>
                <w:sz w:val="18"/>
                <w:szCs w:val="18"/>
                <w:color w:val="auto"/>
              </w:rPr>
              <w:t>2019-12-18</w:t>
            </w:r>
          </w:p>
        </w:tc>
        <w:tc>
          <w:tcPr>
            <w:tcW w:w="240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w w:val="93"/>
              </w:rPr>
              <w:t>40,000*</w:t>
            </w:r>
          </w:p>
        </w:tc>
        <w:tc>
          <w:tcPr>
            <w:tcW w:w="16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tcBorders>
            <w:gridSpan w:val="2"/>
          </w:tcPr>
          <w:p>
            <w:pPr>
              <w:jc w:val="center"/>
              <w:ind w:left="1170"/>
              <w:spacing w:after="0"/>
              <w:rPr>
                <w:sz w:val="20"/>
                <w:szCs w:val="20"/>
                <w:color w:val="auto"/>
              </w:rPr>
            </w:pPr>
            <w:r>
              <w:rPr>
                <w:rFonts w:ascii="Arial" w:cs="Arial" w:eastAsia="Arial" w:hAnsi="Arial"/>
                <w:sz w:val="18"/>
                <w:szCs w:val="18"/>
                <w:color w:val="auto"/>
                <w:w w:val="88"/>
              </w:rPr>
              <w:t>65.75</w:t>
            </w:r>
          </w:p>
        </w:tc>
        <w:tc>
          <w:tcPr>
            <w:tcW w:w="1320" w:type="dxa"/>
            <w:vAlign w:val="bottom"/>
            <w:tcBorders>
              <w:bottom w:val="single" w:sz="8" w:color="auto"/>
              <w:right w:val="single" w:sz="8" w:color="auto"/>
            </w:tcBorders>
          </w:tcPr>
          <w:p>
            <w:pPr>
              <w:spacing w:after="0"/>
              <w:rPr>
                <w:sz w:val="18"/>
                <w:szCs w:val="18"/>
                <w:color w:val="auto"/>
              </w:rPr>
            </w:pPr>
          </w:p>
        </w:tc>
      </w:tr>
      <w:tr>
        <w:trPr>
          <w:trHeight w:val="210"/>
        </w:trPr>
        <w:tc>
          <w:tcPr>
            <w:tcW w:w="3480" w:type="dxa"/>
            <w:vAlign w:val="bottom"/>
            <w:tcBorders>
              <w:left w:val="single" w:sz="8" w:color="auto"/>
              <w:bottom w:val="single" w:sz="8" w:color="auto"/>
              <w:right w:val="single" w:sz="8" w:color="auto"/>
            </w:tcBorders>
            <w:gridSpan w:val="3"/>
          </w:tcPr>
          <w:p>
            <w:pPr>
              <w:ind w:left="1320"/>
              <w:spacing w:after="0"/>
              <w:rPr>
                <w:sz w:val="20"/>
                <w:szCs w:val="20"/>
                <w:color w:val="auto"/>
              </w:rPr>
            </w:pPr>
            <w:r>
              <w:rPr>
                <w:rFonts w:ascii="Arial" w:cs="Arial" w:eastAsia="Arial" w:hAnsi="Arial"/>
                <w:sz w:val="18"/>
                <w:szCs w:val="18"/>
                <w:color w:val="auto"/>
              </w:rPr>
              <w:t>2019-12-19</w:t>
            </w:r>
          </w:p>
        </w:tc>
        <w:tc>
          <w:tcPr>
            <w:tcW w:w="240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w w:val="93"/>
              </w:rPr>
              <w:t>35,945*</w:t>
            </w:r>
          </w:p>
        </w:tc>
        <w:tc>
          <w:tcPr>
            <w:tcW w:w="16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tcBorders>
            <w:gridSpan w:val="2"/>
          </w:tcPr>
          <w:p>
            <w:pPr>
              <w:jc w:val="center"/>
              <w:ind w:left="1170"/>
              <w:spacing w:after="0"/>
              <w:rPr>
                <w:sz w:val="20"/>
                <w:szCs w:val="20"/>
                <w:color w:val="auto"/>
              </w:rPr>
            </w:pPr>
            <w:r>
              <w:rPr>
                <w:rFonts w:ascii="Arial" w:cs="Arial" w:eastAsia="Arial" w:hAnsi="Arial"/>
                <w:sz w:val="18"/>
                <w:szCs w:val="18"/>
                <w:color w:val="auto"/>
                <w:w w:val="88"/>
              </w:rPr>
              <w:t>64.39</w:t>
            </w:r>
          </w:p>
        </w:tc>
        <w:tc>
          <w:tcPr>
            <w:tcW w:w="1320" w:type="dxa"/>
            <w:vAlign w:val="bottom"/>
            <w:tcBorders>
              <w:bottom w:val="single" w:sz="8" w:color="auto"/>
              <w:right w:val="single" w:sz="8" w:color="auto"/>
            </w:tcBorders>
          </w:tcPr>
          <w:p>
            <w:pPr>
              <w:spacing w:after="0"/>
              <w:rPr>
                <w:sz w:val="18"/>
                <w:szCs w:val="18"/>
                <w:color w:val="auto"/>
              </w:rPr>
            </w:pPr>
          </w:p>
        </w:tc>
      </w:tr>
      <w:tr>
        <w:trPr>
          <w:trHeight w:val="210"/>
        </w:trPr>
        <w:tc>
          <w:tcPr>
            <w:tcW w:w="3480" w:type="dxa"/>
            <w:vAlign w:val="bottom"/>
            <w:tcBorders>
              <w:left w:val="single" w:sz="8" w:color="auto"/>
              <w:bottom w:val="single" w:sz="8" w:color="auto"/>
              <w:right w:val="single" w:sz="8" w:color="auto"/>
            </w:tcBorders>
            <w:gridSpan w:val="3"/>
          </w:tcPr>
          <w:p>
            <w:pPr>
              <w:ind w:left="1320"/>
              <w:spacing w:after="0"/>
              <w:rPr>
                <w:sz w:val="20"/>
                <w:szCs w:val="20"/>
                <w:color w:val="auto"/>
              </w:rPr>
            </w:pPr>
            <w:r>
              <w:rPr>
                <w:rFonts w:ascii="Arial" w:cs="Arial" w:eastAsia="Arial" w:hAnsi="Arial"/>
                <w:sz w:val="18"/>
                <w:szCs w:val="18"/>
                <w:color w:val="auto"/>
              </w:rPr>
              <w:t>2019-12-23</w:t>
            </w:r>
          </w:p>
        </w:tc>
        <w:tc>
          <w:tcPr>
            <w:tcW w:w="240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w w:val="89"/>
              </w:rPr>
              <w:t>102,579</w:t>
            </w:r>
          </w:p>
        </w:tc>
        <w:tc>
          <w:tcPr>
            <w:tcW w:w="16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tcBorders>
            <w:gridSpan w:val="2"/>
          </w:tcPr>
          <w:p>
            <w:pPr>
              <w:jc w:val="center"/>
              <w:ind w:left="1170"/>
              <w:spacing w:after="0"/>
              <w:rPr>
                <w:sz w:val="20"/>
                <w:szCs w:val="20"/>
                <w:color w:val="auto"/>
              </w:rPr>
            </w:pPr>
            <w:r>
              <w:rPr>
                <w:rFonts w:ascii="Arial" w:cs="Arial" w:eastAsia="Arial" w:hAnsi="Arial"/>
                <w:sz w:val="18"/>
                <w:szCs w:val="18"/>
                <w:color w:val="auto"/>
                <w:w w:val="88"/>
              </w:rPr>
              <w:t>68.02</w:t>
            </w:r>
          </w:p>
        </w:tc>
        <w:tc>
          <w:tcPr>
            <w:tcW w:w="1320" w:type="dxa"/>
            <w:vAlign w:val="bottom"/>
            <w:tcBorders>
              <w:bottom w:val="single" w:sz="8" w:color="auto"/>
              <w:right w:val="single" w:sz="8" w:color="auto"/>
            </w:tcBorders>
          </w:tcPr>
          <w:p>
            <w:pPr>
              <w:spacing w:after="0"/>
              <w:rPr>
                <w:sz w:val="18"/>
                <w:szCs w:val="18"/>
                <w:color w:val="auto"/>
              </w:rPr>
            </w:pPr>
          </w:p>
        </w:tc>
      </w:tr>
      <w:tr>
        <w:trPr>
          <w:trHeight w:val="210"/>
        </w:trPr>
        <w:tc>
          <w:tcPr>
            <w:tcW w:w="3480" w:type="dxa"/>
            <w:vAlign w:val="bottom"/>
            <w:tcBorders>
              <w:left w:val="single" w:sz="8" w:color="auto"/>
              <w:bottom w:val="single" w:sz="8" w:color="auto"/>
              <w:right w:val="single" w:sz="8" w:color="auto"/>
            </w:tcBorders>
            <w:gridSpan w:val="3"/>
          </w:tcPr>
          <w:p>
            <w:pPr>
              <w:ind w:left="1320"/>
              <w:spacing w:after="0"/>
              <w:rPr>
                <w:sz w:val="20"/>
                <w:szCs w:val="20"/>
                <w:color w:val="auto"/>
              </w:rPr>
            </w:pPr>
            <w:r>
              <w:rPr>
                <w:rFonts w:ascii="Arial" w:cs="Arial" w:eastAsia="Arial" w:hAnsi="Arial"/>
                <w:sz w:val="18"/>
                <w:szCs w:val="18"/>
                <w:color w:val="auto"/>
              </w:rPr>
              <w:t>2019-12-24</w:t>
            </w:r>
          </w:p>
        </w:tc>
        <w:tc>
          <w:tcPr>
            <w:tcW w:w="240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w w:val="90"/>
              </w:rPr>
              <w:t>47,517</w:t>
            </w:r>
          </w:p>
        </w:tc>
        <w:tc>
          <w:tcPr>
            <w:tcW w:w="16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tcBorders>
            <w:gridSpan w:val="2"/>
          </w:tcPr>
          <w:p>
            <w:pPr>
              <w:jc w:val="center"/>
              <w:ind w:left="1170"/>
              <w:spacing w:after="0"/>
              <w:rPr>
                <w:sz w:val="20"/>
                <w:szCs w:val="20"/>
                <w:color w:val="auto"/>
              </w:rPr>
            </w:pPr>
            <w:r>
              <w:rPr>
                <w:rFonts w:ascii="Arial" w:cs="Arial" w:eastAsia="Arial" w:hAnsi="Arial"/>
                <w:sz w:val="18"/>
                <w:szCs w:val="18"/>
                <w:color w:val="auto"/>
                <w:w w:val="88"/>
              </w:rPr>
              <w:t>67.20</w:t>
            </w:r>
          </w:p>
        </w:tc>
        <w:tc>
          <w:tcPr>
            <w:tcW w:w="1320" w:type="dxa"/>
            <w:vAlign w:val="bottom"/>
            <w:tcBorders>
              <w:bottom w:val="single" w:sz="8" w:color="auto"/>
              <w:right w:val="single" w:sz="8" w:color="auto"/>
            </w:tcBorders>
          </w:tcPr>
          <w:p>
            <w:pPr>
              <w:spacing w:after="0"/>
              <w:rPr>
                <w:sz w:val="18"/>
                <w:szCs w:val="18"/>
                <w:color w:val="auto"/>
              </w:rPr>
            </w:pPr>
          </w:p>
        </w:tc>
      </w:tr>
      <w:tr>
        <w:trPr>
          <w:trHeight w:val="210"/>
        </w:trPr>
        <w:tc>
          <w:tcPr>
            <w:tcW w:w="3480" w:type="dxa"/>
            <w:vAlign w:val="bottom"/>
            <w:tcBorders>
              <w:left w:val="single" w:sz="8" w:color="auto"/>
              <w:bottom w:val="single" w:sz="8" w:color="auto"/>
              <w:right w:val="single" w:sz="8" w:color="auto"/>
            </w:tcBorders>
            <w:gridSpan w:val="3"/>
          </w:tcPr>
          <w:p>
            <w:pPr>
              <w:ind w:left="1320"/>
              <w:spacing w:after="0"/>
              <w:rPr>
                <w:sz w:val="20"/>
                <w:szCs w:val="20"/>
                <w:color w:val="auto"/>
              </w:rPr>
            </w:pPr>
            <w:r>
              <w:rPr>
                <w:rFonts w:ascii="Arial" w:cs="Arial" w:eastAsia="Arial" w:hAnsi="Arial"/>
                <w:sz w:val="18"/>
                <w:szCs w:val="18"/>
                <w:color w:val="auto"/>
              </w:rPr>
              <w:t>2019-12-26</w:t>
            </w:r>
          </w:p>
        </w:tc>
        <w:tc>
          <w:tcPr>
            <w:tcW w:w="240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w w:val="89"/>
              </w:rPr>
              <w:t>147,400</w:t>
            </w:r>
          </w:p>
        </w:tc>
        <w:tc>
          <w:tcPr>
            <w:tcW w:w="16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tcBorders>
            <w:gridSpan w:val="2"/>
          </w:tcPr>
          <w:p>
            <w:pPr>
              <w:jc w:val="center"/>
              <w:ind w:left="1170"/>
              <w:spacing w:after="0"/>
              <w:rPr>
                <w:sz w:val="20"/>
                <w:szCs w:val="20"/>
                <w:color w:val="auto"/>
              </w:rPr>
            </w:pPr>
            <w:r>
              <w:rPr>
                <w:rFonts w:ascii="Arial" w:cs="Arial" w:eastAsia="Arial" w:hAnsi="Arial"/>
                <w:sz w:val="18"/>
                <w:szCs w:val="18"/>
                <w:color w:val="auto"/>
                <w:w w:val="88"/>
              </w:rPr>
              <w:t>66.33</w:t>
            </w:r>
          </w:p>
        </w:tc>
        <w:tc>
          <w:tcPr>
            <w:tcW w:w="1320" w:type="dxa"/>
            <w:vAlign w:val="bottom"/>
            <w:tcBorders>
              <w:bottom w:val="single" w:sz="8" w:color="auto"/>
              <w:right w:val="single" w:sz="8" w:color="auto"/>
            </w:tcBorders>
          </w:tcPr>
          <w:p>
            <w:pPr>
              <w:spacing w:after="0"/>
              <w:rPr>
                <w:sz w:val="18"/>
                <w:szCs w:val="18"/>
                <w:color w:val="auto"/>
              </w:rPr>
            </w:pPr>
          </w:p>
        </w:tc>
      </w:tr>
      <w:tr>
        <w:trPr>
          <w:trHeight w:val="210"/>
        </w:trPr>
        <w:tc>
          <w:tcPr>
            <w:tcW w:w="3480" w:type="dxa"/>
            <w:vAlign w:val="bottom"/>
            <w:tcBorders>
              <w:left w:val="single" w:sz="8" w:color="auto"/>
              <w:bottom w:val="single" w:sz="8" w:color="auto"/>
              <w:right w:val="single" w:sz="8" w:color="auto"/>
            </w:tcBorders>
            <w:gridSpan w:val="3"/>
          </w:tcPr>
          <w:p>
            <w:pPr>
              <w:ind w:left="1320"/>
              <w:spacing w:after="0"/>
              <w:rPr>
                <w:sz w:val="20"/>
                <w:szCs w:val="20"/>
                <w:color w:val="auto"/>
              </w:rPr>
            </w:pPr>
            <w:r>
              <w:rPr>
                <w:rFonts w:ascii="Arial" w:cs="Arial" w:eastAsia="Arial" w:hAnsi="Arial"/>
                <w:sz w:val="18"/>
                <w:szCs w:val="18"/>
                <w:color w:val="auto"/>
              </w:rPr>
              <w:t>2019-12-27</w:t>
            </w:r>
          </w:p>
        </w:tc>
        <w:tc>
          <w:tcPr>
            <w:tcW w:w="240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w w:val="89"/>
              </w:rPr>
              <w:t>102,564</w:t>
            </w:r>
          </w:p>
        </w:tc>
        <w:tc>
          <w:tcPr>
            <w:tcW w:w="16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tcBorders>
            <w:gridSpan w:val="2"/>
          </w:tcPr>
          <w:p>
            <w:pPr>
              <w:jc w:val="center"/>
              <w:ind w:left="1170"/>
              <w:spacing w:after="0"/>
              <w:rPr>
                <w:sz w:val="20"/>
                <w:szCs w:val="20"/>
                <w:color w:val="auto"/>
              </w:rPr>
            </w:pPr>
            <w:r>
              <w:rPr>
                <w:rFonts w:ascii="Arial" w:cs="Arial" w:eastAsia="Arial" w:hAnsi="Arial"/>
                <w:sz w:val="18"/>
                <w:szCs w:val="18"/>
                <w:color w:val="auto"/>
                <w:w w:val="88"/>
              </w:rPr>
              <w:t>66.29</w:t>
            </w:r>
          </w:p>
        </w:tc>
        <w:tc>
          <w:tcPr>
            <w:tcW w:w="1320" w:type="dxa"/>
            <w:vAlign w:val="bottom"/>
            <w:tcBorders>
              <w:bottom w:val="single" w:sz="8" w:color="auto"/>
              <w:right w:val="single" w:sz="8" w:color="auto"/>
            </w:tcBorders>
          </w:tcPr>
          <w:p>
            <w:pPr>
              <w:spacing w:after="0"/>
              <w:rPr>
                <w:sz w:val="18"/>
                <w:szCs w:val="18"/>
                <w:color w:val="auto"/>
              </w:rPr>
            </w:pPr>
          </w:p>
        </w:tc>
      </w:tr>
      <w:tr>
        <w:trPr>
          <w:trHeight w:val="210"/>
        </w:trPr>
        <w:tc>
          <w:tcPr>
            <w:tcW w:w="3480" w:type="dxa"/>
            <w:vAlign w:val="bottom"/>
            <w:tcBorders>
              <w:left w:val="single" w:sz="8" w:color="auto"/>
              <w:bottom w:val="single" w:sz="8" w:color="auto"/>
              <w:right w:val="single" w:sz="8" w:color="auto"/>
            </w:tcBorders>
            <w:gridSpan w:val="3"/>
          </w:tcPr>
          <w:p>
            <w:pPr>
              <w:ind w:left="1320"/>
              <w:spacing w:after="0"/>
              <w:rPr>
                <w:sz w:val="20"/>
                <w:szCs w:val="20"/>
                <w:color w:val="auto"/>
              </w:rPr>
            </w:pPr>
            <w:r>
              <w:rPr>
                <w:rFonts w:ascii="Arial" w:cs="Arial" w:eastAsia="Arial" w:hAnsi="Arial"/>
                <w:sz w:val="18"/>
                <w:szCs w:val="18"/>
                <w:color w:val="auto"/>
              </w:rPr>
              <w:t>2019-12-30</w:t>
            </w:r>
          </w:p>
        </w:tc>
        <w:tc>
          <w:tcPr>
            <w:tcW w:w="240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w w:val="89"/>
              </w:rPr>
              <w:t>113,755</w:t>
            </w:r>
          </w:p>
        </w:tc>
        <w:tc>
          <w:tcPr>
            <w:tcW w:w="16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tcBorders>
            <w:gridSpan w:val="2"/>
          </w:tcPr>
          <w:p>
            <w:pPr>
              <w:jc w:val="center"/>
              <w:ind w:left="1170"/>
              <w:spacing w:after="0"/>
              <w:rPr>
                <w:sz w:val="20"/>
                <w:szCs w:val="20"/>
                <w:color w:val="auto"/>
              </w:rPr>
            </w:pPr>
            <w:r>
              <w:rPr>
                <w:rFonts w:ascii="Arial" w:cs="Arial" w:eastAsia="Arial" w:hAnsi="Arial"/>
                <w:sz w:val="18"/>
                <w:szCs w:val="18"/>
                <w:color w:val="auto"/>
                <w:w w:val="88"/>
              </w:rPr>
              <w:t>62.25</w:t>
            </w:r>
          </w:p>
        </w:tc>
        <w:tc>
          <w:tcPr>
            <w:tcW w:w="1320" w:type="dxa"/>
            <w:vAlign w:val="bottom"/>
            <w:tcBorders>
              <w:bottom w:val="single" w:sz="8" w:color="auto"/>
              <w:right w:val="single" w:sz="8" w:color="auto"/>
            </w:tcBorders>
          </w:tcPr>
          <w:p>
            <w:pPr>
              <w:spacing w:after="0"/>
              <w:rPr>
                <w:sz w:val="18"/>
                <w:szCs w:val="18"/>
                <w:color w:val="auto"/>
              </w:rPr>
            </w:pPr>
          </w:p>
        </w:tc>
      </w:tr>
      <w:tr>
        <w:trPr>
          <w:trHeight w:val="210"/>
        </w:trPr>
        <w:tc>
          <w:tcPr>
            <w:tcW w:w="3480" w:type="dxa"/>
            <w:vAlign w:val="bottom"/>
            <w:tcBorders>
              <w:left w:val="single" w:sz="8" w:color="auto"/>
              <w:bottom w:val="single" w:sz="8" w:color="auto"/>
              <w:right w:val="single" w:sz="8" w:color="auto"/>
            </w:tcBorders>
            <w:gridSpan w:val="3"/>
          </w:tcPr>
          <w:p>
            <w:pPr>
              <w:ind w:left="1320"/>
              <w:spacing w:after="0"/>
              <w:rPr>
                <w:sz w:val="20"/>
                <w:szCs w:val="20"/>
                <w:color w:val="auto"/>
              </w:rPr>
            </w:pPr>
            <w:r>
              <w:rPr>
                <w:rFonts w:ascii="Arial" w:cs="Arial" w:eastAsia="Arial" w:hAnsi="Arial"/>
                <w:sz w:val="18"/>
                <w:szCs w:val="18"/>
                <w:color w:val="auto"/>
              </w:rPr>
              <w:t>2019-12-31</w:t>
            </w:r>
          </w:p>
        </w:tc>
        <w:tc>
          <w:tcPr>
            <w:tcW w:w="240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w w:val="89"/>
              </w:rPr>
              <w:t>115,800</w:t>
            </w:r>
          </w:p>
        </w:tc>
        <w:tc>
          <w:tcPr>
            <w:tcW w:w="16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tcBorders>
            <w:gridSpan w:val="2"/>
          </w:tcPr>
          <w:p>
            <w:pPr>
              <w:jc w:val="center"/>
              <w:ind w:left="1170"/>
              <w:spacing w:after="0"/>
              <w:rPr>
                <w:sz w:val="20"/>
                <w:szCs w:val="20"/>
                <w:color w:val="auto"/>
              </w:rPr>
            </w:pPr>
            <w:r>
              <w:rPr>
                <w:rFonts w:ascii="Arial" w:cs="Arial" w:eastAsia="Arial" w:hAnsi="Arial"/>
                <w:sz w:val="18"/>
                <w:szCs w:val="18"/>
                <w:color w:val="auto"/>
                <w:w w:val="88"/>
              </w:rPr>
              <w:t>61.82</w:t>
            </w:r>
          </w:p>
        </w:tc>
        <w:tc>
          <w:tcPr>
            <w:tcW w:w="1320" w:type="dxa"/>
            <w:vAlign w:val="bottom"/>
            <w:tcBorders>
              <w:bottom w:val="single" w:sz="8" w:color="auto"/>
              <w:right w:val="single" w:sz="8" w:color="auto"/>
            </w:tcBorders>
          </w:tcPr>
          <w:p>
            <w:pPr>
              <w:spacing w:after="0"/>
              <w:rPr>
                <w:sz w:val="18"/>
                <w:szCs w:val="18"/>
                <w:color w:val="auto"/>
              </w:rPr>
            </w:pPr>
          </w:p>
        </w:tc>
      </w:tr>
      <w:tr>
        <w:trPr>
          <w:trHeight w:val="210"/>
        </w:trPr>
        <w:tc>
          <w:tcPr>
            <w:tcW w:w="3480" w:type="dxa"/>
            <w:vAlign w:val="bottom"/>
            <w:tcBorders>
              <w:left w:val="single" w:sz="8" w:color="auto"/>
              <w:bottom w:val="single" w:sz="8" w:color="auto"/>
              <w:right w:val="single" w:sz="8" w:color="auto"/>
            </w:tcBorders>
            <w:gridSpan w:val="3"/>
          </w:tcPr>
          <w:p>
            <w:pPr>
              <w:ind w:left="1320"/>
              <w:spacing w:after="0"/>
              <w:rPr>
                <w:sz w:val="20"/>
                <w:szCs w:val="20"/>
                <w:color w:val="auto"/>
              </w:rPr>
            </w:pPr>
            <w:r>
              <w:rPr>
                <w:rFonts w:ascii="Arial" w:cs="Arial" w:eastAsia="Arial" w:hAnsi="Arial"/>
                <w:sz w:val="18"/>
                <w:szCs w:val="18"/>
                <w:color w:val="auto"/>
              </w:rPr>
              <w:t>2020-01-02</w:t>
            </w:r>
          </w:p>
        </w:tc>
        <w:tc>
          <w:tcPr>
            <w:tcW w:w="240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w w:val="89"/>
              </w:rPr>
              <w:t>179,310</w:t>
            </w:r>
          </w:p>
        </w:tc>
        <w:tc>
          <w:tcPr>
            <w:tcW w:w="16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tcBorders>
            <w:gridSpan w:val="2"/>
          </w:tcPr>
          <w:p>
            <w:pPr>
              <w:jc w:val="center"/>
              <w:ind w:left="1170"/>
              <w:spacing w:after="0"/>
              <w:rPr>
                <w:sz w:val="20"/>
                <w:szCs w:val="20"/>
                <w:color w:val="auto"/>
              </w:rPr>
            </w:pPr>
            <w:r>
              <w:rPr>
                <w:rFonts w:ascii="Arial" w:cs="Arial" w:eastAsia="Arial" w:hAnsi="Arial"/>
                <w:sz w:val="18"/>
                <w:szCs w:val="18"/>
                <w:color w:val="auto"/>
                <w:w w:val="88"/>
              </w:rPr>
              <w:t>59.27</w:t>
            </w:r>
          </w:p>
        </w:tc>
        <w:tc>
          <w:tcPr>
            <w:tcW w:w="1320" w:type="dxa"/>
            <w:vAlign w:val="bottom"/>
            <w:tcBorders>
              <w:bottom w:val="single" w:sz="8" w:color="auto"/>
              <w:right w:val="single" w:sz="8" w:color="auto"/>
            </w:tcBorders>
          </w:tcPr>
          <w:p>
            <w:pPr>
              <w:spacing w:after="0"/>
              <w:rPr>
                <w:sz w:val="18"/>
                <w:szCs w:val="18"/>
                <w:color w:val="auto"/>
              </w:rPr>
            </w:pPr>
          </w:p>
        </w:tc>
      </w:tr>
      <w:tr>
        <w:trPr>
          <w:trHeight w:val="210"/>
        </w:trPr>
        <w:tc>
          <w:tcPr>
            <w:tcW w:w="3480" w:type="dxa"/>
            <w:vAlign w:val="bottom"/>
            <w:tcBorders>
              <w:left w:val="single" w:sz="8" w:color="auto"/>
              <w:bottom w:val="single" w:sz="8" w:color="auto"/>
              <w:right w:val="single" w:sz="8" w:color="auto"/>
            </w:tcBorders>
            <w:gridSpan w:val="3"/>
          </w:tcPr>
          <w:p>
            <w:pPr>
              <w:ind w:left="1320"/>
              <w:spacing w:after="0"/>
              <w:rPr>
                <w:sz w:val="20"/>
                <w:szCs w:val="20"/>
                <w:color w:val="auto"/>
              </w:rPr>
            </w:pPr>
            <w:r>
              <w:rPr>
                <w:rFonts w:ascii="Arial" w:cs="Arial" w:eastAsia="Arial" w:hAnsi="Arial"/>
                <w:sz w:val="18"/>
                <w:szCs w:val="18"/>
                <w:color w:val="auto"/>
              </w:rPr>
              <w:t>2020-01-03</w:t>
            </w:r>
          </w:p>
        </w:tc>
        <w:tc>
          <w:tcPr>
            <w:tcW w:w="240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w w:val="89"/>
              </w:rPr>
              <w:t>132,600</w:t>
            </w:r>
          </w:p>
        </w:tc>
        <w:tc>
          <w:tcPr>
            <w:tcW w:w="16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tcBorders>
            <w:gridSpan w:val="2"/>
          </w:tcPr>
          <w:p>
            <w:pPr>
              <w:jc w:val="center"/>
              <w:ind w:left="1170"/>
              <w:spacing w:after="0"/>
              <w:rPr>
                <w:sz w:val="20"/>
                <w:szCs w:val="20"/>
                <w:color w:val="auto"/>
              </w:rPr>
            </w:pPr>
            <w:r>
              <w:rPr>
                <w:rFonts w:ascii="Arial" w:cs="Arial" w:eastAsia="Arial" w:hAnsi="Arial"/>
                <w:sz w:val="18"/>
                <w:szCs w:val="18"/>
                <w:color w:val="auto"/>
                <w:w w:val="88"/>
              </w:rPr>
              <w:t>59.27</w:t>
            </w:r>
          </w:p>
        </w:tc>
        <w:tc>
          <w:tcPr>
            <w:tcW w:w="1320" w:type="dxa"/>
            <w:vAlign w:val="bottom"/>
            <w:tcBorders>
              <w:bottom w:val="single" w:sz="8" w:color="auto"/>
              <w:right w:val="single" w:sz="8" w:color="auto"/>
            </w:tcBorders>
          </w:tcPr>
          <w:p>
            <w:pPr>
              <w:spacing w:after="0"/>
              <w:rPr>
                <w:sz w:val="18"/>
                <w:szCs w:val="18"/>
                <w:color w:val="auto"/>
              </w:rPr>
            </w:pPr>
          </w:p>
        </w:tc>
      </w:tr>
      <w:tr>
        <w:trPr>
          <w:trHeight w:val="210"/>
        </w:trPr>
        <w:tc>
          <w:tcPr>
            <w:tcW w:w="3480" w:type="dxa"/>
            <w:vAlign w:val="bottom"/>
            <w:tcBorders>
              <w:left w:val="single" w:sz="8" w:color="auto"/>
              <w:bottom w:val="single" w:sz="8" w:color="auto"/>
              <w:right w:val="single" w:sz="8" w:color="auto"/>
            </w:tcBorders>
            <w:gridSpan w:val="3"/>
          </w:tcPr>
          <w:p>
            <w:pPr>
              <w:ind w:left="1320"/>
              <w:spacing w:after="0"/>
              <w:rPr>
                <w:sz w:val="20"/>
                <w:szCs w:val="20"/>
                <w:color w:val="auto"/>
              </w:rPr>
            </w:pPr>
            <w:r>
              <w:rPr>
                <w:rFonts w:ascii="Arial" w:cs="Arial" w:eastAsia="Arial" w:hAnsi="Arial"/>
                <w:sz w:val="18"/>
                <w:szCs w:val="18"/>
                <w:color w:val="auto"/>
              </w:rPr>
              <w:t>2020-01-06</w:t>
            </w:r>
          </w:p>
        </w:tc>
        <w:tc>
          <w:tcPr>
            <w:tcW w:w="240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w w:val="90"/>
              </w:rPr>
              <w:t>91,987</w:t>
            </w:r>
          </w:p>
        </w:tc>
        <w:tc>
          <w:tcPr>
            <w:tcW w:w="16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tcBorders>
            <w:gridSpan w:val="2"/>
          </w:tcPr>
          <w:p>
            <w:pPr>
              <w:jc w:val="center"/>
              <w:ind w:left="1170"/>
              <w:spacing w:after="0"/>
              <w:rPr>
                <w:sz w:val="20"/>
                <w:szCs w:val="20"/>
                <w:color w:val="auto"/>
              </w:rPr>
            </w:pPr>
            <w:r>
              <w:rPr>
                <w:rFonts w:ascii="Arial" w:cs="Arial" w:eastAsia="Arial" w:hAnsi="Arial"/>
                <w:sz w:val="18"/>
                <w:szCs w:val="18"/>
                <w:color w:val="auto"/>
                <w:w w:val="88"/>
              </w:rPr>
              <w:t>59.67</w:t>
            </w:r>
          </w:p>
        </w:tc>
        <w:tc>
          <w:tcPr>
            <w:tcW w:w="1320" w:type="dxa"/>
            <w:vAlign w:val="bottom"/>
            <w:tcBorders>
              <w:bottom w:val="single" w:sz="8" w:color="auto"/>
              <w:right w:val="single" w:sz="8" w:color="auto"/>
            </w:tcBorders>
          </w:tcPr>
          <w:p>
            <w:pPr>
              <w:spacing w:after="0"/>
              <w:rPr>
                <w:sz w:val="18"/>
                <w:szCs w:val="18"/>
                <w:color w:val="auto"/>
              </w:rPr>
            </w:pPr>
          </w:p>
        </w:tc>
      </w:tr>
      <w:tr>
        <w:trPr>
          <w:trHeight w:val="226"/>
        </w:trPr>
        <w:tc>
          <w:tcPr>
            <w:tcW w:w="3480" w:type="dxa"/>
            <w:vAlign w:val="bottom"/>
            <w:tcBorders>
              <w:left w:val="single" w:sz="8" w:color="auto"/>
              <w:bottom w:val="single" w:sz="8" w:color="auto"/>
              <w:right w:val="single" w:sz="8" w:color="auto"/>
            </w:tcBorders>
            <w:gridSpan w:val="3"/>
          </w:tcPr>
          <w:p>
            <w:pPr>
              <w:ind w:left="1320"/>
              <w:spacing w:after="0"/>
              <w:rPr>
                <w:sz w:val="20"/>
                <w:szCs w:val="20"/>
                <w:color w:val="auto"/>
              </w:rPr>
            </w:pPr>
            <w:r>
              <w:rPr>
                <w:rFonts w:ascii="Arial" w:cs="Arial" w:eastAsia="Arial" w:hAnsi="Arial"/>
                <w:sz w:val="18"/>
                <w:szCs w:val="18"/>
                <w:color w:val="auto"/>
              </w:rPr>
              <w:t>2020-01-07</w:t>
            </w:r>
          </w:p>
        </w:tc>
        <w:tc>
          <w:tcPr>
            <w:tcW w:w="240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w w:val="90"/>
              </w:rPr>
              <w:t>95,027</w:t>
            </w:r>
          </w:p>
        </w:tc>
        <w:tc>
          <w:tcPr>
            <w:tcW w:w="16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gridSpan w:val="2"/>
          </w:tcPr>
          <w:p>
            <w:pPr>
              <w:jc w:val="center"/>
              <w:ind w:left="1170"/>
              <w:spacing w:after="0"/>
              <w:rPr>
                <w:sz w:val="20"/>
                <w:szCs w:val="20"/>
                <w:color w:val="auto"/>
              </w:rPr>
            </w:pPr>
            <w:r>
              <w:rPr>
                <w:rFonts w:ascii="Arial" w:cs="Arial" w:eastAsia="Arial" w:hAnsi="Arial"/>
                <w:sz w:val="18"/>
                <w:szCs w:val="18"/>
                <w:color w:val="auto"/>
                <w:w w:val="88"/>
              </w:rPr>
              <w:t>60.28</w:t>
            </w:r>
          </w:p>
        </w:tc>
        <w:tc>
          <w:tcPr>
            <w:tcW w:w="1320" w:type="dxa"/>
            <w:vAlign w:val="bottom"/>
            <w:tcBorders>
              <w:bottom w:val="single" w:sz="8" w:color="auto"/>
              <w:right w:val="single" w:sz="8" w:color="auto"/>
            </w:tcBorders>
          </w:tcPr>
          <w:p>
            <w:pPr>
              <w:spacing w:after="0"/>
              <w:rPr>
                <w:sz w:val="19"/>
                <w:szCs w:val="19"/>
                <w:color w:val="auto"/>
              </w:rPr>
            </w:pPr>
          </w:p>
        </w:tc>
      </w:tr>
      <w:tr>
        <w:trPr>
          <w:trHeight w:val="190"/>
        </w:trPr>
        <w:tc>
          <w:tcPr>
            <w:tcW w:w="3480" w:type="dxa"/>
            <w:vAlign w:val="bottom"/>
            <w:tcBorders>
              <w:left w:val="single" w:sz="8" w:color="auto"/>
              <w:bottom w:val="single" w:sz="8" w:color="auto"/>
              <w:right w:val="single" w:sz="8" w:color="auto"/>
            </w:tcBorders>
            <w:gridSpan w:val="3"/>
          </w:tcPr>
          <w:p>
            <w:pPr>
              <w:ind w:left="1320"/>
              <w:spacing w:after="0" w:line="189" w:lineRule="exact"/>
              <w:rPr>
                <w:sz w:val="20"/>
                <w:szCs w:val="20"/>
                <w:color w:val="auto"/>
              </w:rPr>
            </w:pPr>
            <w:r>
              <w:rPr>
                <w:rFonts w:ascii="Arial" w:cs="Arial" w:eastAsia="Arial" w:hAnsi="Arial"/>
                <w:sz w:val="18"/>
                <w:szCs w:val="18"/>
                <w:color w:val="auto"/>
              </w:rPr>
              <w:t>2020-01-08</w:t>
            </w:r>
          </w:p>
        </w:tc>
        <w:tc>
          <w:tcPr>
            <w:tcW w:w="2400" w:type="dxa"/>
            <w:vAlign w:val="bottom"/>
            <w:tcBorders>
              <w:bottom w:val="single" w:sz="8" w:color="auto"/>
            </w:tcBorders>
            <w:gridSpan w:val="2"/>
          </w:tcPr>
          <w:p>
            <w:pPr>
              <w:jc w:val="center"/>
              <w:ind w:left="1690"/>
              <w:spacing w:after="0" w:line="189" w:lineRule="exact"/>
              <w:rPr>
                <w:sz w:val="20"/>
                <w:szCs w:val="20"/>
                <w:color w:val="auto"/>
              </w:rPr>
            </w:pPr>
            <w:r>
              <w:rPr>
                <w:rFonts w:ascii="Arial" w:cs="Arial" w:eastAsia="Arial" w:hAnsi="Arial"/>
                <w:sz w:val="18"/>
                <w:szCs w:val="18"/>
                <w:color w:val="auto"/>
                <w:w w:val="89"/>
              </w:rPr>
              <w:t>184,546</w:t>
            </w:r>
          </w:p>
        </w:tc>
        <w:tc>
          <w:tcPr>
            <w:tcW w:w="1620" w:type="dxa"/>
            <w:vAlign w:val="bottom"/>
            <w:tcBorders>
              <w:bottom w:val="single" w:sz="8" w:color="auto"/>
              <w:right w:val="single" w:sz="8" w:color="auto"/>
            </w:tcBorders>
          </w:tcPr>
          <w:p>
            <w:pPr>
              <w:spacing w:after="0"/>
              <w:rPr>
                <w:sz w:val="16"/>
                <w:szCs w:val="16"/>
                <w:color w:val="auto"/>
              </w:rPr>
            </w:pPr>
          </w:p>
        </w:tc>
        <w:tc>
          <w:tcPr>
            <w:tcW w:w="2620" w:type="dxa"/>
            <w:vAlign w:val="bottom"/>
            <w:tcBorders>
              <w:bottom w:val="single" w:sz="8" w:color="auto"/>
            </w:tcBorders>
            <w:gridSpan w:val="2"/>
          </w:tcPr>
          <w:p>
            <w:pPr>
              <w:jc w:val="center"/>
              <w:ind w:left="1170"/>
              <w:spacing w:after="0" w:line="189" w:lineRule="exact"/>
              <w:rPr>
                <w:sz w:val="20"/>
                <w:szCs w:val="20"/>
                <w:color w:val="auto"/>
              </w:rPr>
            </w:pPr>
            <w:r>
              <w:rPr>
                <w:rFonts w:ascii="Arial" w:cs="Arial" w:eastAsia="Arial" w:hAnsi="Arial"/>
                <w:sz w:val="18"/>
                <w:szCs w:val="18"/>
                <w:color w:val="auto"/>
                <w:w w:val="88"/>
              </w:rPr>
              <w:t>62.27</w:t>
            </w:r>
          </w:p>
        </w:tc>
        <w:tc>
          <w:tcPr>
            <w:tcW w:w="1320" w:type="dxa"/>
            <w:vAlign w:val="bottom"/>
            <w:tcBorders>
              <w:bottom w:val="single" w:sz="8" w:color="auto"/>
              <w:right w:val="single" w:sz="8" w:color="auto"/>
            </w:tcBorders>
          </w:tcPr>
          <w:p>
            <w:pPr>
              <w:spacing w:after="0"/>
              <w:rPr>
                <w:sz w:val="16"/>
                <w:szCs w:val="16"/>
                <w:color w:val="auto"/>
              </w:rPr>
            </w:pPr>
          </w:p>
        </w:tc>
      </w:tr>
    </w:tbl>
    <w:p>
      <w:pPr>
        <w:spacing w:after="0" w:line="191" w:lineRule="exact"/>
        <w:rPr>
          <w:sz w:val="20"/>
          <w:szCs w:val="20"/>
          <w:color w:val="auto"/>
        </w:rPr>
      </w:pPr>
    </w:p>
    <w:p>
      <w:pPr>
        <w:ind w:left="340" w:right="20" w:hanging="8"/>
        <w:spacing w:after="0" w:line="251" w:lineRule="auto"/>
        <w:tabs>
          <w:tab w:leader="none" w:pos="502" w:val="left"/>
        </w:tabs>
        <w:numPr>
          <w:ilvl w:val="0"/>
          <w:numId w:val="10"/>
        </w:numPr>
        <w:rPr>
          <w:rFonts w:ascii="Arial" w:cs="Arial" w:eastAsia="Arial" w:hAnsi="Arial"/>
          <w:sz w:val="22"/>
          <w:szCs w:val="22"/>
          <w:color w:val="auto"/>
        </w:rPr>
      </w:pPr>
      <w:r>
        <w:rPr>
          <w:rFonts w:ascii="Arial" w:cs="Arial" w:eastAsia="Arial" w:hAnsi="Arial"/>
          <w:sz w:val="22"/>
          <w:szCs w:val="22"/>
          <w:color w:val="auto"/>
        </w:rPr>
        <w:t>Consists of shares sold by a wholly owned indirect subsidiary of Owner that were originally received as a pro rata distribution from a limited partnership subsequent to the Original Filing Date.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Material to be Filed as Exhibits.</w:t>
      </w:r>
    </w:p>
    <w:p>
      <w:pPr>
        <w:spacing w:after="0" w:line="320" w:lineRule="exact"/>
        <w:rPr>
          <w:sz w:val="20"/>
          <w:szCs w:val="20"/>
          <w:color w:val="auto"/>
        </w:rPr>
      </w:pPr>
    </w:p>
    <w:p>
      <w:pPr>
        <w:spacing w:after="0"/>
        <w:rPr>
          <w:sz w:val="20"/>
          <w:szCs w:val="20"/>
          <w:color w:val="auto"/>
        </w:rPr>
      </w:pPr>
      <w:r>
        <w:rPr>
          <w:rFonts w:ascii="Arial" w:cs="Arial" w:eastAsia="Arial" w:hAnsi="Arial"/>
          <w:sz w:val="21"/>
          <w:szCs w:val="21"/>
          <w:color w:val="auto"/>
        </w:rPr>
        <w:t>Item 7 is hereby amended and supplemented by replacing Exhibits A and B to the Schedule 13D and adding Exhibit H.</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w w:val="96"/>
              </w:rPr>
              <w:t>Exhibit</w:t>
            </w:r>
          </w:p>
        </w:tc>
        <w:tc>
          <w:tcPr>
            <w:tcW w:w="92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20"/>
        </w:trPr>
        <w:tc>
          <w:tcPr>
            <w:tcW w:w="5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r>
      <w:tr>
        <w:trPr>
          <w:trHeight w:val="453"/>
        </w:trPr>
        <w:tc>
          <w:tcPr>
            <w:tcW w:w="146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9960" w:type="dxa"/>
            <w:vAlign w:val="bottom"/>
            <w:gridSpan w:val="2"/>
          </w:tcPr>
          <w:p>
            <w:pPr>
              <w:spacing w:after="0"/>
              <w:rPr>
                <w:sz w:val="20"/>
                <w:szCs w:val="20"/>
                <w:color w:val="auto"/>
              </w:rPr>
            </w:pPr>
            <w:r>
              <w:rPr>
                <w:rFonts w:ascii="Arial" w:cs="Arial" w:eastAsia="Arial" w:hAnsi="Arial"/>
                <w:sz w:val="18"/>
                <w:szCs w:val="18"/>
                <w:color w:val="auto"/>
              </w:rPr>
              <w:t>Information concerning the Company’s executive officers and directors.</w:t>
            </w:r>
          </w:p>
        </w:tc>
      </w:tr>
      <w:tr>
        <w:trPr>
          <w:trHeight w:val="432"/>
        </w:trPr>
        <w:tc>
          <w:tcPr>
            <w:tcW w:w="146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9960" w:type="dxa"/>
            <w:vAlign w:val="bottom"/>
            <w:gridSpan w:val="2"/>
          </w:tcPr>
          <w:p>
            <w:pPr>
              <w:spacing w:after="0"/>
              <w:rPr>
                <w:sz w:val="20"/>
                <w:szCs w:val="20"/>
                <w:color w:val="auto"/>
              </w:rPr>
            </w:pPr>
            <w:r>
              <w:rPr>
                <w:rFonts w:ascii="Arial" w:cs="Arial" w:eastAsia="Arial" w:hAnsi="Arial"/>
                <w:sz w:val="18"/>
                <w:szCs w:val="18"/>
                <w:color w:val="auto"/>
              </w:rPr>
              <w:t>Information concerning the Owner’s executive officers and directors.</w:t>
            </w:r>
          </w:p>
        </w:tc>
      </w:tr>
      <w:tr>
        <w:trPr>
          <w:trHeight w:val="432"/>
        </w:trPr>
        <w:tc>
          <w:tcPr>
            <w:tcW w:w="1460" w:type="dxa"/>
            <w:vAlign w:val="bottom"/>
            <w:gridSpan w:val="2"/>
          </w:tcPr>
          <w:p>
            <w:pPr>
              <w:spacing w:after="0"/>
              <w:rPr>
                <w:sz w:val="20"/>
                <w:szCs w:val="20"/>
                <w:color w:val="auto"/>
              </w:rPr>
            </w:pPr>
            <w:r>
              <w:rPr>
                <w:rFonts w:ascii="Arial" w:cs="Arial" w:eastAsia="Arial" w:hAnsi="Arial"/>
                <w:sz w:val="18"/>
                <w:szCs w:val="18"/>
                <w:color w:val="auto"/>
              </w:rPr>
              <w:t>Exhibit H</w:t>
            </w:r>
          </w:p>
        </w:tc>
        <w:tc>
          <w:tcPr>
            <w:tcW w:w="9960" w:type="dxa"/>
            <w:vAlign w:val="bottom"/>
            <w:gridSpan w:val="2"/>
          </w:tcPr>
          <w:p>
            <w:pPr>
              <w:spacing w:after="0"/>
              <w:rPr>
                <w:sz w:val="20"/>
                <w:szCs w:val="20"/>
                <w:color w:val="auto"/>
              </w:rPr>
            </w:pPr>
            <w:r>
              <w:rPr>
                <w:rFonts w:ascii="Arial" w:cs="Arial" w:eastAsia="Arial" w:hAnsi="Arial"/>
                <w:sz w:val="18"/>
                <w:szCs w:val="18"/>
                <w:color w:val="auto"/>
              </w:rPr>
              <w:t>Joint Filing Agreement, dated January 10, 2020 among the Reporting Persons.</w:t>
            </w:r>
          </w:p>
        </w:tc>
      </w:tr>
      <w:tr>
        <w:trPr>
          <w:trHeight w:val="183"/>
        </w:trPr>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4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928" w:right="239" w:bottom="1440" w:gutter="0" w:footer="0" w:header="0"/>
        </w:sectPr>
      </w:pPr>
    </w:p>
    <w:bookmarkStart w:id="5" w:name="page6"/>
    <w:bookmarkEnd w:id="5"/>
    <w:p>
      <w:pPr>
        <w:ind w:right="340"/>
        <w:spacing w:after="0" w:line="251" w:lineRule="auto"/>
        <w:rPr>
          <w:sz w:val="20"/>
          <w:szCs w:val="20"/>
          <w:color w:val="auto"/>
        </w:rPr>
      </w:pPr>
      <w:r>
        <w:rPr>
          <w:rFonts w:ascii="Arial" w:cs="Arial" w:eastAsia="Arial" w:hAnsi="Arial"/>
          <w:sz w:val="22"/>
          <w:szCs w:val="22"/>
          <w:color w:val="auto"/>
        </w:rPr>
        <w:t>Signature. After reasonable inquiry and to the best of my knowledge and belief, each of the undersigned certifies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tcPr>
          <w:p>
            <w:pPr>
              <w:ind w:left="320"/>
              <w:spacing w:after="0"/>
              <w:rPr>
                <w:sz w:val="20"/>
                <w:szCs w:val="20"/>
                <w:color w:val="auto"/>
              </w:rPr>
            </w:pPr>
            <w:r>
              <w:rPr>
                <w:rFonts w:ascii="Arial" w:cs="Arial" w:eastAsia="Arial" w:hAnsi="Arial"/>
                <w:sz w:val="18"/>
                <w:szCs w:val="18"/>
                <w:color w:val="auto"/>
              </w:rPr>
              <w:t>/s/ Patrick Lennaerts on behalf of Bayer Global Investments B.V.</w:t>
            </w:r>
          </w:p>
        </w:tc>
        <w:tc>
          <w:tcPr>
            <w:tcW w:w="1740" w:type="dxa"/>
            <w:vAlign w:val="bottom"/>
            <w:gridSpan w:val="3"/>
          </w:tcPr>
          <w:p>
            <w:pPr>
              <w:jc w:val="center"/>
              <w:ind w:left="830"/>
              <w:spacing w:after="0"/>
              <w:rPr>
                <w:sz w:val="20"/>
                <w:szCs w:val="20"/>
                <w:color w:val="auto"/>
              </w:rPr>
            </w:pPr>
            <w:r>
              <w:rPr>
                <w:rFonts w:ascii="Arial" w:cs="Arial" w:eastAsia="Arial" w:hAnsi="Arial"/>
                <w:sz w:val="18"/>
                <w:szCs w:val="18"/>
                <w:color w:val="auto"/>
                <w:w w:val="90"/>
              </w:rPr>
              <w:t>01/10/2020</w:t>
            </w:r>
          </w:p>
        </w:tc>
        <w:tc>
          <w:tcPr>
            <w:tcW w:w="0" w:type="dxa"/>
            <w:vAlign w:val="bottom"/>
          </w:tcPr>
          <w:p>
            <w:pPr>
              <w:spacing w:after="0"/>
              <w:rPr>
                <w:sz w:val="1"/>
                <w:szCs w:val="1"/>
                <w:color w:val="auto"/>
              </w:rPr>
            </w:pPr>
          </w:p>
        </w:tc>
      </w:tr>
      <w:tr>
        <w:trPr>
          <w:trHeight w:val="21"/>
        </w:trPr>
        <w:tc>
          <w:tcPr>
            <w:tcW w:w="9060" w:type="dxa"/>
            <w:vAlign w:val="bottom"/>
            <w:tcBorders>
              <w:bottom w:val="single" w:sz="8" w:color="auto"/>
            </w:tcBorders>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80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Date</w:t>
            </w: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9060" w:type="dxa"/>
            <w:vAlign w:val="bottom"/>
          </w:tcPr>
          <w:p>
            <w:pPr>
              <w:ind w:left="720"/>
              <w:spacing w:after="0"/>
              <w:rPr>
                <w:sz w:val="20"/>
                <w:szCs w:val="20"/>
                <w:color w:val="auto"/>
              </w:rPr>
            </w:pPr>
            <w:r>
              <w:rPr>
                <w:rFonts w:ascii="Arial" w:cs="Arial" w:eastAsia="Arial" w:hAnsi="Arial"/>
                <w:sz w:val="18"/>
                <w:szCs w:val="18"/>
                <w:color w:val="auto"/>
              </w:rPr>
              <w:t>** Signature of Reporting Person</w:t>
            </w:r>
          </w:p>
        </w:tc>
        <w:tc>
          <w:tcPr>
            <w:tcW w:w="9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9060" w:type="dxa"/>
            <w:vAlign w:val="bottom"/>
          </w:tcPr>
          <w:p>
            <w:pPr>
              <w:ind w:left="320"/>
              <w:spacing w:after="0"/>
              <w:rPr>
                <w:sz w:val="20"/>
                <w:szCs w:val="20"/>
                <w:color w:val="auto"/>
              </w:rPr>
            </w:pPr>
            <w:r>
              <w:rPr>
                <w:rFonts w:ascii="Arial" w:cs="Arial" w:eastAsia="Arial" w:hAnsi="Arial"/>
                <w:sz w:val="18"/>
                <w:szCs w:val="18"/>
                <w:color w:val="auto"/>
              </w:rPr>
              <w:t>/s/ Martina Völkel, M. Völkel, CFI - Head of LATAM on behalf of Bayer AG</w:t>
            </w:r>
          </w:p>
        </w:tc>
        <w:tc>
          <w:tcPr>
            <w:tcW w:w="1740" w:type="dxa"/>
            <w:vAlign w:val="bottom"/>
            <w:gridSpan w:val="3"/>
          </w:tcPr>
          <w:p>
            <w:pPr>
              <w:jc w:val="center"/>
              <w:ind w:left="830"/>
              <w:spacing w:after="0"/>
              <w:rPr>
                <w:sz w:val="20"/>
                <w:szCs w:val="20"/>
                <w:color w:val="auto"/>
              </w:rPr>
            </w:pPr>
            <w:r>
              <w:rPr>
                <w:rFonts w:ascii="Arial" w:cs="Arial" w:eastAsia="Arial" w:hAnsi="Arial"/>
                <w:sz w:val="18"/>
                <w:szCs w:val="18"/>
                <w:color w:val="auto"/>
                <w:w w:val="90"/>
              </w:rPr>
              <w:t>01/10/2020</w:t>
            </w:r>
          </w:p>
        </w:tc>
        <w:tc>
          <w:tcPr>
            <w:tcW w:w="0" w:type="dxa"/>
            <w:vAlign w:val="bottom"/>
          </w:tcPr>
          <w:p>
            <w:pPr>
              <w:spacing w:after="0"/>
              <w:rPr>
                <w:sz w:val="1"/>
                <w:szCs w:val="1"/>
                <w:color w:val="auto"/>
              </w:rPr>
            </w:pPr>
          </w:p>
        </w:tc>
      </w:tr>
      <w:tr>
        <w:trPr>
          <w:trHeight w:val="21"/>
        </w:trPr>
        <w:tc>
          <w:tcPr>
            <w:tcW w:w="9060" w:type="dxa"/>
            <w:vAlign w:val="bottom"/>
            <w:tcBorders>
              <w:bottom w:val="single" w:sz="8" w:color="auto"/>
            </w:tcBorders>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80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Date</w:t>
            </w: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9060" w:type="dxa"/>
            <w:vAlign w:val="bottom"/>
          </w:tcPr>
          <w:p>
            <w:pPr>
              <w:ind w:left="720"/>
              <w:spacing w:after="0"/>
              <w:rPr>
                <w:sz w:val="20"/>
                <w:szCs w:val="20"/>
                <w:color w:val="auto"/>
              </w:rPr>
            </w:pPr>
            <w:r>
              <w:rPr>
                <w:rFonts w:ascii="Arial" w:cs="Arial" w:eastAsia="Arial" w:hAnsi="Arial"/>
                <w:sz w:val="18"/>
                <w:szCs w:val="18"/>
                <w:color w:val="auto"/>
              </w:rPr>
              <w:t>** Signature of Reporting Person</w:t>
            </w:r>
          </w:p>
        </w:tc>
        <w:tc>
          <w:tcPr>
            <w:tcW w:w="9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9060" w:type="dxa"/>
            <w:vAlign w:val="bottom"/>
          </w:tcPr>
          <w:p>
            <w:pPr>
              <w:ind w:left="320"/>
              <w:spacing w:after="0"/>
              <w:rPr>
                <w:sz w:val="20"/>
                <w:szCs w:val="20"/>
                <w:color w:val="auto"/>
              </w:rPr>
            </w:pPr>
            <w:r>
              <w:rPr>
                <w:rFonts w:ascii="Arial" w:cs="Arial" w:eastAsia="Arial" w:hAnsi="Arial"/>
                <w:sz w:val="18"/>
                <w:szCs w:val="18"/>
                <w:color w:val="auto"/>
              </w:rPr>
              <w:t>/s/ Martin Eisenhauer, M. Eisenhauer, Senior Counsel on behalf of Bayer AG</w:t>
            </w:r>
          </w:p>
        </w:tc>
        <w:tc>
          <w:tcPr>
            <w:tcW w:w="1740" w:type="dxa"/>
            <w:vAlign w:val="bottom"/>
            <w:gridSpan w:val="3"/>
          </w:tcPr>
          <w:p>
            <w:pPr>
              <w:jc w:val="center"/>
              <w:ind w:left="830"/>
              <w:spacing w:after="0"/>
              <w:rPr>
                <w:sz w:val="20"/>
                <w:szCs w:val="20"/>
                <w:color w:val="auto"/>
              </w:rPr>
            </w:pPr>
            <w:r>
              <w:rPr>
                <w:rFonts w:ascii="Arial" w:cs="Arial" w:eastAsia="Arial" w:hAnsi="Arial"/>
                <w:sz w:val="18"/>
                <w:szCs w:val="18"/>
                <w:color w:val="auto"/>
                <w:w w:val="90"/>
              </w:rPr>
              <w:t>01/10/2020</w:t>
            </w:r>
          </w:p>
        </w:tc>
        <w:tc>
          <w:tcPr>
            <w:tcW w:w="0" w:type="dxa"/>
            <w:vAlign w:val="bottom"/>
          </w:tcPr>
          <w:p>
            <w:pPr>
              <w:spacing w:after="0"/>
              <w:rPr>
                <w:sz w:val="1"/>
                <w:szCs w:val="1"/>
                <w:color w:val="auto"/>
              </w:rPr>
            </w:pPr>
          </w:p>
        </w:tc>
      </w:tr>
      <w:tr>
        <w:trPr>
          <w:trHeight w:val="21"/>
        </w:trPr>
        <w:tc>
          <w:tcPr>
            <w:tcW w:w="9060" w:type="dxa"/>
            <w:vAlign w:val="bottom"/>
            <w:tcBorders>
              <w:bottom w:val="single" w:sz="8" w:color="auto"/>
            </w:tcBorders>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80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Date</w:t>
            </w: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9060" w:type="dxa"/>
            <w:vAlign w:val="bottom"/>
          </w:tcPr>
          <w:p>
            <w:pPr>
              <w:ind w:left="720"/>
              <w:spacing w:after="0"/>
              <w:rPr>
                <w:sz w:val="20"/>
                <w:szCs w:val="20"/>
                <w:color w:val="auto"/>
              </w:rPr>
            </w:pPr>
            <w:r>
              <w:rPr>
                <w:rFonts w:ascii="Arial" w:cs="Arial" w:eastAsia="Arial" w:hAnsi="Arial"/>
                <w:sz w:val="18"/>
                <w:szCs w:val="18"/>
                <w:color w:val="auto"/>
              </w:rPr>
              <w:t>** Signature of Reporting Person</w:t>
            </w:r>
          </w:p>
        </w:tc>
        <w:tc>
          <w:tcPr>
            <w:tcW w:w="9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240" w:top="361" w:right="85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2"/>
          </w:tcPr>
          <w:p>
            <w:pPr>
              <w:ind w:left="2440"/>
              <w:spacing w:after="0"/>
              <w:rPr>
                <w:sz w:val="20"/>
                <w:szCs w:val="20"/>
                <w:color w:val="auto"/>
              </w:rPr>
            </w:pPr>
            <w:r>
              <w:rPr>
                <w:rFonts w:ascii="Arial" w:cs="Arial" w:eastAsia="Arial" w:hAnsi="Arial"/>
                <w:sz w:val="22"/>
                <w:szCs w:val="22"/>
                <w:b w:val="1"/>
                <w:bCs w:val="1"/>
                <w:color w:val="auto"/>
                <w:w w:val="94"/>
              </w:rPr>
              <w:t>Exhibit A</w:t>
            </w:r>
          </w:p>
        </w:tc>
      </w:tr>
      <w:tr>
        <w:trPr>
          <w:trHeight w:val="598"/>
        </w:trPr>
        <w:tc>
          <w:tcPr>
            <w:tcW w:w="4040" w:type="dxa"/>
            <w:vAlign w:val="bottom"/>
          </w:tcPr>
          <w:p>
            <w:pPr>
              <w:spacing w:after="0"/>
              <w:rPr>
                <w:sz w:val="20"/>
                <w:szCs w:val="20"/>
                <w:color w:val="auto"/>
              </w:rPr>
            </w:pPr>
            <w:r>
              <w:rPr>
                <w:rFonts w:ascii="Arial" w:cs="Arial" w:eastAsia="Arial" w:hAnsi="Arial"/>
                <w:sz w:val="14"/>
                <w:szCs w:val="14"/>
                <w:b w:val="1"/>
                <w:bCs w:val="1"/>
                <w:color w:val="auto"/>
              </w:rPr>
              <w:t>Name and Business Address</w:t>
            </w:r>
          </w:p>
        </w:tc>
        <w:tc>
          <w:tcPr>
            <w:tcW w:w="240" w:type="dxa"/>
            <w:vAlign w:val="bottom"/>
          </w:tcPr>
          <w:p>
            <w:pPr>
              <w:spacing w:after="0"/>
              <w:rPr>
                <w:sz w:val="24"/>
                <w:szCs w:val="24"/>
                <w:color w:val="auto"/>
              </w:rPr>
            </w:pPr>
          </w:p>
        </w:tc>
        <w:tc>
          <w:tcPr>
            <w:tcW w:w="3680" w:type="dxa"/>
            <w:vAlign w:val="bottom"/>
          </w:tcPr>
          <w:p>
            <w:pPr>
              <w:ind w:left="1140"/>
              <w:spacing w:after="0"/>
              <w:rPr>
                <w:sz w:val="20"/>
                <w:szCs w:val="20"/>
                <w:color w:val="auto"/>
              </w:rPr>
            </w:pPr>
            <w:r>
              <w:rPr>
                <w:rFonts w:ascii="Arial" w:cs="Arial" w:eastAsia="Arial" w:hAnsi="Arial"/>
                <w:sz w:val="14"/>
                <w:szCs w:val="14"/>
                <w:b w:val="1"/>
                <w:bCs w:val="1"/>
                <w:color w:val="auto"/>
              </w:rPr>
              <w:t>Country of Citizenship</w:t>
            </w:r>
          </w:p>
        </w:tc>
        <w:tc>
          <w:tcPr>
            <w:tcW w:w="120" w:type="dxa"/>
            <w:vAlign w:val="bottom"/>
          </w:tcPr>
          <w:p>
            <w:pPr>
              <w:spacing w:after="0"/>
              <w:rPr>
                <w:sz w:val="24"/>
                <w:szCs w:val="24"/>
                <w:color w:val="auto"/>
              </w:rPr>
            </w:pPr>
          </w:p>
        </w:tc>
        <w:tc>
          <w:tcPr>
            <w:tcW w:w="3360" w:type="dxa"/>
            <w:vAlign w:val="bottom"/>
            <w:gridSpan w:val="2"/>
          </w:tcPr>
          <w:p>
            <w:pPr>
              <w:ind w:left="260"/>
              <w:spacing w:after="0"/>
              <w:rPr>
                <w:sz w:val="20"/>
                <w:szCs w:val="20"/>
                <w:color w:val="auto"/>
              </w:rPr>
            </w:pPr>
            <w:r>
              <w:rPr>
                <w:rFonts w:ascii="Arial" w:cs="Arial" w:eastAsia="Arial" w:hAnsi="Arial"/>
                <w:sz w:val="14"/>
                <w:szCs w:val="14"/>
                <w:b w:val="1"/>
                <w:bCs w:val="1"/>
                <w:color w:val="auto"/>
              </w:rPr>
              <w:t>Present Principal Occupation or Employment</w:t>
            </w:r>
          </w:p>
        </w:tc>
      </w:tr>
      <w:tr>
        <w:trPr>
          <w:trHeight w:val="195"/>
        </w:trPr>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Patrick Lennaerts</w:t>
            </w:r>
          </w:p>
        </w:tc>
        <w:tc>
          <w:tcPr>
            <w:tcW w:w="240" w:type="dxa"/>
            <w:vAlign w:val="bottom"/>
          </w:tcPr>
          <w:p>
            <w:pPr>
              <w:spacing w:after="0"/>
              <w:rPr>
                <w:sz w:val="16"/>
                <w:szCs w:val="16"/>
                <w:color w:val="auto"/>
              </w:rPr>
            </w:pPr>
          </w:p>
        </w:tc>
        <w:tc>
          <w:tcPr>
            <w:tcW w:w="3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the Netherlands</w:t>
            </w:r>
          </w:p>
        </w:tc>
        <w:tc>
          <w:tcPr>
            <w:tcW w:w="120" w:type="dxa"/>
            <w:vAlign w:val="bottom"/>
          </w:tcPr>
          <w:p>
            <w:pPr>
              <w:spacing w:after="0"/>
              <w:rPr>
                <w:sz w:val="16"/>
                <w:szCs w:val="16"/>
                <w:color w:val="auto"/>
              </w:rPr>
            </w:pPr>
          </w:p>
        </w:tc>
        <w:tc>
          <w:tcPr>
            <w:tcW w:w="3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Managing Director of Bayer Global</w:t>
            </w:r>
          </w:p>
        </w:tc>
        <w:tc>
          <w:tcPr>
            <w:tcW w:w="20" w:type="dxa"/>
            <w:vAlign w:val="bottom"/>
          </w:tcPr>
          <w:p>
            <w:pPr>
              <w:spacing w:after="0"/>
              <w:rPr>
                <w:sz w:val="16"/>
                <w:szCs w:val="16"/>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Bayer Global Investments B.V.</w:t>
            </w:r>
          </w:p>
        </w:tc>
        <w:tc>
          <w:tcPr>
            <w:tcW w:w="2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w w:val="96"/>
              </w:rPr>
              <w:t>Investments B.V., Bayer World Investments</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Energieweg 1</w:t>
            </w:r>
          </w:p>
        </w:tc>
        <w:tc>
          <w:tcPr>
            <w:tcW w:w="2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w w:val="96"/>
              </w:rPr>
              <w:t>B.V., Bayer B.V., Bayer Capital Corporation</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3641 RT Mijdrecht</w:t>
            </w:r>
          </w:p>
        </w:tc>
        <w:tc>
          <w:tcPr>
            <w:tcW w:w="2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B.V., Bayer Solution B.V., Biogenetic</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Netherlands</w:t>
            </w:r>
          </w:p>
        </w:tc>
        <w:tc>
          <w:tcPr>
            <w:tcW w:w="2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w w:val="95"/>
              </w:rPr>
              <w:t>Technologies B.V., Bayer Netherlands B.V.,</w:t>
            </w:r>
          </w:p>
        </w:tc>
      </w:tr>
      <w:tr>
        <w:trPr>
          <w:trHeight w:val="216"/>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Bayer New TK M3970 Min I B.V., Bayer</w:t>
            </w:r>
          </w:p>
        </w:tc>
      </w:tr>
      <w:tr>
        <w:trPr>
          <w:trHeight w:val="216"/>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New ZA M3743 Min I B.V., Bayer Seeds</w:t>
            </w:r>
          </w:p>
        </w:tc>
      </w:tr>
      <w:tr>
        <w:trPr>
          <w:trHeight w:val="230"/>
        </w:trPr>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B.V., and Berlipharm B.V.</w:t>
            </w:r>
          </w:p>
        </w:tc>
      </w:tr>
      <w:tr>
        <w:trPr>
          <w:trHeight w:val="350"/>
        </w:trPr>
        <w:tc>
          <w:tcPr>
            <w:tcW w:w="4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w w:val="94"/>
              </w:rPr>
              <w:t>Member of the Board of Bayer Medical Care</w:t>
            </w:r>
          </w:p>
        </w:tc>
      </w:tr>
      <w:tr>
        <w:trPr>
          <w:trHeight w:val="230"/>
        </w:trPr>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B.V., and Bayer SA-NV</w:t>
            </w: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Peter van Oostrum</w:t>
            </w:r>
          </w:p>
        </w:tc>
        <w:tc>
          <w:tcPr>
            <w:tcW w:w="3920" w:type="dxa"/>
            <w:vAlign w:val="bottom"/>
            <w:gridSpan w:val="2"/>
          </w:tcPr>
          <w:p>
            <w:pPr>
              <w:ind w:left="240"/>
              <w:spacing w:after="0"/>
              <w:rPr>
                <w:sz w:val="20"/>
                <w:szCs w:val="20"/>
                <w:color w:val="auto"/>
              </w:rPr>
            </w:pPr>
            <w:r>
              <w:rPr>
                <w:rFonts w:ascii="Arial" w:cs="Arial" w:eastAsia="Arial" w:hAnsi="Arial"/>
                <w:sz w:val="18"/>
                <w:szCs w:val="18"/>
                <w:color w:val="auto"/>
              </w:rPr>
              <w:t>the Netherlands</w:t>
            </w:r>
          </w:p>
        </w:tc>
        <w:tc>
          <w:tcPr>
            <w:tcW w:w="12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w w:val="98"/>
              </w:rPr>
              <w:t>Director of Bayer Global Investments B.V.,</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Bayer Global Investments B.V.</w:t>
            </w:r>
          </w:p>
        </w:tc>
        <w:tc>
          <w:tcPr>
            <w:tcW w:w="2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Bayer World Investments B.V., Bayer</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Energieweg 1</w:t>
            </w:r>
          </w:p>
        </w:tc>
        <w:tc>
          <w:tcPr>
            <w:tcW w:w="2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Netherlands B.V. and Bayer Capital</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3641 RT Mijdrecht</w:t>
            </w:r>
          </w:p>
        </w:tc>
        <w:tc>
          <w:tcPr>
            <w:tcW w:w="2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Corporation B.V.</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Netherlands</w:t>
            </w:r>
          </w:p>
        </w:tc>
        <w:tc>
          <w:tcPr>
            <w:tcW w:w="2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ectPr>
          <w:pgSz w:w="11900" w:h="16838" w:orient="portrait"/>
          <w:cols w:equalWidth="0" w:num="1">
            <w:col w:w="11420"/>
          </w:cols>
          <w:pgMar w:left="240" w:top="841"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gridSpan w:val="2"/>
          </w:tcPr>
          <w:p>
            <w:pPr>
              <w:ind w:left="2460"/>
              <w:spacing w:after="0"/>
              <w:rPr>
                <w:sz w:val="20"/>
                <w:szCs w:val="20"/>
                <w:color w:val="auto"/>
              </w:rPr>
            </w:pPr>
            <w:r>
              <w:rPr>
                <w:rFonts w:ascii="Arial" w:cs="Arial" w:eastAsia="Arial" w:hAnsi="Arial"/>
                <w:sz w:val="22"/>
                <w:szCs w:val="22"/>
                <w:b w:val="1"/>
                <w:bCs w:val="1"/>
                <w:color w:val="auto"/>
                <w:w w:val="92"/>
              </w:rPr>
              <w:t>Exhibit B</w:t>
            </w:r>
          </w:p>
        </w:tc>
      </w:tr>
      <w:tr>
        <w:trPr>
          <w:trHeight w:val="382"/>
        </w:trPr>
        <w:tc>
          <w:tcPr>
            <w:tcW w:w="4040" w:type="dxa"/>
            <w:vAlign w:val="bottom"/>
          </w:tcPr>
          <w:p>
            <w:pPr>
              <w:spacing w:after="0"/>
              <w:rPr>
                <w:sz w:val="20"/>
                <w:szCs w:val="20"/>
                <w:color w:val="auto"/>
              </w:rPr>
            </w:pPr>
            <w:r>
              <w:rPr>
                <w:rFonts w:ascii="Arial" w:cs="Arial" w:eastAsia="Arial" w:hAnsi="Arial"/>
                <w:sz w:val="14"/>
                <w:szCs w:val="14"/>
                <w:b w:val="1"/>
                <w:bCs w:val="1"/>
                <w:color w:val="auto"/>
              </w:rPr>
              <w:t>Name and Business Address</w:t>
            </w:r>
          </w:p>
        </w:tc>
        <w:tc>
          <w:tcPr>
            <w:tcW w:w="220" w:type="dxa"/>
            <w:vAlign w:val="bottom"/>
          </w:tcPr>
          <w:p>
            <w:pPr>
              <w:spacing w:after="0"/>
              <w:rPr>
                <w:sz w:val="24"/>
                <w:szCs w:val="24"/>
                <w:color w:val="auto"/>
              </w:rPr>
            </w:pPr>
          </w:p>
        </w:tc>
        <w:tc>
          <w:tcPr>
            <w:tcW w:w="3680" w:type="dxa"/>
            <w:vAlign w:val="bottom"/>
          </w:tcPr>
          <w:p>
            <w:pPr>
              <w:ind w:left="1140"/>
              <w:spacing w:after="0"/>
              <w:rPr>
                <w:sz w:val="20"/>
                <w:szCs w:val="20"/>
                <w:color w:val="auto"/>
              </w:rPr>
            </w:pPr>
            <w:r>
              <w:rPr>
                <w:rFonts w:ascii="Arial" w:cs="Arial" w:eastAsia="Arial" w:hAnsi="Arial"/>
                <w:sz w:val="14"/>
                <w:szCs w:val="14"/>
                <w:b w:val="1"/>
                <w:bCs w:val="1"/>
                <w:color w:val="auto"/>
              </w:rPr>
              <w:t>Country of Citizenship</w:t>
            </w:r>
          </w:p>
        </w:tc>
        <w:tc>
          <w:tcPr>
            <w:tcW w:w="140" w:type="dxa"/>
            <w:vAlign w:val="bottom"/>
          </w:tcPr>
          <w:p>
            <w:pPr>
              <w:spacing w:after="0"/>
              <w:rPr>
                <w:sz w:val="24"/>
                <w:szCs w:val="24"/>
                <w:color w:val="auto"/>
              </w:rPr>
            </w:pPr>
          </w:p>
        </w:tc>
        <w:tc>
          <w:tcPr>
            <w:tcW w:w="3360" w:type="dxa"/>
            <w:vAlign w:val="bottom"/>
            <w:gridSpan w:val="2"/>
          </w:tcPr>
          <w:p>
            <w:pPr>
              <w:ind w:left="260"/>
              <w:spacing w:after="0"/>
              <w:rPr>
                <w:sz w:val="20"/>
                <w:szCs w:val="20"/>
                <w:color w:val="auto"/>
              </w:rPr>
            </w:pPr>
            <w:r>
              <w:rPr>
                <w:rFonts w:ascii="Arial" w:cs="Arial" w:eastAsia="Arial" w:hAnsi="Arial"/>
                <w:sz w:val="14"/>
                <w:szCs w:val="14"/>
                <w:b w:val="1"/>
                <w:bCs w:val="1"/>
                <w:color w:val="auto"/>
              </w:rPr>
              <w:t>Present Principal Occupation or Employment</w:t>
            </w:r>
          </w:p>
        </w:tc>
      </w:tr>
      <w:tr>
        <w:trPr>
          <w:trHeight w:val="195"/>
        </w:trPr>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Werner Baumann</w:t>
            </w:r>
          </w:p>
        </w:tc>
        <w:tc>
          <w:tcPr>
            <w:tcW w:w="220" w:type="dxa"/>
            <w:vAlign w:val="bottom"/>
          </w:tcPr>
          <w:p>
            <w:pPr>
              <w:spacing w:after="0"/>
              <w:rPr>
                <w:sz w:val="16"/>
                <w:szCs w:val="16"/>
                <w:color w:val="auto"/>
              </w:rPr>
            </w:pPr>
          </w:p>
        </w:tc>
        <w:tc>
          <w:tcPr>
            <w:tcW w:w="3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Germany</w:t>
            </w:r>
          </w:p>
        </w:tc>
        <w:tc>
          <w:tcPr>
            <w:tcW w:w="140" w:type="dxa"/>
            <w:vAlign w:val="bottom"/>
          </w:tcPr>
          <w:p>
            <w:pPr>
              <w:spacing w:after="0"/>
              <w:rPr>
                <w:sz w:val="16"/>
                <w:szCs w:val="16"/>
                <w:color w:val="auto"/>
              </w:rPr>
            </w:pPr>
          </w:p>
        </w:tc>
        <w:tc>
          <w:tcPr>
            <w:tcW w:w="3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CEO Bayer AG</w:t>
            </w:r>
          </w:p>
        </w:tc>
        <w:tc>
          <w:tcPr>
            <w:tcW w:w="20" w:type="dxa"/>
            <w:vAlign w:val="bottom"/>
          </w:tcPr>
          <w:p>
            <w:pPr>
              <w:spacing w:after="0"/>
              <w:rPr>
                <w:sz w:val="16"/>
                <w:szCs w:val="16"/>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Bayer AG</w:t>
            </w:r>
          </w:p>
        </w:tc>
        <w:tc>
          <w:tcPr>
            <w:tcW w:w="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Kaiser-Wilhelm-Allee</w:t>
            </w:r>
          </w:p>
        </w:tc>
        <w:tc>
          <w:tcPr>
            <w:tcW w:w="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51368 Leverkusen</w:t>
            </w:r>
          </w:p>
        </w:tc>
        <w:tc>
          <w:tcPr>
            <w:tcW w:w="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Germany</w:t>
            </w:r>
          </w:p>
        </w:tc>
        <w:tc>
          <w:tcPr>
            <w:tcW w:w="2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Liam Condon</w:t>
            </w:r>
          </w:p>
        </w:tc>
        <w:tc>
          <w:tcPr>
            <w:tcW w:w="22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Ireland</w:t>
            </w:r>
          </w:p>
        </w:tc>
        <w:tc>
          <w:tcPr>
            <w:tcW w:w="3500" w:type="dxa"/>
            <w:vAlign w:val="bottom"/>
            <w:gridSpan w:val="3"/>
          </w:tcPr>
          <w:p>
            <w:pPr>
              <w:ind w:left="140"/>
              <w:spacing w:after="0"/>
              <w:rPr>
                <w:sz w:val="20"/>
                <w:szCs w:val="20"/>
                <w:color w:val="auto"/>
              </w:rPr>
            </w:pPr>
            <w:r>
              <w:rPr>
                <w:rFonts w:ascii="Arial" w:cs="Arial" w:eastAsia="Arial" w:hAnsi="Arial"/>
                <w:sz w:val="18"/>
                <w:szCs w:val="18"/>
                <w:color w:val="auto"/>
                <w:w w:val="95"/>
              </w:rPr>
              <w:t>Member of the Board of Management Bayer</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Bayer AG</w:t>
            </w:r>
          </w:p>
        </w:tc>
        <w:tc>
          <w:tcPr>
            <w:tcW w:w="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500" w:type="dxa"/>
            <w:vAlign w:val="bottom"/>
            <w:gridSpan w:val="3"/>
          </w:tcPr>
          <w:p>
            <w:pPr>
              <w:ind w:left="140"/>
              <w:spacing w:after="0"/>
              <w:rPr>
                <w:sz w:val="20"/>
                <w:szCs w:val="20"/>
                <w:color w:val="auto"/>
              </w:rPr>
            </w:pPr>
            <w:r>
              <w:rPr>
                <w:rFonts w:ascii="Arial" w:cs="Arial" w:eastAsia="Arial" w:hAnsi="Arial"/>
                <w:sz w:val="18"/>
                <w:szCs w:val="18"/>
                <w:color w:val="auto"/>
              </w:rPr>
              <w:t>AG</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Alfred-Nobel Str. 50</w:t>
            </w:r>
          </w:p>
        </w:tc>
        <w:tc>
          <w:tcPr>
            <w:tcW w:w="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500" w:type="dxa"/>
            <w:vAlign w:val="bottom"/>
            <w:gridSpan w:val="3"/>
          </w:tcPr>
          <w:p>
            <w:pPr>
              <w:ind w:left="140"/>
              <w:spacing w:after="0"/>
              <w:rPr>
                <w:sz w:val="20"/>
                <w:szCs w:val="20"/>
                <w:color w:val="auto"/>
              </w:rPr>
            </w:pPr>
            <w:r>
              <w:rPr>
                <w:rFonts w:ascii="Arial" w:cs="Arial" w:eastAsia="Arial" w:hAnsi="Arial"/>
                <w:sz w:val="18"/>
                <w:szCs w:val="18"/>
                <w:color w:val="auto"/>
              </w:rPr>
              <w:t>President Crop Science Division</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40789 Monheim am Rhein</w:t>
            </w:r>
          </w:p>
        </w:tc>
        <w:tc>
          <w:tcPr>
            <w:tcW w:w="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500" w:type="dxa"/>
            <w:vAlign w:val="bottom"/>
            <w:gridSpan w:val="3"/>
          </w:tcPr>
          <w:p>
            <w:pPr>
              <w:ind w:left="140"/>
              <w:spacing w:after="0"/>
              <w:rPr>
                <w:sz w:val="20"/>
                <w:szCs w:val="20"/>
                <w:color w:val="auto"/>
              </w:rPr>
            </w:pPr>
            <w:r>
              <w:rPr>
                <w:rFonts w:ascii="Arial" w:cs="Arial" w:eastAsia="Arial" w:hAnsi="Arial"/>
                <w:sz w:val="18"/>
                <w:szCs w:val="18"/>
                <w:color w:val="auto"/>
                <w:w w:val="93"/>
              </w:rPr>
              <w:t>Responsible for Animal Health Business Unit</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Germany</w:t>
            </w:r>
          </w:p>
        </w:tc>
        <w:tc>
          <w:tcPr>
            <w:tcW w:w="2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Wolfgang Nickl</w:t>
            </w:r>
          </w:p>
        </w:tc>
        <w:tc>
          <w:tcPr>
            <w:tcW w:w="22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Germany</w:t>
            </w:r>
          </w:p>
        </w:tc>
        <w:tc>
          <w:tcPr>
            <w:tcW w:w="3500" w:type="dxa"/>
            <w:vAlign w:val="bottom"/>
            <w:gridSpan w:val="3"/>
          </w:tcPr>
          <w:p>
            <w:pPr>
              <w:ind w:left="140"/>
              <w:spacing w:after="0"/>
              <w:rPr>
                <w:sz w:val="20"/>
                <w:szCs w:val="20"/>
                <w:color w:val="auto"/>
              </w:rPr>
            </w:pPr>
            <w:r>
              <w:rPr>
                <w:rFonts w:ascii="Arial" w:cs="Arial" w:eastAsia="Arial" w:hAnsi="Arial"/>
                <w:sz w:val="18"/>
                <w:szCs w:val="18"/>
                <w:color w:val="auto"/>
                <w:w w:val="95"/>
              </w:rPr>
              <w:t>Member of the Board of Management Bayer</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Bayer AG</w:t>
            </w:r>
          </w:p>
        </w:tc>
        <w:tc>
          <w:tcPr>
            <w:tcW w:w="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500" w:type="dxa"/>
            <w:vAlign w:val="bottom"/>
            <w:gridSpan w:val="3"/>
          </w:tcPr>
          <w:p>
            <w:pPr>
              <w:ind w:left="140"/>
              <w:spacing w:after="0"/>
              <w:rPr>
                <w:sz w:val="20"/>
                <w:szCs w:val="20"/>
                <w:color w:val="auto"/>
              </w:rPr>
            </w:pPr>
            <w:r>
              <w:rPr>
                <w:rFonts w:ascii="Arial" w:cs="Arial" w:eastAsia="Arial" w:hAnsi="Arial"/>
                <w:sz w:val="18"/>
                <w:szCs w:val="18"/>
                <w:color w:val="auto"/>
              </w:rPr>
              <w:t>AG</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Kaiser-Wilhelm-Allee</w:t>
            </w:r>
          </w:p>
        </w:tc>
        <w:tc>
          <w:tcPr>
            <w:tcW w:w="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500" w:type="dxa"/>
            <w:vAlign w:val="bottom"/>
            <w:gridSpan w:val="3"/>
          </w:tcPr>
          <w:p>
            <w:pPr>
              <w:ind w:left="140"/>
              <w:spacing w:after="0"/>
              <w:rPr>
                <w:sz w:val="20"/>
                <w:szCs w:val="20"/>
                <w:color w:val="auto"/>
              </w:rPr>
            </w:pPr>
            <w:r>
              <w:rPr>
                <w:rFonts w:ascii="Arial" w:cs="Arial" w:eastAsia="Arial" w:hAnsi="Arial"/>
                <w:sz w:val="18"/>
                <w:szCs w:val="18"/>
                <w:color w:val="auto"/>
                <w:w w:val="98"/>
              </w:rPr>
              <w:t>Responsible for Finance (CFO) and for the</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51368 Leverkusen</w:t>
            </w:r>
          </w:p>
        </w:tc>
        <w:tc>
          <w:tcPr>
            <w:tcW w:w="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500" w:type="dxa"/>
            <w:vAlign w:val="bottom"/>
            <w:gridSpan w:val="3"/>
          </w:tcPr>
          <w:p>
            <w:pPr>
              <w:ind w:left="140"/>
              <w:spacing w:after="0"/>
              <w:rPr>
                <w:sz w:val="20"/>
                <w:szCs w:val="20"/>
                <w:color w:val="auto"/>
              </w:rPr>
            </w:pPr>
            <w:r>
              <w:rPr>
                <w:rFonts w:ascii="Arial" w:cs="Arial" w:eastAsia="Arial" w:hAnsi="Arial"/>
                <w:sz w:val="18"/>
                <w:szCs w:val="18"/>
                <w:color w:val="auto"/>
              </w:rPr>
              <w:t>region North America</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Germany</w:t>
            </w:r>
          </w:p>
        </w:tc>
        <w:tc>
          <w:tcPr>
            <w:tcW w:w="2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Stefan Oelrich</w:t>
            </w:r>
          </w:p>
        </w:tc>
        <w:tc>
          <w:tcPr>
            <w:tcW w:w="22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Germany</w:t>
            </w:r>
          </w:p>
        </w:tc>
        <w:tc>
          <w:tcPr>
            <w:tcW w:w="3500" w:type="dxa"/>
            <w:vAlign w:val="bottom"/>
            <w:gridSpan w:val="3"/>
          </w:tcPr>
          <w:p>
            <w:pPr>
              <w:ind w:left="140"/>
              <w:spacing w:after="0"/>
              <w:rPr>
                <w:sz w:val="20"/>
                <w:szCs w:val="20"/>
                <w:color w:val="auto"/>
              </w:rPr>
            </w:pPr>
            <w:r>
              <w:rPr>
                <w:rFonts w:ascii="Arial" w:cs="Arial" w:eastAsia="Arial" w:hAnsi="Arial"/>
                <w:sz w:val="18"/>
                <w:szCs w:val="18"/>
                <w:color w:val="auto"/>
                <w:w w:val="95"/>
              </w:rPr>
              <w:t>Member of the Board of Management Bayer</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Bayer AG</w:t>
            </w:r>
          </w:p>
        </w:tc>
        <w:tc>
          <w:tcPr>
            <w:tcW w:w="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500" w:type="dxa"/>
            <w:vAlign w:val="bottom"/>
            <w:gridSpan w:val="3"/>
          </w:tcPr>
          <w:p>
            <w:pPr>
              <w:ind w:left="140"/>
              <w:spacing w:after="0"/>
              <w:rPr>
                <w:sz w:val="20"/>
                <w:szCs w:val="20"/>
                <w:color w:val="auto"/>
              </w:rPr>
            </w:pPr>
            <w:r>
              <w:rPr>
                <w:rFonts w:ascii="Arial" w:cs="Arial" w:eastAsia="Arial" w:hAnsi="Arial"/>
                <w:sz w:val="18"/>
                <w:szCs w:val="18"/>
                <w:color w:val="auto"/>
              </w:rPr>
              <w:t>AG</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Kaiser-Wilhelm-Allee</w:t>
            </w:r>
          </w:p>
        </w:tc>
        <w:tc>
          <w:tcPr>
            <w:tcW w:w="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500" w:type="dxa"/>
            <w:vAlign w:val="bottom"/>
            <w:gridSpan w:val="3"/>
          </w:tcPr>
          <w:p>
            <w:pPr>
              <w:ind w:left="140"/>
              <w:spacing w:after="0"/>
              <w:rPr>
                <w:sz w:val="20"/>
                <w:szCs w:val="20"/>
                <w:color w:val="auto"/>
              </w:rPr>
            </w:pPr>
            <w:r>
              <w:rPr>
                <w:rFonts w:ascii="Arial" w:cs="Arial" w:eastAsia="Arial" w:hAnsi="Arial"/>
                <w:sz w:val="18"/>
                <w:szCs w:val="18"/>
                <w:color w:val="auto"/>
                <w:w w:val="99"/>
              </w:rPr>
              <w:t>Head of the Pharmaceuticals Division and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51368 Leverkusen</w:t>
            </w:r>
          </w:p>
        </w:tc>
        <w:tc>
          <w:tcPr>
            <w:tcW w:w="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500" w:type="dxa"/>
            <w:vAlign w:val="bottom"/>
            <w:gridSpan w:val="3"/>
          </w:tcPr>
          <w:p>
            <w:pPr>
              <w:ind w:left="140"/>
              <w:spacing w:after="0"/>
              <w:rPr>
                <w:sz w:val="20"/>
                <w:szCs w:val="20"/>
                <w:color w:val="auto"/>
              </w:rPr>
            </w:pPr>
            <w:r>
              <w:rPr>
                <w:rFonts w:ascii="Arial" w:cs="Arial" w:eastAsia="Arial" w:hAnsi="Arial"/>
                <w:sz w:val="18"/>
                <w:szCs w:val="18"/>
                <w:color w:val="auto"/>
              </w:rPr>
              <w:t>responsible for region Latin America</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Germany</w:t>
            </w:r>
          </w:p>
        </w:tc>
        <w:tc>
          <w:tcPr>
            <w:tcW w:w="2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Heiko Schipper</w:t>
            </w:r>
          </w:p>
        </w:tc>
        <w:tc>
          <w:tcPr>
            <w:tcW w:w="22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the Netherlands</w:t>
            </w:r>
          </w:p>
        </w:tc>
        <w:tc>
          <w:tcPr>
            <w:tcW w:w="3500" w:type="dxa"/>
            <w:vAlign w:val="bottom"/>
            <w:gridSpan w:val="3"/>
          </w:tcPr>
          <w:p>
            <w:pPr>
              <w:ind w:left="140"/>
              <w:spacing w:after="0"/>
              <w:rPr>
                <w:sz w:val="20"/>
                <w:szCs w:val="20"/>
                <w:color w:val="auto"/>
              </w:rPr>
            </w:pPr>
            <w:r>
              <w:rPr>
                <w:rFonts w:ascii="Arial" w:cs="Arial" w:eastAsia="Arial" w:hAnsi="Arial"/>
                <w:sz w:val="18"/>
                <w:szCs w:val="18"/>
                <w:color w:val="auto"/>
                <w:w w:val="95"/>
              </w:rPr>
              <w:t>Member of the Board of Management Bayer</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Bayer AG</w:t>
            </w:r>
          </w:p>
        </w:tc>
        <w:tc>
          <w:tcPr>
            <w:tcW w:w="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500" w:type="dxa"/>
            <w:vAlign w:val="bottom"/>
            <w:gridSpan w:val="3"/>
          </w:tcPr>
          <w:p>
            <w:pPr>
              <w:ind w:left="140"/>
              <w:spacing w:after="0"/>
              <w:rPr>
                <w:sz w:val="20"/>
                <w:szCs w:val="20"/>
                <w:color w:val="auto"/>
              </w:rPr>
            </w:pPr>
            <w:r>
              <w:rPr>
                <w:rFonts w:ascii="Arial" w:cs="Arial" w:eastAsia="Arial" w:hAnsi="Arial"/>
                <w:sz w:val="18"/>
                <w:szCs w:val="18"/>
                <w:color w:val="auto"/>
              </w:rPr>
              <w:t>AG</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Kaiser-Wilhelm-Allee</w:t>
            </w:r>
          </w:p>
        </w:tc>
        <w:tc>
          <w:tcPr>
            <w:tcW w:w="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500" w:type="dxa"/>
            <w:vAlign w:val="bottom"/>
            <w:gridSpan w:val="3"/>
          </w:tcPr>
          <w:p>
            <w:pPr>
              <w:ind w:left="140"/>
              <w:spacing w:after="0"/>
              <w:rPr>
                <w:sz w:val="20"/>
                <w:szCs w:val="20"/>
                <w:color w:val="auto"/>
              </w:rPr>
            </w:pPr>
            <w:r>
              <w:rPr>
                <w:rFonts w:ascii="Arial" w:cs="Arial" w:eastAsia="Arial" w:hAnsi="Arial"/>
                <w:sz w:val="18"/>
                <w:szCs w:val="18"/>
                <w:color w:val="auto"/>
              </w:rPr>
              <w:t>President Consumer Health Division</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51368 Leverkusen</w:t>
            </w:r>
          </w:p>
        </w:tc>
        <w:tc>
          <w:tcPr>
            <w:tcW w:w="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Germany</w:t>
            </w:r>
          </w:p>
        </w:tc>
        <w:tc>
          <w:tcPr>
            <w:tcW w:w="2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Bernd-Peter Bier</w:t>
            </w:r>
          </w:p>
        </w:tc>
        <w:tc>
          <w:tcPr>
            <w:tcW w:w="22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Germany</w:t>
            </w:r>
          </w:p>
        </w:tc>
        <w:tc>
          <w:tcPr>
            <w:tcW w:w="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Bayer AG</w:t>
            </w:r>
          </w:p>
        </w:tc>
        <w:tc>
          <w:tcPr>
            <w:tcW w:w="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500" w:type="dxa"/>
            <w:vAlign w:val="bottom"/>
            <w:gridSpan w:val="3"/>
          </w:tcPr>
          <w:p>
            <w:pPr>
              <w:ind w:left="140"/>
              <w:spacing w:after="0"/>
              <w:rPr>
                <w:sz w:val="20"/>
                <w:szCs w:val="20"/>
                <w:color w:val="auto"/>
              </w:rPr>
            </w:pPr>
            <w:r>
              <w:rPr>
                <w:rFonts w:ascii="Arial" w:cs="Arial" w:eastAsia="Arial" w:hAnsi="Arial"/>
                <w:sz w:val="18"/>
                <w:szCs w:val="18"/>
                <w:color w:val="auto"/>
              </w:rPr>
              <w:t>Head of Group Finance</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Kaiser-Wilhelm-Allee</w:t>
            </w:r>
          </w:p>
        </w:tc>
        <w:tc>
          <w:tcPr>
            <w:tcW w:w="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500" w:type="dxa"/>
            <w:vAlign w:val="bottom"/>
            <w:gridSpan w:val="3"/>
          </w:tcPr>
          <w:p>
            <w:pPr>
              <w:ind w:left="140"/>
              <w:spacing w:after="0"/>
              <w:rPr>
                <w:sz w:val="20"/>
                <w:szCs w:val="20"/>
                <w:color w:val="auto"/>
              </w:rPr>
            </w:pPr>
            <w:r>
              <w:rPr>
                <w:rFonts w:ascii="Arial" w:cs="Arial" w:eastAsia="Arial" w:hAnsi="Arial"/>
                <w:sz w:val="18"/>
                <w:szCs w:val="18"/>
                <w:color w:val="auto"/>
              </w:rPr>
              <w:t>Bayer AG</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51368 Leverkusen</w:t>
            </w:r>
          </w:p>
        </w:tc>
        <w:tc>
          <w:tcPr>
            <w:tcW w:w="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Germany</w:t>
            </w:r>
          </w:p>
        </w:tc>
        <w:tc>
          <w:tcPr>
            <w:tcW w:w="2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Gabriel Harnier</w:t>
            </w:r>
          </w:p>
        </w:tc>
        <w:tc>
          <w:tcPr>
            <w:tcW w:w="22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Germany</w:t>
            </w:r>
          </w:p>
        </w:tc>
        <w:tc>
          <w:tcPr>
            <w:tcW w:w="3500" w:type="dxa"/>
            <w:vAlign w:val="bottom"/>
            <w:gridSpan w:val="3"/>
          </w:tcPr>
          <w:p>
            <w:pPr>
              <w:ind w:left="140"/>
              <w:spacing w:after="0"/>
              <w:rPr>
                <w:sz w:val="20"/>
                <w:szCs w:val="20"/>
                <w:color w:val="auto"/>
              </w:rPr>
            </w:pPr>
            <w:r>
              <w:rPr>
                <w:rFonts w:ascii="Arial" w:cs="Arial" w:eastAsia="Arial" w:hAnsi="Arial"/>
                <w:sz w:val="18"/>
                <w:szCs w:val="18"/>
                <w:color w:val="auto"/>
              </w:rPr>
              <w:t>General Counsel</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Bayer AG</w:t>
            </w:r>
          </w:p>
        </w:tc>
        <w:tc>
          <w:tcPr>
            <w:tcW w:w="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500" w:type="dxa"/>
            <w:vAlign w:val="bottom"/>
            <w:gridSpan w:val="3"/>
          </w:tcPr>
          <w:p>
            <w:pPr>
              <w:ind w:left="140"/>
              <w:spacing w:after="0"/>
              <w:rPr>
                <w:sz w:val="20"/>
                <w:szCs w:val="20"/>
                <w:color w:val="auto"/>
              </w:rPr>
            </w:pPr>
            <w:r>
              <w:rPr>
                <w:rFonts w:ascii="Arial" w:cs="Arial" w:eastAsia="Arial" w:hAnsi="Arial"/>
                <w:sz w:val="18"/>
                <w:szCs w:val="18"/>
                <w:color w:val="auto"/>
              </w:rPr>
              <w:t>Bayer AG</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Kaiser-Wilhelm-Allee</w:t>
            </w:r>
          </w:p>
        </w:tc>
        <w:tc>
          <w:tcPr>
            <w:tcW w:w="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51368 Leverkusen</w:t>
            </w:r>
          </w:p>
        </w:tc>
        <w:tc>
          <w:tcPr>
            <w:tcW w:w="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Germany</w:t>
            </w:r>
          </w:p>
        </w:tc>
        <w:tc>
          <w:tcPr>
            <w:tcW w:w="2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ectPr>
          <w:pgSz w:w="11900" w:h="16838" w:orient="portrait"/>
          <w:cols w:equalWidth="0" w:num="1">
            <w:col w:w="11420"/>
          </w:cols>
          <w:pgMar w:left="240" w:top="990" w:right="2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22"/>
          <w:szCs w:val="22"/>
          <w:color w:val="auto"/>
        </w:rPr>
        <w:t>EXHIBIT H</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JOINT FILING AGREEMENT</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Each of the undersigned hereby agrees that Amendment No. 1 to the Schedule 13D, to which this Agreement is attached as Exhibit H, and all further amendments to Schedule 13D relating to the Common Stock of CRISPR Therapeutics AG may be filed on behalf of each such person.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Dated: January 10, 2020</w:t>
      </w:r>
    </w:p>
    <w:p>
      <w:pPr>
        <w:spacing w:after="0" w:line="21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BAYER GLOBAL INVESTMENTS B.V.</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Patrick Lennaerts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-10160</wp:posOffset>
            </wp:positionV>
            <wp:extent cx="23964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9649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Patrick Lennaerts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BAYER AG</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Martina Völkel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-10160</wp:posOffset>
            </wp:positionV>
            <wp:extent cx="23234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234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Martina Völkel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CFI, Head of LATAM</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Martin Eisenhauer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-10160</wp:posOffset>
            </wp:positionV>
            <wp:extent cx="2383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Martin Eisenhauer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Senior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983615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1077595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360"/>
      </w:cols>
      <w:pgMar w:left="240" w:top="60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5"/>
      <w:numFmt w:val="bullet"/>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2020-01-10T15:52:22Z</dcterms:created>
  <dcterms:modified xsi:type="dcterms:W3CDTF">2020-01-10T15:52:22Z</dcterms:modified>
</cp:coreProperties>
</file>