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9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9397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Kulkarni Samarth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900"/>
        <w:spacing w:after="0" w:line="344" w:lineRule="auto"/>
        <w:rPr>
          <w:sz w:val="20"/>
          <w:szCs w:val="20"/>
          <w:color w:val="auto"/>
        </w:rPr>
      </w:pPr>
      <w:r>
        <w:rPr>
          <w:rFonts w:ascii="Times New Roman" w:cs="Times New Roman" w:eastAsia="Times New Roman" w:hAnsi="Times New Roman"/>
          <w:sz w:val="16"/>
          <w:szCs w:val="16"/>
          <w:color w:val="0000FF"/>
        </w:rPr>
        <w:t>C/O CRISPR THERAPEUTICS 105 WEST FIRST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CRISPR Therapeutics AG</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CRSP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5"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02127</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2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49.01</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10/26/2026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57,500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0000FF"/>
              </w:rPr>
              <w:t>10/26/2036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57,500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57,500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Shares</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28,750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10/26/2026</w:t>
            </w:r>
          </w:p>
        </w:tc>
        <w:tc>
          <w:tcPr>
            <w:tcW w:w="110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28,750</w:t>
            </w: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28,750</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October 26, 2026 with respect to 57,500 Common Shares. 100% of the shares will vest in 48 equal monthly installments, with the first vesting date of November 26, 2026.</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CRSP Common Shares.</w:t>
      </w:r>
    </w:p>
    <w:p>
      <w:pPr>
        <w:spacing w:after="0" w:line="43" w:lineRule="exact"/>
        <w:rPr>
          <w:rFonts w:ascii="Times New Roman" w:cs="Times New Roman" w:eastAsia="Times New Roman" w:hAnsi="Times New Roman"/>
          <w:sz w:val="13"/>
          <w:szCs w:val="13"/>
          <w:color w:val="008000"/>
        </w:rPr>
      </w:pPr>
    </w:p>
    <w:p>
      <w:pPr>
        <w:ind w:left="40" w:right="3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restricted stock unit award was granted on October 26, 2026 with respect to 28,750 Common Shares, with (i) one quarter of the shares vesting on October 26, 2027, (ii) one quarter of the shares vesting on October 26, 2028, (iii) one quarter of the shares vesting on October 26, 2029, and (iv) one quarter of the shares vesting on October 26, 2030.</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Elizabeth Ryland Waldinger,</w:t>
            </w:r>
          </w:p>
        </w:tc>
        <w:tc>
          <w:tcPr>
            <w:tcW w:w="2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10/28/2026</w:t>
            </w:r>
          </w:p>
        </w:tc>
        <w:tc>
          <w:tcPr>
            <w:tcW w:w="0" w:type="dxa"/>
            <w:vAlign w:val="bottom"/>
          </w:tcPr>
          <w:p>
            <w:pPr>
              <w:spacing w:after="0"/>
              <w:rPr>
                <w:sz w:val="1"/>
                <w:szCs w:val="1"/>
                <w:color w:val="auto"/>
              </w:rPr>
            </w:pPr>
          </w:p>
        </w:tc>
      </w:tr>
      <w:tr>
        <w:trPr>
          <w:trHeight w:val="88"/>
        </w:trPr>
        <w:tc>
          <w:tcPr>
            <w:tcW w:w="10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1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0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82019" TargetMode="External"/><Relationship Id="rId14" Type="http://schemas.openxmlformats.org/officeDocument/2006/relationships/hyperlink" Target="http://www.sec.gov/cgi-bin/browse-edgar?action=getcompany&amp;CIK=000167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2026-10-28T16:55:52Z</dcterms:created>
  <dcterms:modified xsi:type="dcterms:W3CDTF">2026-10-28T16:55:52Z</dcterms:modified>
</cp:coreProperties>
</file>