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Behbahani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SAND HILL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CRISPR Therapeutics AG</w:t>
              </w:r>
            </w:hyperlink>
            <w:r>
              <w:rPr/>
              <w:t xml:space="preserve"> [ </w:t>
            </w:r>
            <w:r>
              <w:rPr>
                <w:rFonts w:ascii="Times;serif" w:hAnsi="Times;serif"/>
                <w:color w:val="0000FF"/>
                <w:sz w:val="24"/>
                <w:shd w:fill="FFFFFF" w:val="clear"/>
              </w:rPr>
              <w:t>CRSP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30,316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13,679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57.0901</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 2</w:t>
            </w:r>
            <w:r>
              <w:rPr>
                <w:rFonts w:ascii="Times;serif" w:hAnsi="Times;serif"/>
                <w:color w:val="008000"/>
                <w:position w:val="7"/>
                <w:sz w:val="16"/>
                <w:sz w:val="20"/>
                <w:shd w:fill="FFFFFF" w:val="clear"/>
              </w:rPr>
              <w:t>(2)</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sold in multiple transactions at prices ranging from $56.97 to $57.43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trustee of The Ali Behbahani Revocable Trust Dated June 26, 2015 (the "Behbahani Trust"), which is the direct beneficial owner of the securities. The Reporting Person disclaims beneficial ownership within the meaning of Section 16 of the Securities Exchange Act of 1934, as amended, of such portion of the Common Shares of the Issuer held by the Behbahani Trust in which the Reporting Person has no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was granted on October 18, 2016 with respect to 30,000 Common Shares with 100% of the shares vesting in 36 equal monthly installments beginning October 31, 2016.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Zachary Bambach,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3867" TargetMode="External"/><Relationship Id="rId5" Type="http://schemas.openxmlformats.org/officeDocument/2006/relationships/hyperlink" Target="http://www.sec.gov/cgi-bin/browse-edgar?action=getcompany&amp;CIK=000167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772</Words>
  <Characters>4106</Characters>
  <CharactersWithSpaces>4786</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