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Kulkarni Samarth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CRISPR THERAPEUTICS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WEST FIRST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CRISPR Therapeutics AG</w:t>
              </w:r>
            </w:hyperlink>
            <w:r>
              <w:rPr/>
              <w:t xml:space="preserve"> [ </w:t>
            </w:r>
            <w:r>
              <w:rPr>
                <w:rFonts w:ascii="Times;serif" w:hAnsi="Times;serif"/>
                <w:color w:val="0000FF"/>
                <w:sz w:val="24"/>
                <w:shd w:fill="FFFFFF" w:val="clear"/>
              </w:rPr>
              <w:t>CRSP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1012"/>
        <w:gridCol w:w="448"/>
        <w:gridCol w:w="751"/>
        <w:gridCol w:w="1152"/>
        <w:gridCol w:w="989"/>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359,736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47,837</w:t>
            </w:r>
            <w:r>
              <w:rPr>
                <w:rFonts w:ascii="Times;serif" w:hAnsi="Times;serif"/>
                <w:color w:val="008000"/>
                <w:position w:val="7"/>
                <w:sz w:val="16"/>
                <w:sz w:val="20"/>
                <w:shd w:fill="FFFFFF" w:val="clear"/>
              </w:rPr>
              <w:t>(2)</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49.78</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311,899</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CRSP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reported represents the number of shares required to be sold by the reporting person to cover the tax withholding obligation in connection with the vesting of these restricted stock units. This sale is mandated by the Company's RSU Settlement Policy to fund the tax withholding obligation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restricted stock unit award was granted on October 16, 2024 with respect to 400,000 Common Shares, with (i) one quarter of the shares vesting on October 16, 2025, (ii) one quarter of the shares vesting on October 16, 2026, (iii) one quarter of the shares vesting on October 16, 2027, and (iv) one quarter of the shares vesting on October 16,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Ryland Waldinger,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2019" TargetMode="External"/><Relationship Id="rId5" Type="http://schemas.openxmlformats.org/officeDocument/2006/relationships/hyperlink" Target="http://www.sec.gov/cgi-bin/browse-edgar?action=getcompany&amp;CIK=000167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730</Words>
  <Characters>3918</Characters>
  <CharactersWithSpaces>4558</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