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80"/>
        <w:spacing w:after="0" w:line="231" w:lineRule="auto"/>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152400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20" w:right="1980" w:hanging="3899"/>
        <w:spacing w:after="0" w:line="274"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ind w:left="54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5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ind w:left="48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001-37923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CRISPR THERAPEUTICS AG</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p>
      <w:pPr>
        <w:spacing w:after="0" w:line="259"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Switzerland</w:t>
      </w:r>
    </w:p>
    <w:p>
      <w:pPr>
        <w:spacing w:after="0" w:line="10"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7"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Not Applicable</w:t>
      </w:r>
    </w:p>
    <w:p>
      <w:pPr>
        <w:spacing w:after="0" w:line="18" w:lineRule="exact"/>
        <w:rPr>
          <w:sz w:val="24"/>
          <w:szCs w:val="24"/>
          <w:color w:val="auto"/>
        </w:rPr>
      </w:pPr>
    </w:p>
    <w:p>
      <w:pPr>
        <w:ind w:left="120"/>
        <w:spacing w:after="0"/>
        <w:rPr>
          <w:sz w:val="20"/>
          <w:szCs w:val="20"/>
          <w:color w:val="auto"/>
        </w:rPr>
      </w:pPr>
      <w:r>
        <w:rPr>
          <w:rFonts w:ascii="Arial" w:cs="Arial" w:eastAsia="Arial" w:hAnsi="Arial"/>
          <w:sz w:val="13"/>
          <w:szCs w:val="13"/>
          <w:b w:val="1"/>
          <w:bCs w:val="1"/>
          <w:color w:val="auto"/>
        </w:rPr>
        <w:t>(I.R.S. Employer</w:t>
      </w:r>
    </w:p>
    <w:p>
      <w:pPr>
        <w:ind w:left="80"/>
        <w:spacing w:after="0"/>
        <w:rPr>
          <w:sz w:val="20"/>
          <w:szCs w:val="20"/>
          <w:color w:val="auto"/>
        </w:rPr>
      </w:pPr>
      <w:r>
        <w:rPr>
          <w:rFonts w:ascii="Arial" w:cs="Arial" w:eastAsia="Arial" w:hAnsi="Arial"/>
          <w:sz w:val="12"/>
          <w:szCs w:val="12"/>
          <w:b w:val="1"/>
          <w:bCs w:val="1"/>
          <w:color w:val="auto"/>
        </w:rPr>
        <w:t>Identification No.)</w:t>
      </w:r>
    </w:p>
    <w:p>
      <w:pPr>
        <w:spacing w:after="0" w:line="1" w:lineRule="exact"/>
        <w:rPr>
          <w:sz w:val="24"/>
          <w:szCs w:val="24"/>
          <w:color w:val="auto"/>
        </w:rPr>
      </w:pPr>
    </w:p>
    <w:p>
      <w:pPr>
        <w:sectPr>
          <w:pgSz w:w="11900" w:h="16838" w:orient="portrait"/>
          <w:cols w:equalWidth="0" w:num="2">
            <w:col w:w="7140" w:space="720"/>
            <w:col w:w="3380"/>
          </w:cols>
          <w:pgMar w:left="320" w:top="1133" w:right="339" w:bottom="1440" w:gutter="0" w:footer="0" w:header="0"/>
          <w:type w:val="continuous"/>
        </w:sectPr>
      </w:pPr>
    </w:p>
    <w:tbl>
      <w:tblPr>
        <w:tblLayout w:type="fixed"/>
        <w:tblInd w:w="1780" w:type="dxa"/>
        <w:tblCellMar>
          <w:top w:w="0" w:type="dxa"/>
          <w:left w:w="0" w:type="dxa"/>
          <w:bottom w:w="0" w:type="dxa"/>
          <w:right w:w="0" w:type="dxa"/>
        </w:tblCellMar>
      </w:tblPr>
      <w:tr>
        <w:trPr>
          <w:trHeight w:val="185"/>
        </w:trPr>
        <w:tc>
          <w:tcPr>
            <w:tcW w:w="4080" w:type="dxa"/>
            <w:vAlign w:val="bottom"/>
          </w:tcPr>
          <w:p>
            <w:pPr>
              <w:jc w:val="center"/>
              <w:ind w:right="1919"/>
              <w:spacing w:after="0" w:line="185" w:lineRule="exact"/>
              <w:rPr>
                <w:sz w:val="20"/>
                <w:szCs w:val="20"/>
                <w:color w:val="auto"/>
              </w:rPr>
            </w:pPr>
            <w:r>
              <w:rPr>
                <w:rFonts w:ascii="Arial" w:cs="Arial" w:eastAsia="Arial" w:hAnsi="Arial"/>
                <w:sz w:val="18"/>
                <w:szCs w:val="18"/>
                <w:b w:val="1"/>
                <w:bCs w:val="1"/>
                <w:color w:val="auto"/>
                <w:w w:val="88"/>
              </w:rPr>
              <w:t>Baarerstrasse 14</w:t>
            </w:r>
          </w:p>
        </w:tc>
        <w:tc>
          <w:tcPr>
            <w:tcW w:w="3140" w:type="dxa"/>
            <w:vAlign w:val="bottom"/>
          </w:tcPr>
          <w:p>
            <w:pPr>
              <w:spacing w:after="0"/>
              <w:rPr>
                <w:sz w:val="16"/>
                <w:szCs w:val="16"/>
                <w:color w:val="auto"/>
              </w:rPr>
            </w:pPr>
          </w:p>
        </w:tc>
      </w:tr>
      <w:tr>
        <w:trPr>
          <w:trHeight w:val="216"/>
        </w:trPr>
        <w:tc>
          <w:tcPr>
            <w:tcW w:w="408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6300 Zug, Switzerland</w:t>
            </w:r>
          </w:p>
        </w:tc>
        <w:tc>
          <w:tcPr>
            <w:tcW w:w="3140" w:type="dxa"/>
            <w:vAlign w:val="bottom"/>
          </w:tcPr>
          <w:p>
            <w:pPr>
              <w:jc w:val="center"/>
              <w:ind w:left="1924"/>
              <w:spacing w:after="0"/>
              <w:rPr>
                <w:sz w:val="20"/>
                <w:szCs w:val="20"/>
                <w:color w:val="auto"/>
              </w:rPr>
            </w:pPr>
            <w:r>
              <w:rPr>
                <w:rFonts w:ascii="Arial" w:cs="Arial" w:eastAsia="Arial" w:hAnsi="Arial"/>
                <w:sz w:val="18"/>
                <w:szCs w:val="18"/>
                <w:b w:val="1"/>
                <w:bCs w:val="1"/>
                <w:color w:val="auto"/>
                <w:w w:val="90"/>
              </w:rPr>
              <w:t>Not Applicable</w:t>
            </w:r>
          </w:p>
        </w:tc>
      </w:tr>
      <w:tr>
        <w:trPr>
          <w:trHeight w:val="164"/>
        </w:trPr>
        <w:tc>
          <w:tcPr>
            <w:tcW w:w="4080" w:type="dxa"/>
            <w:vAlign w:val="bottom"/>
          </w:tcPr>
          <w:p>
            <w:pPr>
              <w:jc w:val="center"/>
              <w:ind w:right="191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140" w:type="dxa"/>
            <w:vAlign w:val="bottom"/>
          </w:tcPr>
          <w:p>
            <w:pPr>
              <w:jc w:val="center"/>
              <w:ind w:left="1924"/>
              <w:spacing w:after="0"/>
              <w:rPr>
                <w:sz w:val="20"/>
                <w:szCs w:val="20"/>
                <w:color w:val="auto"/>
              </w:rPr>
            </w:pPr>
            <w:r>
              <w:rPr>
                <w:rFonts w:ascii="Arial" w:cs="Arial" w:eastAsia="Arial" w:hAnsi="Arial"/>
                <w:sz w:val="13"/>
                <w:szCs w:val="13"/>
                <w:b w:val="1"/>
                <w:bCs w:val="1"/>
                <w:color w:val="auto"/>
                <w:w w:val="90"/>
              </w:rPr>
              <w:t>(Zip Code)</w:t>
            </w: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+41 (0)41 561 32 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144780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5"/>
        </w:trPr>
        <w:tc>
          <w:tcPr>
            <w:tcW w:w="45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Pr>
          <w:p>
            <w:pPr>
              <w:jc w:val="center"/>
              <w:spacing w:after="0"/>
              <w:rPr>
                <w:sz w:val="20"/>
                <w:szCs w:val="20"/>
                <w:color w:val="auto"/>
              </w:rPr>
            </w:pPr>
            <w:r>
              <w:rPr>
                <w:rFonts w:ascii="Arial" w:cs="Arial" w:eastAsia="Arial" w:hAnsi="Arial"/>
                <w:sz w:val="16"/>
                <w:szCs w:val="16"/>
                <w:b w:val="1"/>
                <w:bCs w:val="1"/>
                <w:color w:val="auto"/>
                <w:w w:val="92"/>
              </w:rPr>
              <w:t>Common Shares, nominal value CHF 0.03</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4"/>
              </w:rPr>
              <w:t>CRSP</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Global Market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6"/>
                <w:szCs w:val="16"/>
                <w:color w:val="auto"/>
                <w:w w:val="99"/>
              </w:rPr>
              <w:t xml:space="preserve">Securities registered pursuant to Section 12(g) of the Act: </w:t>
            </w:r>
            <w:r>
              <w:rPr>
                <w:rFonts w:ascii="Arial" w:cs="Arial" w:eastAsia="Arial" w:hAnsi="Arial"/>
                <w:sz w:val="16"/>
                <w:szCs w:val="16"/>
                <w:b w:val="1"/>
                <w:bCs w:val="1"/>
                <w:color w:val="auto"/>
                <w:w w:val="99"/>
              </w:rPr>
              <w:t>None</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2580"/>
        <w:spacing w:after="0" w:line="23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 w:lineRule="exact"/>
        <w:rPr>
          <w:sz w:val="24"/>
          <w:szCs w:val="24"/>
          <w:color w:val="auto"/>
        </w:rPr>
      </w:pPr>
    </w:p>
    <w:p>
      <w:pPr>
        <w:ind w:right="320"/>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ind w:right="360"/>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 w:lineRule="exact"/>
        <w:rPr>
          <w:sz w:val="24"/>
          <w:szCs w:val="24"/>
          <w:color w:val="auto"/>
        </w:rPr>
      </w:pPr>
    </w:p>
    <w:p>
      <w:pPr>
        <w:ind w:right="120"/>
        <w:spacing w:after="0" w:line="2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1"/>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5" w:lineRule="exact"/>
        <w:rPr>
          <w:sz w:val="24"/>
          <w:szCs w:val="24"/>
          <w:color w:val="auto"/>
        </w:rPr>
      </w:pPr>
    </w:p>
    <w:p>
      <w:pPr>
        <w:ind w:right="52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 w:lineRule="exact"/>
        <w:rPr>
          <w:sz w:val="24"/>
          <w:szCs w:val="24"/>
          <w:color w:val="auto"/>
        </w:rPr>
      </w:pPr>
    </w:p>
    <w:p>
      <w:pPr>
        <w:ind w:right="220"/>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right="80"/>
        <w:spacing w:after="0" w:line="258" w:lineRule="auto"/>
        <w:rPr>
          <w:sz w:val="20"/>
          <w:szCs w:val="20"/>
          <w:color w:val="auto"/>
        </w:rPr>
      </w:pPr>
      <w:r>
        <w:rPr>
          <w:rFonts w:ascii="Arial" w:cs="Arial" w:eastAsia="Arial" w:hAnsi="Arial"/>
          <w:sz w:val="16"/>
          <w:szCs w:val="16"/>
          <w:color w:val="auto"/>
        </w:rPr>
        <w:t>The aggregate market value of the common shares held by non-affiliates of the Registrant was approximately $11.4 billion, based on the closing price on the Nasdaq Global Market of the Registrant’s common shares on June 30, 2021 (the last trading day of the Registrant’s second fiscal quarter of 2021).</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the Registrant’s common shares outstanding as of February 11, 2022 was 77,067,587.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6"/>
          <w:szCs w:val="16"/>
          <w:color w:val="auto"/>
        </w:rPr>
        <w:t>DOCUMENTS INCORPORATED BY REFERENCE</w:t>
      </w:r>
    </w:p>
    <w:p>
      <w:pPr>
        <w:spacing w:after="0" w:line="4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Portions of the Registrant’s Definitive Proxy Statement relating to the 2022 Annual General Meeting of Shareholders, which the Registrant intends to file with the Securities and Exchange Commission pursuant to Regulation 14A within 120 days after the end of the Registrant’s fiscal year ended December 31, 2021,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341630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9"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40" w:type="dxa"/>
            <w:vAlign w:val="bottom"/>
            <w:gridSpan w:val="9"/>
          </w:tcPr>
          <w:p>
            <w:pPr>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6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60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0" w:lineRule="exact"/>
              <w:rPr>
                <w:rFonts w:ascii="Arial" w:cs="Arial" w:eastAsia="Arial" w:hAnsi="Arial"/>
                <w:sz w:val="18"/>
                <w:szCs w:val="18"/>
                <w:color w:val="auto"/>
                <w:w w:val="84"/>
              </w:rPr>
            </w:pPr>
            <w:hyperlink w:anchor="page7">
              <w:r>
                <w:rPr>
                  <w:rFonts w:ascii="Arial" w:cs="Arial" w:eastAsia="Arial" w:hAnsi="Arial"/>
                  <w:sz w:val="18"/>
                  <w:szCs w:val="18"/>
                  <w:color w:val="auto"/>
                  <w:w w:val="84"/>
                </w:rPr>
                <w:t>Business</w:t>
              </w:r>
            </w:hyperlink>
          </w:p>
        </w:tc>
        <w:tc>
          <w:tcPr>
            <w:tcW w:w="8420" w:type="dxa"/>
            <w:vAlign w:val="bottom"/>
            <w:gridSpan w:val="19"/>
          </w:tcPr>
          <w:p>
            <w:pPr>
              <w:spacing w:after="0"/>
              <w:rPr>
                <w:sz w:val="16"/>
                <w:szCs w:val="16"/>
                <w:color w:val="auto"/>
              </w:rPr>
            </w:pPr>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1A.</w:t>
            </w:r>
          </w:p>
        </w:tc>
        <w:tc>
          <w:tcPr>
            <w:tcW w:w="9060" w:type="dxa"/>
            <w:vAlign w:val="bottom"/>
            <w:gridSpan w:val="20"/>
          </w:tcPr>
          <w:p>
            <w:pPr>
              <w:spacing w:after="0" w:line="169" w:lineRule="exact"/>
              <w:rPr>
                <w:rFonts w:ascii="Arial" w:cs="Arial" w:eastAsia="Arial" w:hAnsi="Arial"/>
                <w:sz w:val="18"/>
                <w:szCs w:val="18"/>
                <w:color w:val="auto"/>
              </w:rPr>
            </w:pPr>
            <w:hyperlink w:anchor="page67">
              <w:r>
                <w:rPr>
                  <w:rFonts w:ascii="Arial" w:cs="Arial" w:eastAsia="Arial" w:hAnsi="Arial"/>
                  <w:sz w:val="18"/>
                  <w:szCs w:val="18"/>
                  <w:color w:val="auto"/>
                </w:rPr>
                <w:t>Risk Factors</w:t>
              </w:r>
            </w:hyperlink>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1B.</w:t>
            </w:r>
          </w:p>
        </w:tc>
        <w:tc>
          <w:tcPr>
            <w:tcW w:w="900" w:type="dxa"/>
            <w:vAlign w:val="bottom"/>
            <w:tcBorders>
              <w:top w:val="single" w:sz="8" w:color="0000EE"/>
            </w:tcBorders>
            <w:gridSpan w:val="3"/>
          </w:tcPr>
          <w:p>
            <w:pPr>
              <w:spacing w:after="0" w:line="169" w:lineRule="exact"/>
              <w:rPr>
                <w:rFonts w:ascii="Arial" w:cs="Arial" w:eastAsia="Arial" w:hAnsi="Arial"/>
                <w:sz w:val="18"/>
                <w:szCs w:val="18"/>
                <w:color w:val="auto"/>
                <w:w w:val="96"/>
              </w:rPr>
            </w:pPr>
            <w:hyperlink w:anchor="page124">
              <w:r>
                <w:rPr>
                  <w:rFonts w:ascii="Arial" w:cs="Arial" w:eastAsia="Arial" w:hAnsi="Arial"/>
                  <w:sz w:val="18"/>
                  <w:szCs w:val="18"/>
                  <w:color w:val="auto"/>
                  <w:w w:val="96"/>
                </w:rPr>
                <w:t>Unresolved</w:t>
              </w:r>
            </w:hyperlink>
          </w:p>
        </w:tc>
        <w:tc>
          <w:tcPr>
            <w:tcW w:w="8160" w:type="dxa"/>
            <w:vAlign w:val="bottom"/>
            <w:gridSpan w:val="17"/>
          </w:tcPr>
          <w:p>
            <w:pPr>
              <w:spacing w:after="0" w:line="169" w:lineRule="exact"/>
              <w:rPr>
                <w:rFonts w:ascii="Arial" w:cs="Arial" w:eastAsia="Arial" w:hAnsi="Arial"/>
                <w:sz w:val="18"/>
                <w:szCs w:val="18"/>
                <w:color w:val="auto"/>
              </w:rPr>
            </w:pPr>
            <w:hyperlink w:anchor="page124">
              <w:r>
                <w:rPr>
                  <w:rFonts w:ascii="Arial" w:cs="Arial" w:eastAsia="Arial" w:hAnsi="Arial"/>
                  <w:sz w:val="18"/>
                  <w:szCs w:val="18"/>
                  <w:color w:val="auto"/>
                </w:rPr>
                <w:t>Staff Comments</w:t>
              </w:r>
            </w:hyperlink>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8"/>
          </w:tcPr>
          <w:p>
            <w:pPr>
              <w:spacing w:after="0" w:line="169" w:lineRule="exact"/>
              <w:rPr>
                <w:rFonts w:ascii="Arial" w:cs="Arial" w:eastAsia="Arial" w:hAnsi="Arial"/>
                <w:sz w:val="18"/>
                <w:szCs w:val="18"/>
                <w:color w:val="auto"/>
              </w:rPr>
            </w:pPr>
            <w:hyperlink w:anchor="page124">
              <w:r>
                <w:rPr>
                  <w:rFonts w:ascii="Arial" w:cs="Arial" w:eastAsia="Arial" w:hAnsi="Arial"/>
                  <w:sz w:val="18"/>
                  <w:szCs w:val="18"/>
                  <w:color w:val="auto"/>
                </w:rPr>
                <w:t>Properties</w:t>
              </w:r>
            </w:hyperlink>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160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6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118</w:t>
            </w:r>
          </w:p>
        </w:tc>
        <w:tc>
          <w:tcPr>
            <w:tcW w:w="0" w:type="dxa"/>
            <w:vAlign w:val="bottom"/>
          </w:tcPr>
          <w:p>
            <w:pPr>
              <w:spacing w:after="0" w:line="20" w:lineRule="exact"/>
              <w:rPr>
                <w:sz w:val="1"/>
                <w:szCs w:val="1"/>
                <w:color w:val="auto"/>
              </w:rPr>
            </w:pPr>
          </w:p>
        </w:tc>
      </w:tr>
      <w:tr>
        <w:trPr>
          <w:trHeight w:val="169"/>
        </w:trPr>
        <w:tc>
          <w:tcPr>
            <w:tcW w:w="1600" w:type="dxa"/>
            <w:vAlign w:val="bottom"/>
            <w:vMerge w:val="continue"/>
          </w:tcPr>
          <w:p>
            <w:pPr>
              <w:spacing w:after="0"/>
              <w:rPr>
                <w:sz w:val="14"/>
                <w:szCs w:val="14"/>
                <w:color w:val="auto"/>
              </w:rPr>
            </w:pPr>
          </w:p>
        </w:tc>
        <w:tc>
          <w:tcPr>
            <w:tcW w:w="9060" w:type="dxa"/>
            <w:vAlign w:val="bottom"/>
            <w:gridSpan w:val="20"/>
          </w:tcPr>
          <w:p>
            <w:pPr>
              <w:spacing w:after="0" w:line="169" w:lineRule="exact"/>
              <w:rPr>
                <w:rFonts w:ascii="Arial" w:cs="Arial" w:eastAsia="Arial" w:hAnsi="Arial"/>
                <w:sz w:val="18"/>
                <w:szCs w:val="18"/>
                <w:color w:val="auto"/>
              </w:rPr>
            </w:pPr>
            <w:hyperlink w:anchor="page124">
              <w:r>
                <w:rPr>
                  <w:rFonts w:ascii="Arial" w:cs="Arial" w:eastAsia="Arial" w:hAnsi="Arial"/>
                  <w:sz w:val="18"/>
                  <w:szCs w:val="18"/>
                  <w:color w:val="auto"/>
                </w:rPr>
                <w:t>Legal Proceedings</w:t>
              </w:r>
            </w:hyperlink>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6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118</w:t>
            </w:r>
          </w:p>
        </w:tc>
        <w:tc>
          <w:tcPr>
            <w:tcW w:w="0" w:type="dxa"/>
            <w:vAlign w:val="bottom"/>
          </w:tcPr>
          <w:p>
            <w:pPr>
              <w:spacing w:after="0" w:line="20" w:lineRule="exact"/>
              <w:rPr>
                <w:sz w:val="1"/>
                <w:szCs w:val="1"/>
                <w:color w:val="auto"/>
              </w:rPr>
            </w:pPr>
          </w:p>
        </w:tc>
      </w:tr>
      <w:tr>
        <w:trPr>
          <w:trHeight w:val="169"/>
        </w:trPr>
        <w:tc>
          <w:tcPr>
            <w:tcW w:w="1600" w:type="dxa"/>
            <w:vAlign w:val="bottom"/>
            <w:vMerge w:val="continue"/>
          </w:tcPr>
          <w:p>
            <w:pPr>
              <w:spacing w:after="0"/>
              <w:rPr>
                <w:sz w:val="14"/>
                <w:szCs w:val="14"/>
                <w:color w:val="auto"/>
              </w:rPr>
            </w:pPr>
          </w:p>
        </w:tc>
        <w:tc>
          <w:tcPr>
            <w:tcW w:w="9060" w:type="dxa"/>
            <w:vAlign w:val="bottom"/>
            <w:gridSpan w:val="20"/>
          </w:tcPr>
          <w:p>
            <w:pPr>
              <w:spacing w:after="0" w:line="169" w:lineRule="exact"/>
              <w:rPr>
                <w:rFonts w:ascii="Arial" w:cs="Arial" w:eastAsia="Arial" w:hAnsi="Arial"/>
                <w:sz w:val="18"/>
                <w:szCs w:val="18"/>
                <w:color w:val="auto"/>
              </w:rPr>
            </w:pPr>
            <w:hyperlink w:anchor="page124">
              <w:r>
                <w:rPr>
                  <w:rFonts w:ascii="Arial" w:cs="Arial" w:eastAsia="Arial" w:hAnsi="Arial"/>
                  <w:sz w:val="18"/>
                  <w:szCs w:val="18"/>
                  <w:color w:val="auto"/>
                </w:rPr>
                <w:t>Mine Safety Disclosures</w:t>
              </w:r>
            </w:hyperlink>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060" w:type="dxa"/>
            <w:vAlign w:val="bottom"/>
            <w:gridSpan w:val="20"/>
          </w:tcPr>
          <w:p>
            <w:pPr>
              <w:spacing w:after="0" w:line="190" w:lineRule="exact"/>
              <w:rPr>
                <w:rFonts w:ascii="Arial" w:cs="Arial" w:eastAsia="Arial" w:hAnsi="Arial"/>
                <w:sz w:val="18"/>
                <w:szCs w:val="18"/>
                <w:color w:val="auto"/>
              </w:rPr>
            </w:pPr>
            <w:hyperlink w:anchor="page125">
              <w:r>
                <w:rPr>
                  <w:rFonts w:ascii="Arial" w:cs="Arial" w:eastAsia="Arial" w:hAnsi="Arial"/>
                  <w:sz w:val="18"/>
                  <w:szCs w:val="18"/>
                  <w:color w:val="auto"/>
                </w:rPr>
                <w:t>Market for Registrant’s Common Equity, Related Stockholder Matters and Issuer Purchases of Equity Securities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line="169" w:lineRule="exact"/>
              <w:rPr>
                <w:rFonts w:ascii="Arial" w:cs="Arial" w:eastAsia="Arial" w:hAnsi="Arial"/>
                <w:sz w:val="18"/>
                <w:szCs w:val="18"/>
                <w:color w:val="auto"/>
              </w:rPr>
            </w:pPr>
            <w:hyperlink w:anchor="page127">
              <w:r>
                <w:rPr>
                  <w:rFonts w:ascii="Arial" w:cs="Arial" w:eastAsia="Arial" w:hAnsi="Arial"/>
                  <w:sz w:val="18"/>
                  <w:szCs w:val="18"/>
                  <w:color w:val="auto"/>
                </w:rPr>
                <w:t>Reserved</w:t>
              </w:r>
            </w:hyperlink>
          </w:p>
        </w:tc>
        <w:tc>
          <w:tcPr>
            <w:tcW w:w="1000" w:type="dxa"/>
            <w:vAlign w:val="bottom"/>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160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6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122</w:t>
            </w:r>
          </w:p>
        </w:tc>
        <w:tc>
          <w:tcPr>
            <w:tcW w:w="0" w:type="dxa"/>
            <w:vAlign w:val="bottom"/>
          </w:tcPr>
          <w:p>
            <w:pPr>
              <w:spacing w:after="0" w:line="20" w:lineRule="exact"/>
              <w:rPr>
                <w:sz w:val="1"/>
                <w:szCs w:val="1"/>
                <w:color w:val="auto"/>
              </w:rPr>
            </w:pPr>
          </w:p>
        </w:tc>
      </w:tr>
      <w:tr>
        <w:trPr>
          <w:trHeight w:val="169"/>
        </w:trPr>
        <w:tc>
          <w:tcPr>
            <w:tcW w:w="1600" w:type="dxa"/>
            <w:vAlign w:val="bottom"/>
            <w:vMerge w:val="continue"/>
          </w:tcPr>
          <w:p>
            <w:pPr>
              <w:spacing w:after="0"/>
              <w:rPr>
                <w:sz w:val="14"/>
                <w:szCs w:val="14"/>
                <w:color w:val="auto"/>
              </w:rPr>
            </w:pPr>
          </w:p>
        </w:tc>
        <w:tc>
          <w:tcPr>
            <w:tcW w:w="9060" w:type="dxa"/>
            <w:vAlign w:val="bottom"/>
            <w:gridSpan w:val="20"/>
          </w:tcPr>
          <w:p>
            <w:pPr>
              <w:spacing w:after="0" w:line="169" w:lineRule="exact"/>
              <w:rPr>
                <w:rFonts w:ascii="Arial" w:cs="Arial" w:eastAsia="Arial" w:hAnsi="Arial"/>
                <w:sz w:val="18"/>
                <w:szCs w:val="18"/>
                <w:color w:val="auto"/>
              </w:rPr>
            </w:pPr>
            <w:hyperlink w:anchor="page128">
              <w:r>
                <w:rPr>
                  <w:rFonts w:ascii="Arial" w:cs="Arial" w:eastAsia="Arial" w:hAnsi="Arial"/>
                  <w:sz w:val="18"/>
                  <w:szCs w:val="18"/>
                  <w:color w:val="auto"/>
                </w:rPr>
                <w:t>Management’s Discussion and Analysis of Financial Condition and Results of Operations</w:t>
              </w:r>
            </w:hyperlink>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line="169" w:lineRule="exact"/>
              <w:rPr>
                <w:rFonts w:ascii="Arial" w:cs="Arial" w:eastAsia="Arial" w:hAnsi="Arial"/>
                <w:sz w:val="18"/>
                <w:szCs w:val="18"/>
                <w:color w:val="auto"/>
              </w:rPr>
            </w:pPr>
            <w:hyperlink w:anchor="page140">
              <w:r>
                <w:rPr>
                  <w:rFonts w:ascii="Arial" w:cs="Arial" w:eastAsia="Arial" w:hAnsi="Arial"/>
                  <w:sz w:val="18"/>
                  <w:szCs w:val="18"/>
                  <w:color w:val="auto"/>
                </w:rPr>
                <w:t>Quantitative and Qualitative Disclosures About Market Risk</w:t>
              </w:r>
            </w:hyperlink>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2"/>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3"/>
          </w:tcPr>
          <w:p>
            <w:pPr>
              <w:spacing w:after="0" w:line="169" w:lineRule="exact"/>
              <w:rPr>
                <w:rFonts w:ascii="Arial" w:cs="Arial" w:eastAsia="Arial" w:hAnsi="Arial"/>
                <w:sz w:val="18"/>
                <w:szCs w:val="18"/>
                <w:color w:val="auto"/>
              </w:rPr>
            </w:pPr>
            <w:hyperlink w:anchor="page140">
              <w:r>
                <w:rPr>
                  <w:rFonts w:ascii="Arial" w:cs="Arial" w:eastAsia="Arial" w:hAnsi="Arial"/>
                  <w:sz w:val="18"/>
                  <w:szCs w:val="18"/>
                  <w:color w:val="auto"/>
                </w:rPr>
                <w:t>Financial Statements and Supplementary Data</w:t>
              </w:r>
            </w:hyperlink>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2"/>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9.</w:t>
            </w:r>
          </w:p>
        </w:tc>
        <w:tc>
          <w:tcPr>
            <w:tcW w:w="3320" w:type="dxa"/>
            <w:vAlign w:val="bottom"/>
            <w:tcBorders>
              <w:top w:val="single" w:sz="8" w:color="0000EE"/>
            </w:tcBorders>
            <w:gridSpan w:val="11"/>
          </w:tcPr>
          <w:p>
            <w:pPr>
              <w:spacing w:after="0" w:line="169" w:lineRule="exact"/>
              <w:rPr>
                <w:rFonts w:ascii="Arial" w:cs="Arial" w:eastAsia="Arial" w:hAnsi="Arial"/>
                <w:sz w:val="18"/>
                <w:szCs w:val="18"/>
                <w:color w:val="auto"/>
                <w:w w:val="83"/>
              </w:rPr>
            </w:pPr>
            <w:hyperlink w:anchor="page140">
              <w:r>
                <w:rPr>
                  <w:rFonts w:ascii="Arial" w:cs="Arial" w:eastAsia="Arial" w:hAnsi="Arial"/>
                  <w:sz w:val="18"/>
                  <w:szCs w:val="18"/>
                  <w:color w:val="auto"/>
                  <w:w w:val="83"/>
                </w:rPr>
                <w:t>Changes in and Disagreements with Accountants</w:t>
              </w:r>
            </w:hyperlink>
          </w:p>
        </w:tc>
        <w:tc>
          <w:tcPr>
            <w:tcW w:w="5740" w:type="dxa"/>
            <w:vAlign w:val="bottom"/>
            <w:gridSpan w:val="9"/>
          </w:tcPr>
          <w:p>
            <w:pPr>
              <w:ind w:left="260"/>
              <w:spacing w:after="0" w:line="169" w:lineRule="exact"/>
              <w:rPr>
                <w:rFonts w:ascii="Arial" w:cs="Arial" w:eastAsia="Arial" w:hAnsi="Arial"/>
                <w:sz w:val="18"/>
                <w:szCs w:val="18"/>
                <w:color w:val="auto"/>
              </w:rPr>
            </w:pPr>
            <w:hyperlink w:anchor="page140">
              <w:r>
                <w:rPr>
                  <w:rFonts w:ascii="Arial" w:cs="Arial" w:eastAsia="Arial" w:hAnsi="Arial"/>
                  <w:sz w:val="18"/>
                  <w:szCs w:val="18"/>
                  <w:color w:val="auto"/>
                </w:rPr>
                <w:t>on Accounting and Financial Disclosure</w:t>
              </w:r>
            </w:hyperlink>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EE"/>
            </w:tcBorders>
            <w:gridSpan w:val="17"/>
          </w:tcPr>
          <w:p>
            <w:pPr>
              <w:spacing w:after="0" w:line="169" w:lineRule="exact"/>
              <w:rPr>
                <w:rFonts w:ascii="Arial" w:cs="Arial" w:eastAsia="Arial" w:hAnsi="Arial"/>
                <w:sz w:val="18"/>
                <w:szCs w:val="18"/>
                <w:color w:val="auto"/>
              </w:rPr>
            </w:pPr>
            <w:hyperlink w:anchor="page141">
              <w:r>
                <w:rPr>
                  <w:rFonts w:ascii="Arial" w:cs="Arial" w:eastAsia="Arial" w:hAnsi="Arial"/>
                  <w:sz w:val="18"/>
                  <w:szCs w:val="18"/>
                  <w:color w:val="auto"/>
                </w:rPr>
                <w:t>Controls and Procedures</w:t>
              </w:r>
            </w:hyperlink>
          </w:p>
        </w:tc>
        <w:tc>
          <w:tcPr>
            <w:tcW w:w="800" w:type="dxa"/>
            <w:vAlign w:val="bottom"/>
          </w:tcPr>
          <w:p>
            <w:pPr>
              <w:spacing w:after="0"/>
              <w:rPr>
                <w:sz w:val="14"/>
                <w:szCs w:val="14"/>
                <w:color w:val="auto"/>
              </w:rPr>
            </w:pPr>
          </w:p>
        </w:tc>
        <w:tc>
          <w:tcPr>
            <w:tcW w:w="1780" w:type="dxa"/>
            <w:vAlign w:val="bottom"/>
            <w:gridSpan w:val="2"/>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line="169" w:lineRule="exact"/>
              <w:rPr>
                <w:rFonts w:ascii="Arial" w:cs="Arial" w:eastAsia="Arial" w:hAnsi="Arial"/>
                <w:sz w:val="18"/>
                <w:szCs w:val="18"/>
                <w:color w:val="auto"/>
              </w:rPr>
            </w:pPr>
            <w:hyperlink w:anchor="page143">
              <w:r>
                <w:rPr>
                  <w:rFonts w:ascii="Arial" w:cs="Arial" w:eastAsia="Arial" w:hAnsi="Arial"/>
                  <w:sz w:val="18"/>
                  <w:szCs w:val="18"/>
                  <w:color w:val="auto"/>
                </w:rPr>
                <w:t>Other Information</w:t>
              </w:r>
            </w:hyperlink>
          </w:p>
        </w:tc>
        <w:tc>
          <w:tcPr>
            <w:tcW w:w="4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spacing w:after="0"/>
              <w:rPr>
                <w:sz w:val="14"/>
                <w:szCs w:val="14"/>
                <w:color w:val="auto"/>
              </w:rPr>
            </w:pPr>
          </w:p>
        </w:tc>
        <w:tc>
          <w:tcPr>
            <w:tcW w:w="82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1780" w:type="dxa"/>
            <w:vAlign w:val="bottom"/>
            <w:gridSpan w:val="2"/>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160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13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6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138</w:t>
            </w:r>
          </w:p>
        </w:tc>
        <w:tc>
          <w:tcPr>
            <w:tcW w:w="0" w:type="dxa"/>
            <w:vAlign w:val="bottom"/>
          </w:tcPr>
          <w:p>
            <w:pPr>
              <w:spacing w:after="0" w:line="20" w:lineRule="exact"/>
              <w:rPr>
                <w:sz w:val="1"/>
                <w:szCs w:val="1"/>
                <w:color w:val="auto"/>
              </w:rPr>
            </w:pPr>
          </w:p>
        </w:tc>
      </w:tr>
      <w:tr>
        <w:trPr>
          <w:trHeight w:val="169"/>
        </w:trPr>
        <w:tc>
          <w:tcPr>
            <w:tcW w:w="1600" w:type="dxa"/>
            <w:vAlign w:val="bottom"/>
            <w:vMerge w:val="continue"/>
          </w:tcPr>
          <w:p>
            <w:pPr>
              <w:spacing w:after="0"/>
              <w:rPr>
                <w:sz w:val="14"/>
                <w:szCs w:val="14"/>
                <w:color w:val="auto"/>
              </w:rPr>
            </w:pPr>
          </w:p>
        </w:tc>
        <w:tc>
          <w:tcPr>
            <w:tcW w:w="9060" w:type="dxa"/>
            <w:vAlign w:val="bottom"/>
            <w:gridSpan w:val="20"/>
          </w:tcPr>
          <w:p>
            <w:pPr>
              <w:spacing w:after="0" w:line="169" w:lineRule="exact"/>
              <w:rPr>
                <w:rFonts w:ascii="Arial" w:cs="Arial" w:eastAsia="Arial" w:hAnsi="Arial"/>
                <w:sz w:val="18"/>
                <w:szCs w:val="18"/>
                <w:color w:val="auto"/>
              </w:rPr>
            </w:pPr>
            <w:hyperlink w:anchor="page144">
              <w:r>
                <w:rPr>
                  <w:rFonts w:ascii="Arial" w:cs="Arial" w:eastAsia="Arial" w:hAnsi="Arial"/>
                  <w:sz w:val="18"/>
                  <w:szCs w:val="18"/>
                  <w:color w:val="auto"/>
                </w:rPr>
                <w:t>Disclosure Regarding Foreign Jurisdictions that Prevent Inspections</w:t>
              </w:r>
            </w:hyperlink>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060" w:type="dxa"/>
            <w:vAlign w:val="bottom"/>
            <w:gridSpan w:val="20"/>
          </w:tcPr>
          <w:p>
            <w:pPr>
              <w:spacing w:after="0" w:line="190" w:lineRule="exact"/>
              <w:rPr>
                <w:rFonts w:ascii="Arial" w:cs="Arial" w:eastAsia="Arial" w:hAnsi="Arial"/>
                <w:sz w:val="18"/>
                <w:szCs w:val="18"/>
                <w:color w:val="auto"/>
              </w:rPr>
            </w:pPr>
            <w:hyperlink w:anchor="page145">
              <w:r>
                <w:rPr>
                  <w:rFonts w:ascii="Arial" w:cs="Arial" w:eastAsia="Arial" w:hAnsi="Arial"/>
                  <w:sz w:val="18"/>
                  <w:szCs w:val="18"/>
                  <w:color w:val="auto"/>
                </w:rPr>
                <w:t>Directors, Executive Officers and Corporate Governance</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11.</w:t>
            </w:r>
          </w:p>
        </w:tc>
        <w:tc>
          <w:tcPr>
            <w:tcW w:w="4080" w:type="dxa"/>
            <w:vAlign w:val="bottom"/>
            <w:tcBorders>
              <w:top w:val="single" w:sz="8" w:color="0000EE"/>
            </w:tcBorders>
            <w:gridSpan w:val="12"/>
          </w:tcPr>
          <w:p>
            <w:pPr>
              <w:spacing w:after="0" w:line="169" w:lineRule="exact"/>
              <w:rPr>
                <w:rFonts w:ascii="Arial" w:cs="Arial" w:eastAsia="Arial" w:hAnsi="Arial"/>
                <w:sz w:val="18"/>
                <w:szCs w:val="18"/>
                <w:color w:val="auto"/>
              </w:rPr>
            </w:pPr>
            <w:hyperlink w:anchor="page145">
              <w:r>
                <w:rPr>
                  <w:rFonts w:ascii="Arial" w:cs="Arial" w:eastAsia="Arial" w:hAnsi="Arial"/>
                  <w:sz w:val="18"/>
                  <w:szCs w:val="18"/>
                  <w:color w:val="auto"/>
                </w:rPr>
                <w:t>Executive Compensation</w:t>
              </w:r>
            </w:hyperlink>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1780" w:type="dxa"/>
            <w:vAlign w:val="bottom"/>
            <w:gridSpan w:val="2"/>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12.</w:t>
            </w:r>
          </w:p>
        </w:tc>
        <w:tc>
          <w:tcPr>
            <w:tcW w:w="1800" w:type="dxa"/>
            <w:vAlign w:val="bottom"/>
            <w:tcBorders>
              <w:top w:val="single" w:sz="8" w:color="0000EE"/>
            </w:tcBorders>
            <w:gridSpan w:val="7"/>
          </w:tcPr>
          <w:p>
            <w:pPr>
              <w:spacing w:after="0" w:line="169" w:lineRule="exact"/>
              <w:rPr>
                <w:rFonts w:ascii="Arial" w:cs="Arial" w:eastAsia="Arial" w:hAnsi="Arial"/>
                <w:sz w:val="18"/>
                <w:szCs w:val="18"/>
                <w:color w:val="auto"/>
              </w:rPr>
            </w:pPr>
            <w:hyperlink w:anchor="page145">
              <w:r>
                <w:rPr>
                  <w:rFonts w:ascii="Arial" w:cs="Arial" w:eastAsia="Arial" w:hAnsi="Arial"/>
                  <w:sz w:val="18"/>
                  <w:szCs w:val="18"/>
                  <w:color w:val="auto"/>
                </w:rPr>
                <w:t>Security Ownership of</w:t>
              </w:r>
            </w:hyperlink>
          </w:p>
        </w:tc>
        <w:tc>
          <w:tcPr>
            <w:tcW w:w="7260" w:type="dxa"/>
            <w:vAlign w:val="bottom"/>
            <w:gridSpan w:val="13"/>
          </w:tcPr>
          <w:p>
            <w:pPr>
              <w:spacing w:after="0" w:line="169" w:lineRule="exact"/>
              <w:rPr>
                <w:rFonts w:ascii="Arial" w:cs="Arial" w:eastAsia="Arial" w:hAnsi="Arial"/>
                <w:sz w:val="18"/>
                <w:szCs w:val="18"/>
                <w:color w:val="auto"/>
              </w:rPr>
            </w:pPr>
            <w:hyperlink w:anchor="page145">
              <w:r>
                <w:rPr>
                  <w:rFonts w:ascii="Arial" w:cs="Arial" w:eastAsia="Arial" w:hAnsi="Arial"/>
                  <w:sz w:val="18"/>
                  <w:szCs w:val="18"/>
                  <w:color w:val="auto"/>
                </w:rPr>
                <w:t>Certain Beneficial Owners and Management and Related Stockholder Matters</w:t>
              </w:r>
            </w:hyperlink>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line="169" w:lineRule="exact"/>
              <w:rPr>
                <w:rFonts w:ascii="Arial" w:cs="Arial" w:eastAsia="Arial" w:hAnsi="Arial"/>
                <w:sz w:val="18"/>
                <w:szCs w:val="18"/>
                <w:color w:val="auto"/>
              </w:rPr>
            </w:pPr>
            <w:hyperlink w:anchor="page145">
              <w:r>
                <w:rPr>
                  <w:rFonts w:ascii="Arial" w:cs="Arial" w:eastAsia="Arial" w:hAnsi="Arial"/>
                  <w:sz w:val="18"/>
                  <w:szCs w:val="18"/>
                  <w:color w:val="auto"/>
                </w:rPr>
                <w:t>Certain Relationships and Related Transactions, and Director Independence</w:t>
              </w:r>
            </w:hyperlink>
          </w:p>
        </w:tc>
        <w:tc>
          <w:tcPr>
            <w:tcW w:w="1780" w:type="dxa"/>
            <w:vAlign w:val="bottom"/>
            <w:gridSpan w:val="2"/>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line="169" w:lineRule="exact"/>
              <w:rPr>
                <w:rFonts w:ascii="Arial" w:cs="Arial" w:eastAsia="Arial" w:hAnsi="Arial"/>
                <w:sz w:val="18"/>
                <w:szCs w:val="18"/>
                <w:color w:val="auto"/>
              </w:rPr>
            </w:pPr>
            <w:hyperlink w:anchor="page145">
              <w:r>
                <w:rPr>
                  <w:rFonts w:ascii="Arial" w:cs="Arial" w:eastAsia="Arial" w:hAnsi="Arial"/>
                  <w:sz w:val="18"/>
                  <w:szCs w:val="18"/>
                  <w:color w:val="auto"/>
                </w:rPr>
                <w:t>Principal Accounting Fees and Services</w:t>
              </w:r>
            </w:hyperlink>
          </w:p>
        </w:tc>
        <w:tc>
          <w:tcPr>
            <w:tcW w:w="3620" w:type="dxa"/>
            <w:vAlign w:val="bottom"/>
            <w:gridSpan w:val="5"/>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90"/>
        </w:trPr>
        <w:tc>
          <w:tcPr>
            <w:tcW w:w="16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60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060" w:type="dxa"/>
            <w:vAlign w:val="bottom"/>
            <w:gridSpan w:val="20"/>
          </w:tcPr>
          <w:p>
            <w:pPr>
              <w:spacing w:after="0" w:line="190" w:lineRule="exact"/>
              <w:rPr>
                <w:rFonts w:ascii="Arial" w:cs="Arial" w:eastAsia="Arial" w:hAnsi="Arial"/>
                <w:sz w:val="18"/>
                <w:szCs w:val="18"/>
                <w:color w:val="auto"/>
              </w:rPr>
            </w:pPr>
            <w:hyperlink w:anchor="page146">
              <w:r>
                <w:rPr>
                  <w:rFonts w:ascii="Arial" w:cs="Arial" w:eastAsia="Arial" w:hAnsi="Arial"/>
                  <w:sz w:val="18"/>
                  <w:szCs w:val="18"/>
                  <w:color w:val="auto"/>
                </w:rPr>
                <w:t>Exhibits, Financial Statement Schedules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69"/>
        </w:trPr>
        <w:tc>
          <w:tcPr>
            <w:tcW w:w="1600" w:type="dxa"/>
            <w:vAlign w:val="bottom"/>
          </w:tcPr>
          <w:p>
            <w:pPr>
              <w:ind w:left="120"/>
              <w:spacing w:after="0" w:line="169"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0"/>
          </w:tcPr>
          <w:p>
            <w:pPr>
              <w:spacing w:after="0" w:line="169" w:lineRule="exact"/>
              <w:rPr>
                <w:rFonts w:ascii="Arial" w:cs="Arial" w:eastAsia="Arial" w:hAnsi="Arial"/>
                <w:sz w:val="18"/>
                <w:szCs w:val="18"/>
                <w:color w:val="auto"/>
              </w:rPr>
            </w:pPr>
            <w:hyperlink w:anchor="page150">
              <w:r>
                <w:rPr>
                  <w:rFonts w:ascii="Arial" w:cs="Arial" w:eastAsia="Arial" w:hAnsi="Arial"/>
                  <w:sz w:val="18"/>
                  <w:szCs w:val="18"/>
                  <w:color w:val="auto"/>
                </w:rPr>
                <w:t>Form 10-K Summary</w:t>
              </w:r>
            </w:hyperlink>
          </w:p>
        </w:tc>
        <w:tc>
          <w:tcPr>
            <w:tcW w:w="6160" w:type="dxa"/>
            <w:vAlign w:val="bottom"/>
            <w:gridSpan w:val="10"/>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Risk Factor Summary</w:t>
      </w:r>
    </w:p>
    <w:p>
      <w:pPr>
        <w:spacing w:after="0" w:line="94" w:lineRule="exact"/>
        <w:rPr>
          <w:sz w:val="20"/>
          <w:szCs w:val="20"/>
          <w:color w:val="auto"/>
        </w:rPr>
      </w:pPr>
    </w:p>
    <w:p>
      <w:pPr>
        <w:ind w:right="140" w:firstLine="509"/>
        <w:spacing w:after="0" w:line="235" w:lineRule="auto"/>
        <w:rPr>
          <w:sz w:val="20"/>
          <w:szCs w:val="20"/>
          <w:color w:val="auto"/>
        </w:rPr>
      </w:pPr>
      <w:r>
        <w:rPr>
          <w:rFonts w:ascii="Arial" w:cs="Arial" w:eastAsia="Arial" w:hAnsi="Arial"/>
          <w:sz w:val="18"/>
          <w:szCs w:val="18"/>
          <w:color w:val="auto"/>
        </w:rPr>
        <w:t>Our business is subject to a number of risks and uncertainties of which you should be aware before making an investment decision in our business. These risks are discussed more fully in the “Risk Factors” section of this Annual Report on Form 10-K. These risks include, but are not limited to, the following:</w:t>
      </w:r>
    </w:p>
    <w:p>
      <w:pPr>
        <w:spacing w:after="0" w:line="67"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incurred significant operating losses since our inception and anticipate that we will incur continued losses for the foreseeable future.</w:t>
      </w:r>
    </w:p>
    <w:p>
      <w:pPr>
        <w:spacing w:after="0" w:line="113" w:lineRule="exact"/>
        <w:rPr>
          <w:rFonts w:ascii="Arial" w:cs="Arial" w:eastAsia="Arial" w:hAnsi="Arial"/>
          <w:sz w:val="16"/>
          <w:szCs w:val="16"/>
          <w:color w:val="auto"/>
        </w:rPr>
      </w:pPr>
    </w:p>
    <w:p>
      <w:pPr>
        <w:ind w:left="1020" w:right="300" w:hanging="503"/>
        <w:spacing w:after="0" w:line="274"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need to raise substantial additional funding, which will dilute our shareholders. If we are unable to raise capital when needed, we would be forced to delay, reduce or eliminate some of our product development programs or commercialization efforts.</w:t>
      </w:r>
    </w:p>
    <w:p>
      <w:pPr>
        <w:spacing w:after="0" w:line="39" w:lineRule="exact"/>
        <w:rPr>
          <w:rFonts w:ascii="Arial" w:cs="Arial" w:eastAsia="Arial" w:hAnsi="Arial"/>
          <w:sz w:val="17"/>
          <w:szCs w:val="17"/>
          <w:color w:val="auto"/>
        </w:rPr>
      </w:pPr>
    </w:p>
    <w:p>
      <w:pPr>
        <w:ind w:left="1020" w:right="180" w:hanging="503"/>
        <w:spacing w:after="0" w:line="253"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early in our development efforts. It will be many years before we or our collaborators commercialize a product candidate, if ever. If we are unable to advance our product candidates to clinical development, obtain regulatory approval and ultimately commercialize our product candidates, or experience significant delays in doing so, our business will be materially harmed.</w:t>
      </w:r>
    </w:p>
    <w:p>
      <w:pPr>
        <w:spacing w:after="0" w:line="56" w:lineRule="exact"/>
        <w:rPr>
          <w:rFonts w:ascii="Arial" w:cs="Arial" w:eastAsia="Arial" w:hAnsi="Arial"/>
          <w:sz w:val="17"/>
          <w:szCs w:val="17"/>
          <w:color w:val="auto"/>
        </w:rPr>
      </w:pPr>
    </w:p>
    <w:p>
      <w:pPr>
        <w:ind w:left="1020" w:right="80" w:hanging="503"/>
        <w:spacing w:after="0" w:line="23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CRISPR/Cas9 gene editing product candidates are based on a new gene-editing technology, which makes it difficult to predict the time and cost of development and of subsequently obtaining regulatory approval, if at all. There have only been a limited number of clinical trials of product candidates based on gene editing technology and no gene editing products have been approved in the United States or in the European Union.</w:t>
      </w:r>
    </w:p>
    <w:p>
      <w:pPr>
        <w:spacing w:after="0" w:line="67" w:lineRule="exact"/>
        <w:rPr>
          <w:rFonts w:ascii="Arial" w:cs="Arial" w:eastAsia="Arial" w:hAnsi="Arial"/>
          <w:sz w:val="18"/>
          <w:szCs w:val="18"/>
          <w:color w:val="auto"/>
        </w:rPr>
      </w:pPr>
    </w:p>
    <w:p>
      <w:pPr>
        <w:ind w:left="1020" w:right="160" w:hanging="503"/>
        <w:spacing w:after="0" w:line="23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 Food and Drug Administration, or FDA, the National Institutes of Health, or NIH, and the European Medicines Agency, or EMA, have demonstrated caution in their regulation of gene therapy treatments, and ethical and legal concerns about gene therapy and genetic testing may result in additional regulations or restrictions on the development and commercialization of our product candidates, which may be difficult to predict.</w:t>
      </w:r>
    </w:p>
    <w:p>
      <w:pPr>
        <w:spacing w:after="0" w:line="67" w:lineRule="exact"/>
        <w:rPr>
          <w:rFonts w:ascii="Arial" w:cs="Arial" w:eastAsia="Arial" w:hAnsi="Arial"/>
          <w:sz w:val="18"/>
          <w:szCs w:val="18"/>
          <w:color w:val="auto"/>
        </w:rPr>
      </w:pPr>
    </w:p>
    <w:p>
      <w:pPr>
        <w:ind w:left="1020" w:right="240" w:hanging="503"/>
        <w:spacing w:after="0" w:line="23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any of the product candidates we may develop or the delivery modes we rely on cause undesirable side effects, it could delay or prevent their regulatory approval, limit the commercial potential or result in significant negative consequences following any potential marketing approval.</w:t>
      </w:r>
    </w:p>
    <w:p>
      <w:pPr>
        <w:spacing w:after="0" w:line="66" w:lineRule="exact"/>
        <w:rPr>
          <w:rFonts w:ascii="Arial" w:cs="Arial" w:eastAsia="Arial" w:hAnsi="Arial"/>
          <w:sz w:val="18"/>
          <w:szCs w:val="18"/>
          <w:color w:val="auto"/>
        </w:rPr>
      </w:pPr>
    </w:p>
    <w:p>
      <w:pPr>
        <w:ind w:left="1020" w:right="24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adversely affected by the ongoing coronavirus pandemic, including the emergence of additional variants.</w:t>
      </w:r>
    </w:p>
    <w:p>
      <w:pPr>
        <w:spacing w:after="0" w:line="90"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Positive results from early preclinical studies or preliminary results from clinical trials of our product candidates are not necessarily predictive of the results of later preclinical studies and any future clinical trials of our product candidates. If we cannot replicate the positive results from our earlier preclinical studies of our product candidates in our later preclinical studies, clinical trials and future clinical trials, we may be unable to successfully develop, obtain regulatory approval for and commercialize our product candidates.</w:t>
      </w:r>
    </w:p>
    <w:p>
      <w:pPr>
        <w:spacing w:after="0" w:line="62" w:lineRule="exact"/>
        <w:rPr>
          <w:rFonts w:ascii="Arial" w:cs="Arial" w:eastAsia="Arial" w:hAnsi="Arial"/>
          <w:sz w:val="17"/>
          <w:szCs w:val="17"/>
          <w:color w:val="auto"/>
        </w:rPr>
      </w:pPr>
    </w:p>
    <w:p>
      <w:pPr>
        <w:ind w:left="1020" w:right="26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public perception of gene editing and cellular therapy products may negatively impact demand for, or regulatory approval of, our product candidates.</w:t>
      </w:r>
    </w:p>
    <w:p>
      <w:pPr>
        <w:spacing w:after="0" w:line="61"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 success of any of our product candidates will depend upon its degree of market acceptance by physicians, patients, third-party payors and others in the medical community.</w:t>
      </w:r>
    </w:p>
    <w:p>
      <w:pPr>
        <w:spacing w:after="0" w:line="61" w:lineRule="exact"/>
        <w:rPr>
          <w:rFonts w:ascii="Arial" w:cs="Arial" w:eastAsia="Arial" w:hAnsi="Arial"/>
          <w:sz w:val="18"/>
          <w:szCs w:val="18"/>
          <w:color w:val="auto"/>
        </w:rPr>
      </w:pPr>
    </w:p>
    <w:p>
      <w:pPr>
        <w:ind w:left="1020" w:hanging="503"/>
        <w:spacing w:after="0" w:line="23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66" w:lineRule="exact"/>
        <w:rPr>
          <w:rFonts w:ascii="Arial" w:cs="Arial" w:eastAsia="Arial" w:hAnsi="Arial"/>
          <w:sz w:val="18"/>
          <w:szCs w:val="18"/>
          <w:color w:val="auto"/>
        </w:rPr>
      </w:pPr>
    </w:p>
    <w:p>
      <w:pPr>
        <w:ind w:left="1020" w:right="4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collaborators and strategic partners may control aspects of our clinical trials, which could result in delays and other obstacles in the commercialization of our proposed products and materially harm our results of operations.</w:t>
      </w:r>
    </w:p>
    <w:p>
      <w:pPr>
        <w:spacing w:after="0" w:line="61" w:lineRule="exact"/>
        <w:rPr>
          <w:rFonts w:ascii="Arial" w:cs="Arial" w:eastAsia="Arial" w:hAnsi="Arial"/>
          <w:sz w:val="18"/>
          <w:szCs w:val="18"/>
          <w:color w:val="auto"/>
        </w:rPr>
      </w:pPr>
    </w:p>
    <w:p>
      <w:pPr>
        <w:ind w:left="1020" w:right="120" w:hanging="503"/>
        <w:spacing w:after="0" w:line="274"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Gene-editing products are novel and may be complex and difficult to manufacture. We could experience manufacturing problems that result in delays in the development or commercialization of our product candidates or otherwise harm our business.</w:t>
      </w:r>
    </w:p>
    <w:p>
      <w:pPr>
        <w:spacing w:after="0" w:line="39" w:lineRule="exact"/>
        <w:rPr>
          <w:rFonts w:ascii="Arial" w:cs="Arial" w:eastAsia="Arial" w:hAnsi="Arial"/>
          <w:sz w:val="17"/>
          <w:szCs w:val="17"/>
          <w:color w:val="auto"/>
        </w:rPr>
      </w:pPr>
    </w:p>
    <w:p>
      <w:pPr>
        <w:ind w:left="1020" w:right="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related to our proprietary gene-editing technology and product candidates, we may not be able to compete effectively in our markets.</w:t>
      </w:r>
    </w:p>
    <w:p>
      <w:pPr>
        <w:spacing w:after="0" w:line="61" w:lineRule="exact"/>
        <w:rPr>
          <w:rFonts w:ascii="Arial" w:cs="Arial" w:eastAsia="Arial" w:hAnsi="Arial"/>
          <w:sz w:val="18"/>
          <w:szCs w:val="18"/>
          <w:color w:val="auto"/>
        </w:rPr>
      </w:pPr>
    </w:p>
    <w:p>
      <w:pPr>
        <w:ind w:left="1020" w:right="240" w:hanging="503"/>
        <w:spacing w:after="0" w:line="23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intellectual property landscape around gene editing technology, including CRISPR/Cas9, is highly dynamic, and third parties may initiate legal proceedings alleging that the patents that we in-license or own are invalid or that we are infringing, misappropriating, or otherwise violating their intellectual property rights, the outcome of which would be uncertain and could have a material adverse effect on the success of our business.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4" w:name="page5"/>
    <w:bookmarkEnd w:id="4"/>
    <w:p>
      <w:pPr>
        <w:ind w:right="60" w:firstLine="509"/>
        <w:spacing w:after="0" w:line="235" w:lineRule="auto"/>
        <w:rPr>
          <w:sz w:val="20"/>
          <w:szCs w:val="20"/>
          <w:color w:val="auto"/>
        </w:rPr>
      </w:pPr>
      <w:r>
        <w:rPr>
          <w:rFonts w:ascii="Arial" w:cs="Arial" w:eastAsia="Arial" w:hAnsi="Arial"/>
          <w:sz w:val="18"/>
          <w:szCs w:val="18"/>
          <w:color w:val="auto"/>
        </w:rPr>
        <w:t>Throughout this Annual Report on Form 10-K, the “Company,” “CRISPR,” “CRISPR Therapeutics,” “we,” “us,” and “our,” except where the context requires otherwise, refer to CRISPR Therapeutics AG and its consolidated subsidiaries, and “our board of directors” refers to the board of directors of CRISPR Therapeutics AG.</w:t>
      </w:r>
    </w:p>
    <w:p>
      <w:pPr>
        <w:spacing w:after="0" w:line="21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6"/>
          <w:szCs w:val="16"/>
          <w:color w:val="212529"/>
        </w:rPr>
        <w:t>“CRISPR Therapeutics®” standard character mark and design logo, “CTX001</w:t>
      </w:r>
      <w:r>
        <w:rPr>
          <w:rFonts w:ascii="Arial" w:cs="Arial" w:eastAsia="Arial" w:hAnsi="Arial"/>
          <w:sz w:val="21"/>
          <w:szCs w:val="21"/>
          <w:color w:val="212529"/>
          <w:vertAlign w:val="superscript"/>
        </w:rPr>
        <w:t>TM</w:t>
      </w:r>
      <w:r>
        <w:rPr>
          <w:rFonts w:ascii="Arial" w:cs="Arial" w:eastAsia="Arial" w:hAnsi="Arial"/>
          <w:sz w:val="16"/>
          <w:szCs w:val="16"/>
          <w:color w:val="212529"/>
        </w:rPr>
        <w:t>,” “CTX110</w:t>
      </w:r>
      <w:r>
        <w:rPr>
          <w:rFonts w:ascii="Arial" w:cs="Arial" w:eastAsia="Arial" w:hAnsi="Arial"/>
          <w:sz w:val="21"/>
          <w:szCs w:val="21"/>
          <w:color w:val="212529"/>
          <w:vertAlign w:val="superscript"/>
        </w:rPr>
        <w:t>TM</w:t>
      </w:r>
      <w:r>
        <w:rPr>
          <w:rFonts w:ascii="Arial" w:cs="Arial" w:eastAsia="Arial" w:hAnsi="Arial"/>
          <w:sz w:val="16"/>
          <w:szCs w:val="16"/>
          <w:color w:val="212529"/>
        </w:rPr>
        <w:t>,” “CTX120</w:t>
      </w:r>
      <w:r>
        <w:rPr>
          <w:rFonts w:ascii="Arial" w:cs="Arial" w:eastAsia="Arial" w:hAnsi="Arial"/>
          <w:sz w:val="21"/>
          <w:szCs w:val="21"/>
          <w:color w:val="212529"/>
          <w:vertAlign w:val="superscript"/>
        </w:rPr>
        <w:t>TM</w:t>
      </w:r>
      <w:r>
        <w:rPr>
          <w:rFonts w:ascii="Arial" w:cs="Arial" w:eastAsia="Arial" w:hAnsi="Arial"/>
          <w:sz w:val="16"/>
          <w:szCs w:val="16"/>
          <w:color w:val="212529"/>
        </w:rPr>
        <w:t>,” “CTX130</w:t>
      </w:r>
      <w:r>
        <w:rPr>
          <w:rFonts w:ascii="Arial" w:cs="Arial" w:eastAsia="Arial" w:hAnsi="Arial"/>
          <w:sz w:val="21"/>
          <w:szCs w:val="21"/>
          <w:color w:val="212529"/>
          <w:vertAlign w:val="superscript"/>
        </w:rPr>
        <w:t>TM</w:t>
      </w:r>
      <w:r>
        <w:rPr>
          <w:rFonts w:ascii="Arial" w:cs="Arial" w:eastAsia="Arial" w:hAnsi="Arial"/>
          <w:sz w:val="16"/>
          <w:szCs w:val="16"/>
          <w:color w:val="212529"/>
        </w:rPr>
        <w:t>,” and “CRISPR TX</w:t>
      </w:r>
      <w:r>
        <w:rPr>
          <w:rFonts w:ascii="Arial" w:cs="Arial" w:eastAsia="Arial" w:hAnsi="Arial"/>
          <w:sz w:val="21"/>
          <w:szCs w:val="21"/>
          <w:color w:val="212529"/>
          <w:vertAlign w:val="superscript"/>
        </w:rPr>
        <w:t>TM</w:t>
      </w:r>
      <w:r>
        <w:rPr>
          <w:rFonts w:ascii="Arial" w:cs="Arial" w:eastAsia="Arial" w:hAnsi="Arial"/>
          <w:sz w:val="16"/>
          <w:szCs w:val="16"/>
          <w:color w:val="212529"/>
        </w:rPr>
        <w:t xml:space="preserve">” </w:t>
      </w:r>
      <w:r>
        <w:rPr>
          <w:rFonts w:ascii="Arial" w:cs="Arial" w:eastAsia="Arial" w:hAnsi="Arial"/>
          <w:sz w:val="16"/>
          <w:szCs w:val="16"/>
          <w:color w:val="000000"/>
        </w:rPr>
        <w:t xml:space="preserve">are trademarks and registered trademarks of CRISPR Therapeutics AG. All other trademarks and registered trademarks contained in this Annual Report on Form 10-K are the property of their respective owners. Solely for convenience, trademarks, service marks and trade names referred to in this Annual Report on Form 10-K may appear without the </w:t>
      </w:r>
      <w:r>
        <w:rPr>
          <w:rFonts w:ascii="Arial" w:cs="Arial" w:eastAsia="Arial" w:hAnsi="Arial"/>
          <w:sz w:val="21"/>
          <w:szCs w:val="21"/>
          <w:color w:val="000000"/>
          <w:vertAlign w:val="superscript"/>
        </w:rPr>
        <w:t>®</w:t>
      </w:r>
      <w:r>
        <w:rPr>
          <w:rFonts w:ascii="Arial" w:cs="Arial" w:eastAsia="Arial" w:hAnsi="Arial"/>
          <w:sz w:val="16"/>
          <w:szCs w:val="16"/>
          <w:color w:val="000000"/>
        </w:rPr>
        <w:t xml:space="preserve"> or </w:t>
      </w:r>
      <w:r>
        <w:rPr>
          <w:rFonts w:ascii="Arial" w:cs="Arial" w:eastAsia="Arial" w:hAnsi="Arial"/>
          <w:sz w:val="21"/>
          <w:szCs w:val="21"/>
          <w:color w:val="000000"/>
          <w:vertAlign w:val="superscript"/>
        </w:rPr>
        <w:t>™</w:t>
      </w:r>
      <w:r>
        <w:rPr>
          <w:rFonts w:ascii="Arial" w:cs="Arial" w:eastAsia="Arial" w:hAnsi="Arial"/>
          <w:sz w:val="16"/>
          <w:szCs w:val="16"/>
          <w:color w:val="000000"/>
        </w:rPr>
        <w:t xml:space="preserve"> symbols and any such omission is not intended to indicate waiver of any such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94" w:lineRule="exact"/>
        <w:rPr>
          <w:sz w:val="20"/>
          <w:szCs w:val="20"/>
          <w:color w:val="auto"/>
        </w:rPr>
      </w:pPr>
    </w:p>
    <w:p>
      <w:pPr>
        <w:ind w:right="80" w:firstLine="509"/>
        <w:spacing w:after="0" w:line="242" w:lineRule="auto"/>
        <w:rPr>
          <w:sz w:val="20"/>
          <w:szCs w:val="20"/>
          <w:color w:val="auto"/>
        </w:rPr>
      </w:pPr>
      <w:r>
        <w:rPr>
          <w:rFonts w:ascii="Arial" w:cs="Arial" w:eastAsia="Arial" w:hAnsi="Arial"/>
          <w:sz w:val="17"/>
          <w:szCs w:val="17"/>
          <w:color w:val="auto"/>
        </w:rPr>
        <w:t>This Annual Report on Form 10-K contains “forward-looking statements” that involve substantial risks and uncertainties. All statements, other than statements of historical facts, contained in this Annual Report on Form 10-K are forward-looking statements. These statements are often identified by the use of words such as “anticipate,” “believe,” “continue,” “could,” “estimate,” “expect,” “intend,” “may,” “plan,” “predict,” “project,” “potential,” “will,” “would” or the negative or plural of these words or similar expressions or variations, although not all forward-looking statements contain these identifying words. Forward-looking statements in this Annual Report on Form 10-K include, but are not limited to, statements about:</w:t>
      </w:r>
    </w:p>
    <w:p>
      <w:pPr>
        <w:spacing w:after="0" w:line="67" w:lineRule="exact"/>
        <w:rPr>
          <w:sz w:val="20"/>
          <w:szCs w:val="20"/>
          <w:color w:val="auto"/>
        </w:rPr>
      </w:pPr>
    </w:p>
    <w:p>
      <w:pPr>
        <w:ind w:left="1020" w:right="520" w:hanging="503"/>
        <w:spacing w:after="0" w:line="21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212529"/>
        </w:rPr>
        <w:t>the safety, efficacy and clinical progress of our various clinical programs, including those for CTX001</w:t>
      </w:r>
      <w:r>
        <w:rPr>
          <w:rFonts w:ascii="Arial" w:cs="Arial" w:eastAsia="Arial" w:hAnsi="Arial"/>
          <w:sz w:val="24"/>
          <w:szCs w:val="24"/>
          <w:color w:val="212529"/>
          <w:vertAlign w:val="superscript"/>
        </w:rPr>
        <w:t>TM</w:t>
      </w:r>
      <w:r>
        <w:rPr>
          <w:rFonts w:ascii="Arial" w:cs="Arial" w:eastAsia="Arial" w:hAnsi="Arial"/>
          <w:sz w:val="18"/>
          <w:szCs w:val="18"/>
          <w:color w:val="212529"/>
        </w:rPr>
        <w:t xml:space="preserve">, CTX110 </w:t>
      </w:r>
      <w:r>
        <w:rPr>
          <w:rFonts w:ascii="Arial" w:cs="Arial" w:eastAsia="Arial" w:hAnsi="Arial"/>
          <w:sz w:val="24"/>
          <w:szCs w:val="24"/>
          <w:color w:val="212529"/>
          <w:vertAlign w:val="superscript"/>
        </w:rPr>
        <w:t>TM</w:t>
      </w:r>
      <w:r>
        <w:rPr>
          <w:rFonts w:ascii="Arial" w:cs="Arial" w:eastAsia="Arial" w:hAnsi="Arial"/>
          <w:sz w:val="18"/>
          <w:szCs w:val="18"/>
          <w:color w:val="212529"/>
        </w:rPr>
        <w:t xml:space="preserve">, CTX120 </w:t>
      </w:r>
      <w:r>
        <w:rPr>
          <w:rFonts w:ascii="Arial" w:cs="Arial" w:eastAsia="Arial" w:hAnsi="Arial"/>
          <w:sz w:val="24"/>
          <w:szCs w:val="24"/>
          <w:color w:val="212529"/>
          <w:vertAlign w:val="superscript"/>
        </w:rPr>
        <w:t>TM</w:t>
      </w:r>
      <w:r>
        <w:rPr>
          <w:rFonts w:ascii="Arial" w:cs="Arial" w:eastAsia="Arial" w:hAnsi="Arial"/>
          <w:sz w:val="18"/>
          <w:szCs w:val="18"/>
          <w:color w:val="212529"/>
        </w:rPr>
        <w:t xml:space="preserve"> and CTX130 </w:t>
      </w:r>
      <w:r>
        <w:rPr>
          <w:rFonts w:ascii="Arial" w:cs="Arial" w:eastAsia="Arial" w:hAnsi="Arial"/>
          <w:sz w:val="24"/>
          <w:szCs w:val="24"/>
          <w:color w:val="212529"/>
          <w:vertAlign w:val="superscript"/>
        </w:rPr>
        <w:t>TM</w:t>
      </w:r>
      <w:r>
        <w:rPr>
          <w:rFonts w:ascii="Arial" w:cs="Arial" w:eastAsia="Arial" w:hAnsi="Arial"/>
          <w:sz w:val="18"/>
          <w:szCs w:val="18"/>
          <w:color w:val="212529"/>
        </w:rPr>
        <w:t>;</w:t>
      </w:r>
    </w:p>
    <w:p>
      <w:pPr>
        <w:ind w:left="1020" w:right="940" w:hanging="503"/>
        <w:spacing w:after="0" w:line="23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status of clinical trials, development timelines and discussions with regulatory authorities related to product candidates under development by us and our collaborators;</w:t>
      </w:r>
    </w:p>
    <w:p>
      <w:pPr>
        <w:spacing w:after="0" w:line="68" w:lineRule="exact"/>
        <w:rPr>
          <w:rFonts w:ascii="Arial" w:cs="Arial" w:eastAsia="Arial" w:hAnsi="Arial"/>
          <w:sz w:val="18"/>
          <w:szCs w:val="18"/>
          <w:color w:val="auto"/>
        </w:rPr>
      </w:pPr>
    </w:p>
    <w:p>
      <w:pPr>
        <w:ind w:left="1020" w:right="220" w:hanging="503"/>
        <w:spacing w:after="0" w:line="253"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212529"/>
        </w:rPr>
        <w:t>the initiation, timing, progress and results of our preclinical studies and clinical trials, including our ongoing clinical trials and any planned clinical trials for CTX001, CTX110, CTX120, CTX130 and VCTX210, and our research and development programs</w:t>
      </w:r>
      <w:r>
        <w:rPr>
          <w:rFonts w:ascii="Arial" w:cs="Arial" w:eastAsia="Arial" w:hAnsi="Arial"/>
          <w:sz w:val="17"/>
          <w:szCs w:val="17"/>
          <w:i w:val="1"/>
          <w:iCs w:val="1"/>
          <w:color w:val="212529"/>
        </w:rPr>
        <w:t>,</w:t>
      </w:r>
      <w:r>
        <w:rPr>
          <w:rFonts w:ascii="Arial" w:cs="Arial" w:eastAsia="Arial" w:hAnsi="Arial"/>
          <w:sz w:val="17"/>
          <w:szCs w:val="17"/>
          <w:color w:val="212529"/>
        </w:rPr>
        <w:t xml:space="preserve"> including </w:t>
      </w:r>
      <w:r>
        <w:rPr>
          <w:rFonts w:ascii="Arial" w:cs="Arial" w:eastAsia="Arial" w:hAnsi="Arial"/>
          <w:sz w:val="17"/>
          <w:szCs w:val="17"/>
          <w:color w:val="000000"/>
        </w:rPr>
        <w:t>delays or</w:t>
      </w:r>
      <w:r>
        <w:rPr>
          <w:rFonts w:ascii="Arial" w:cs="Arial" w:eastAsia="Arial" w:hAnsi="Arial"/>
          <w:sz w:val="17"/>
          <w:szCs w:val="17"/>
          <w:color w:val="212529"/>
        </w:rPr>
        <w:t xml:space="preserve"> </w:t>
      </w:r>
      <w:r>
        <w:rPr>
          <w:rFonts w:ascii="Arial" w:cs="Arial" w:eastAsia="Arial" w:hAnsi="Arial"/>
          <w:sz w:val="17"/>
          <w:szCs w:val="17"/>
          <w:color w:val="000000"/>
        </w:rPr>
        <w:t>disruptions in clinical trials, non-clinical experiments and investigational new drug application-enabling studies</w:t>
      </w:r>
      <w:r>
        <w:rPr>
          <w:rFonts w:ascii="Arial" w:cs="Arial" w:eastAsia="Arial" w:hAnsi="Arial"/>
          <w:sz w:val="17"/>
          <w:szCs w:val="17"/>
          <w:color w:val="212529"/>
        </w:rPr>
        <w:t>;</w:t>
      </w:r>
    </w:p>
    <w:p>
      <w:pPr>
        <w:spacing w:after="0" w:line="56" w:lineRule="exact"/>
        <w:rPr>
          <w:rFonts w:ascii="Arial" w:cs="Arial" w:eastAsia="Arial" w:hAnsi="Arial"/>
          <w:sz w:val="17"/>
          <w:szCs w:val="17"/>
          <w:color w:val="auto"/>
        </w:rPr>
      </w:pPr>
    </w:p>
    <w:p>
      <w:pPr>
        <w:ind w:left="1020" w:right="34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actual or potential benefits of FDA designations, such as orphan drug, fast track and regenerative medicine advanced therapy, or such European equivalents, including the PRIority MEdicines, or PRIME, designation;</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and the success of competing therapies that are or become available;</w:t>
      </w:r>
    </w:p>
    <w:p>
      <w:pPr>
        <w:spacing w:after="0" w:line="113" w:lineRule="exact"/>
        <w:rPr>
          <w:rFonts w:ascii="Arial" w:cs="Arial" w:eastAsia="Arial" w:hAnsi="Arial"/>
          <w:sz w:val="16"/>
          <w:szCs w:val="16"/>
          <w:color w:val="auto"/>
        </w:rPr>
      </w:pPr>
    </w:p>
    <w:p>
      <w:pPr>
        <w:ind w:left="1020" w:right="3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 to consolidate our various office and laboratory locations in the greater Boston area into a single location and to validate our cell therapy manufacturing facility to enable us to produce clinical cell therapy product supply in the future;</w:t>
      </w:r>
    </w:p>
    <w:p>
      <w:pPr>
        <w:spacing w:after="0" w:line="61"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coverage and positions, including those of our licensors and third parties as well as the status and potential outcome of proceedings involving any such intellectual property;</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expenses, ability to obtain funding for our operations and the sufficiency of our cash resources;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therapeutic value, development, and commercial potential of CRISPR/Cas9 gene-editing technologies and therapies; and</w:t>
      </w:r>
    </w:p>
    <w:p>
      <w:pPr>
        <w:spacing w:after="0" w:line="90" w:lineRule="exact"/>
        <w:rPr>
          <w:rFonts w:ascii="Arial" w:cs="Arial" w:eastAsia="Arial" w:hAnsi="Arial"/>
          <w:sz w:val="18"/>
          <w:szCs w:val="18"/>
          <w:color w:val="auto"/>
        </w:rPr>
      </w:pPr>
    </w:p>
    <w:p>
      <w:pPr>
        <w:ind w:left="1020" w:right="100" w:hanging="503"/>
        <w:spacing w:after="0" w:line="253"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potential impacts due to the coronavirus pandemic such as delays, interruptions or other adverse effects to clinical trials, delays in regulatory review, manufacturing and supply chain interruptions, adverse effects on healthcare systems and disruption of the global economy, and the overall impact of the coronavirus pandemic on our business, financial condition and results of operations.</w:t>
      </w:r>
    </w:p>
    <w:p>
      <w:pPr>
        <w:spacing w:after="0" w:line="165" w:lineRule="exact"/>
        <w:rPr>
          <w:sz w:val="20"/>
          <w:szCs w:val="20"/>
          <w:color w:val="auto"/>
        </w:rPr>
      </w:pPr>
    </w:p>
    <w:p>
      <w:pPr>
        <w:ind w:firstLine="509"/>
        <w:spacing w:after="0" w:line="225" w:lineRule="auto"/>
        <w:rPr>
          <w:sz w:val="20"/>
          <w:szCs w:val="20"/>
          <w:color w:val="auto"/>
        </w:rPr>
      </w:pPr>
      <w:r>
        <w:rPr>
          <w:rFonts w:ascii="Arial" w:cs="Arial" w:eastAsia="Arial" w:hAnsi="Arial"/>
          <w:sz w:val="18"/>
          <w:szCs w:val="18"/>
          <w:color w:val="auto"/>
        </w:rPr>
        <w:t>Any forward-looking statements in this Annual Report on Form 10-K reflect our current views with respect to future events or to our future financial performance and involve known and unknown risks, uncertainties and assumptions that could cause our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Annual Report on Form 10-K. You should not rely upon forward-looking statements as predictions of future events. Such forward-looking statements speak only as of the date of this report. Our forward-looking statements do not reflect the potential impact of any future acquisitions, mergers, dispositions, joint ventures or investments we may make or enter into.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5" w:name="page6"/>
    <w:bookmarkEnd w:id="5"/>
    <w:p>
      <w:pPr>
        <w:jc w:val="both"/>
        <w:ind w:firstLine="509"/>
        <w:spacing w:after="0" w:line="276" w:lineRule="auto"/>
        <w:rPr>
          <w:sz w:val="20"/>
          <w:szCs w:val="20"/>
          <w:color w:val="auto"/>
        </w:rPr>
      </w:pPr>
      <w:r>
        <w:rPr>
          <w:rFonts w:ascii="Arial" w:cs="Arial" w:eastAsia="Arial" w:hAnsi="Arial"/>
          <w:sz w:val="16"/>
          <w:szCs w:val="16"/>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undertake no obligation to update any forward-looking statements to reflect events or circumstances after the date of such statements.</w:t>
      </w:r>
    </w:p>
    <w:p>
      <w:pPr>
        <w:spacing w:after="0" w:line="148" w:lineRule="exact"/>
        <w:rPr>
          <w:sz w:val="20"/>
          <w:szCs w:val="20"/>
          <w:color w:val="auto"/>
        </w:rPr>
      </w:pPr>
    </w:p>
    <w:p>
      <w:pPr>
        <w:ind w:right="60" w:firstLine="509"/>
        <w:spacing w:after="0" w:line="196" w:lineRule="exact"/>
        <w:rPr>
          <w:sz w:val="20"/>
          <w:szCs w:val="20"/>
          <w:color w:val="auto"/>
        </w:rPr>
      </w:pPr>
      <w:r>
        <w:rPr>
          <w:rFonts w:ascii="Arial" w:cs="Arial" w:eastAsia="Arial" w:hAnsi="Arial"/>
          <w:sz w:val="17"/>
          <w:szCs w:val="17"/>
          <w:color w:val="auto"/>
        </w:rPr>
        <w:t>This Annual Report on Form 10-K includes statistical and other industry and market data, which we obtained from our own internal estimates and research, as well as from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While we believe that each of these studies and publications is reliable, we have not independently verified market and industry data from third</w:t>
      </w:r>
      <w:r>
        <w:rPr>
          <w:rFonts w:ascii="MS PGothic" w:cs="MS PGothic" w:eastAsia="MS PGothic" w:hAnsi="MS PGothic"/>
          <w:sz w:val="17"/>
          <w:szCs w:val="17"/>
          <w:color w:val="auto"/>
        </w:rPr>
        <w:t>‑</w:t>
      </w:r>
      <w:r>
        <w:rPr>
          <w:rFonts w:ascii="Arial" w:cs="Arial" w:eastAsia="Arial" w:hAnsi="Arial"/>
          <w:sz w:val="17"/>
          <w:szCs w:val="17"/>
          <w:color w:val="auto"/>
        </w:rPr>
        <w:t>party sources. While we believe our internal company research is reliable and the market definitions are appropriate, neither such research nor these definitions have been verified by any independent source.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We are a leading gene editing company focused on the development of CRISPR/Cas9-based therapeutics. CRISPR/Cas9 stands for </w:t>
      </w:r>
      <w:r>
        <w:rPr>
          <w:rFonts w:ascii="Arial" w:cs="Arial" w:eastAsia="Arial" w:hAnsi="Arial"/>
          <w:sz w:val="16"/>
          <w:szCs w:val="16"/>
          <w:u w:val="single" w:color="auto"/>
          <w:color w:val="auto"/>
        </w:rPr>
        <w:t>C</w:t>
      </w:r>
      <w:r>
        <w:rPr>
          <w:rFonts w:ascii="Arial" w:cs="Arial" w:eastAsia="Arial" w:hAnsi="Arial"/>
          <w:sz w:val="16"/>
          <w:szCs w:val="16"/>
          <w:color w:val="auto"/>
        </w:rPr>
        <w:t>lustered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w:t>
      </w:r>
      <w:r>
        <w:rPr>
          <w:rFonts w:ascii="Arial" w:cs="Arial" w:eastAsia="Arial" w:hAnsi="Arial"/>
          <w:sz w:val="16"/>
          <w:szCs w:val="16"/>
          <w:color w:val="auto"/>
        </w:rPr>
        <w:t xml:space="preserve">egularly </w:t>
      </w:r>
      <w:r>
        <w:rPr>
          <w:rFonts w:ascii="Arial" w:cs="Arial" w:eastAsia="Arial" w:hAnsi="Arial"/>
          <w:sz w:val="16"/>
          <w:szCs w:val="16"/>
          <w:u w:val="single" w:color="auto"/>
          <w:color w:val="auto"/>
        </w:rPr>
        <w:t>I</w:t>
      </w:r>
      <w:r>
        <w:rPr>
          <w:rFonts w:ascii="Arial" w:cs="Arial" w:eastAsia="Arial" w:hAnsi="Arial"/>
          <w:sz w:val="16"/>
          <w:szCs w:val="16"/>
          <w:color w:val="auto"/>
        </w:rPr>
        <w:t xml:space="preserve">nterspaced </w:t>
      </w:r>
      <w:r>
        <w:rPr>
          <w:rFonts w:ascii="Arial" w:cs="Arial" w:eastAsia="Arial" w:hAnsi="Arial"/>
          <w:sz w:val="16"/>
          <w:szCs w:val="16"/>
          <w:u w:val="single" w:color="auto"/>
          <w:color w:val="auto"/>
        </w:rPr>
        <w:t>S</w:t>
      </w:r>
      <w:r>
        <w:rPr>
          <w:rFonts w:ascii="Arial" w:cs="Arial" w:eastAsia="Arial" w:hAnsi="Arial"/>
          <w:sz w:val="16"/>
          <w:szCs w:val="16"/>
          <w:color w:val="auto"/>
        </w:rPr>
        <w:t xml:space="preserve">hort </w:t>
      </w:r>
      <w:r>
        <w:rPr>
          <w:rFonts w:ascii="Arial" w:cs="Arial" w:eastAsia="Arial" w:hAnsi="Arial"/>
          <w:sz w:val="16"/>
          <w:szCs w:val="16"/>
          <w:u w:val="single" w:color="auto"/>
          <w:color w:val="auto"/>
        </w:rPr>
        <w:t>P</w:t>
      </w:r>
      <w:r>
        <w:rPr>
          <w:rFonts w:ascii="Arial" w:cs="Arial" w:eastAsia="Arial" w:hAnsi="Arial"/>
          <w:sz w:val="16"/>
          <w:szCs w:val="16"/>
          <w:color w:val="auto"/>
        </w:rPr>
        <w:t xml:space="preserve">alindromic </w:t>
      </w:r>
      <w:r>
        <w:rPr>
          <w:rFonts w:ascii="Arial" w:cs="Arial" w:eastAsia="Arial" w:hAnsi="Arial"/>
          <w:sz w:val="16"/>
          <w:szCs w:val="16"/>
          <w:u w:val="single" w:color="auto"/>
          <w:color w:val="auto"/>
        </w:rPr>
        <w:t>R</w:t>
      </w:r>
      <w:r>
        <w:rPr>
          <w:rFonts w:ascii="Arial" w:cs="Arial" w:eastAsia="Arial" w:hAnsi="Arial"/>
          <w:sz w:val="16"/>
          <w:szCs w:val="16"/>
          <w:color w:val="auto"/>
        </w:rPr>
        <w:t>epeats (CRISPR)/</w:t>
      </w:r>
      <w:r>
        <w:rPr>
          <w:rFonts w:ascii="Arial" w:cs="Arial" w:eastAsia="Arial" w:hAnsi="Arial"/>
          <w:sz w:val="16"/>
          <w:szCs w:val="16"/>
          <w:u w:val="single" w:color="auto"/>
          <w:color w:val="auto"/>
        </w:rPr>
        <w:t>C</w:t>
      </w:r>
      <w:r>
        <w:rPr>
          <w:rFonts w:ascii="Arial" w:cs="Arial" w:eastAsia="Arial" w:hAnsi="Arial"/>
          <w:sz w:val="16"/>
          <w:szCs w:val="16"/>
          <w:color w:val="auto"/>
        </w:rPr>
        <w:t>RISPR-</w:t>
      </w:r>
      <w:r>
        <w:rPr>
          <w:rFonts w:ascii="Arial" w:cs="Arial" w:eastAsia="Arial" w:hAnsi="Arial"/>
          <w:sz w:val="16"/>
          <w:szCs w:val="16"/>
          <w:u w:val="single" w:color="auto"/>
          <w:color w:val="auto"/>
        </w:rPr>
        <w:t>as</w:t>
      </w:r>
      <w:r>
        <w:rPr>
          <w:rFonts w:ascii="Arial" w:cs="Arial" w:eastAsia="Arial" w:hAnsi="Arial"/>
          <w:sz w:val="16"/>
          <w:szCs w:val="16"/>
          <w:color w:val="auto"/>
        </w:rPr>
        <w:t xml:space="preserve">sociated protein </w:t>
      </w:r>
      <w:r>
        <w:rPr>
          <w:rFonts w:ascii="Arial" w:cs="Arial" w:eastAsia="Arial" w:hAnsi="Arial"/>
          <w:sz w:val="16"/>
          <w:szCs w:val="16"/>
          <w:u w:val="single" w:color="auto"/>
          <w:color w:val="auto"/>
        </w:rPr>
        <w:t>9</w:t>
      </w:r>
      <w:r>
        <w:rPr>
          <w:rFonts w:ascii="Arial" w:cs="Arial" w:eastAsia="Arial" w:hAnsi="Arial"/>
          <w:sz w:val="16"/>
          <w:szCs w:val="16"/>
          <w:color w:val="auto"/>
        </w:rPr>
        <w:t xml:space="preserve"> (Cas9) and is a revolutionary technology for gene editing,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process of precisely altering specific sequences of genomic DNA. We aim to apply this technology to disrupt, delete, correct and insert genes to treat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genetically-defined diseases and to engineer advanced cellular therapies. We believe that our scientific expertise, together with our gene-editing approach,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may enable an entirely new class of highly effective and potentially curative therapies for patients with both rare and common diseases for whom current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biopharmaceutical approaches have had limited success. Our most advanced programs target the genetically-defined diseases transfusion-dependent beta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thalassemia, or TDT, and severe sickle cell disease, or SCD, two hemoglobinopathies with high unmet medical need. We are also progressing several gene-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edited allogeneic cell therapy programs, beginning with three allogeneic chimeric antigen receptor T cell, or CAR-T candidates for the treatment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hematological and solid tumor cancers, as well as an investigational, allogeneic, gene-edited, immune-evasive, stem cell-derived therapy for the treatment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of type 1 diabetes, or T1D. In addition, we are advancing several programs leveraging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editing approaches.</w:t>
      </w:r>
    </w:p>
    <w:p>
      <w:pPr>
        <w:spacing w:after="0" w:line="182" w:lineRule="exact"/>
        <w:rPr>
          <w:sz w:val="20"/>
          <w:szCs w:val="20"/>
          <w:color w:val="auto"/>
        </w:rPr>
      </w:pPr>
    </w:p>
    <w:p>
      <w:pPr>
        <w:ind w:right="20" w:firstLine="509"/>
        <w:spacing w:after="0" w:line="256" w:lineRule="auto"/>
        <w:rPr>
          <w:sz w:val="20"/>
          <w:szCs w:val="20"/>
          <w:color w:val="auto"/>
        </w:rPr>
      </w:pPr>
      <w:r>
        <w:rPr>
          <w:rFonts w:ascii="Arial" w:cs="Arial" w:eastAsia="Arial" w:hAnsi="Arial"/>
          <w:sz w:val="16"/>
          <w:szCs w:val="16"/>
          <w:color w:val="auto"/>
        </w:rPr>
        <w:t>The use of CRISPR/Cas9 for gene editing was derived from a naturally occurring viral defense mechanism in bacteria and was pioneered by one of our scientific founders, Dr. Emmanuelle Charpentier, the Acting and Founding Director of the Max Planck Unit for the Science of Pathogens in Berlin, Germany. Dr. Charpentier and her collaborators published work elucidating the mechanism by which the Cas9 endonuclease, a key component of CRISPR/Cas9, can be programmed to cut double-stranded DNA at specific locations. Dr. Charpentier and her collaborator, Dr. Jennifer Doudna of the University of California, Berkeley, shared the 2020 Nobel Prize in Chemistry for their groundbreaking work. We have acquired rights to the intellectual property encompassing CRISPR/Cas9 and related technologies from Dr. Charpentier and continue to strengthen our intellectual property estate through our own research and additional in-licensing efforts, furthering our leadership in the development of CRISPR/Cas9-based therapeutics.</w:t>
      </w:r>
    </w:p>
    <w:p>
      <w:pPr>
        <w:spacing w:after="0" w:line="179"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 xml:space="preserve">Our product development and partnership strategies are designed to exploit the full potential of the CRISPR/Cas9 platform while maximizing the probability of successfully developing our product candidates. For our most advanced product candidates, we have taken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approach in which we edit cells outside of the human body using CRISPR/Cas9 before administering them to the patient. We are also pursuing select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applications, in which we deliver the CRISPR/Cas9-based therapeutic directly to target cells within the human body.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Hemoglobinopathies</w:t>
      </w:r>
    </w:p>
    <w:p>
      <w:pPr>
        <w:spacing w:after="0" w:line="104"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 xml:space="preserve">Our lead product candidate, CTX001, is an investigational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CRISPR gene-edited therapy that is being evaluated for patients suffering from TDT or severe SCD in which a patient’s hematopoietic stem cells are engineered to produce high levels of fetal hemoglobin (HbF; hemoglobin F) in red blood cells. HbF is a form of the oxygen-carrying hemoglobin that is naturally present at birth and is then replaced by the adult form of hemoglobin. The elevation of HbF by CTX001 has the potential to eliminate transfusion requirements for TDT patients and painful and debilitating vaso-occlusive crises for SCD patients. CTX001 is being developed under a joint development and commercialization agreement between us and Vertex Pharmaceuticals Incorporated, or Vertex.</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Beta Thalassemia</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and Vertex are investigating CTX001 in a Phase 3 open-label clinical trial, CLIMB THAL-111, that is designed to assess the safety and efficacy of a single dose of CTX001 in patients ages 12 to 35 with TDT, including beta zero/beta zero subtypes. The first two patients in the trial were treated sequentially and, following data from the initial two patients indicating successful engraftment and an acceptable safety profile, the trial opened for concurrent dosing. CLIMB THAL-111 is designed to follow patients for approximately two years after infusion. Each patient will be asked to participate in a long-term, open-label follow-up trial, CLIMB-131, to evaluate the safety and efficacy of CTX001 in patients who received CTX001. CLIMB-131 is designed to follow participants for up to 15 years after CTX001 infusion. Enrollment is complete for CLIMB THAL-111.</w:t>
      </w:r>
    </w:p>
    <w:p>
      <w:pPr>
        <w:spacing w:after="0" w:line="67"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In the second quarter of 2021, at the European Hematology Association Congress, we presented updated clinical data from the first fifteen patients with TDT treated with CTX001 who had reached at least three months of follow-up after CTX001 dosing. For additional information regarding the clinical data, please see “Business—Our Lead Hemoglobinopathies Product Candidate—CTX001.”</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i w:val="1"/>
          <w:iCs w:val="1"/>
          <w:color w:val="auto"/>
        </w:rPr>
        <w:t>Sickle Cell Disease</w:t>
      </w:r>
    </w:p>
    <w:p>
      <w:pPr>
        <w:spacing w:after="0" w:line="158"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and Vertex are also investigating CTX001 in a Phase 3 open-label clinical trial, CLIMB SCD-121, that is designed to assess the safety and efficacy of a single dose of CTX001 in patients ages 12 to 35 with severe SCD. Similar to the trial in TDT, the first two patients in the trial were treated sequentially and, following data from the initial two patients indicating successful engraftment and an acceptable safety profile, the trial opened for concurrent dosing. CLIMB SCD-121 is designed to follow patients for approximately two years after infusion. Each patient will be asked to participate in a long-term, open-label follow-up trial, CLIMB-131, to evaluate the safety and efficacy of CTX001 in patients who received CTX001. CLIMB-131 is designed to follow participants for up to 15 years after CTX001 infusion. Enrollment is complete for CLIMB SCD-111.</w:t>
      </w:r>
    </w:p>
    <w:p>
      <w:pPr>
        <w:spacing w:after="0" w:line="175"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the second quarter of 2021, at the European Hematology Association Congress, we presented updated clinical data from the first seven patients with SCD treated with CTX001 who had reached at least three months of follow-up after CTX001 dosing. For additional information regarding the clinical data, please see “Business—Our Lead Hemoglobinopathies Product Candidate—CTX001.”</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Regulatory Designations— CTX001</w:t>
      </w:r>
    </w:p>
    <w:p>
      <w:pPr>
        <w:spacing w:after="0" w:line="104"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CTX001 has been granted a number of regulatory designations from the FDA, including Regenerative Medicine Advanced Therapy, or RMAT, Fast Track, Orphan Drug, and Rare Pediatric Disease designations for the treatment of both TDT and SCD. CTX001 has also been granted Orphan Drug Designation from the European Commission, as well as the PRIority MEdicines, or PRIME, designation from EMA for the treatment of both TDT and SCD. For additional information regarding the impact of regulatory designations, please see “Business—Government Regulations.”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w:t>
      </w:r>
    </w:p>
    <w:p>
      <w:pPr>
        <w:spacing w:after="0" w:line="104"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 xml:space="preserve">We believe CRISPR/Cas9 has the potential to create the next generation of CAR-T cell therapies that may have a superior product profile compared to current autologous therapies and allow accessibility to broader patient populations. Drawing from the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gene-editing capabilities gained through our lead programs, we are advancing several immuno-oncology cell therapy programs, including three programs in clinical trials.</w:t>
      </w:r>
    </w:p>
    <w:p>
      <w:pPr>
        <w:spacing w:after="0" w:line="16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i w:val="1"/>
          <w:iCs w:val="1"/>
          <w:color w:val="auto"/>
        </w:rPr>
        <w:t>CTX110</w:t>
      </w:r>
      <w:r>
        <w:rPr>
          <w:rFonts w:ascii="Arial" w:cs="Arial" w:eastAsia="Arial" w:hAnsi="Arial"/>
          <w:sz w:val="17"/>
          <w:szCs w:val="17"/>
          <w:color w:val="auto"/>
        </w:rPr>
        <w:t>. Our lead immuno-oncology product candidate, CTX110, is a healthy donor-derived gene-edited allogeneic CAR-T investigational therapy</w:t>
      </w:r>
      <w:r>
        <w:rPr>
          <w:rFonts w:ascii="Arial" w:cs="Arial" w:eastAsia="Arial" w:hAnsi="Arial"/>
          <w:sz w:val="17"/>
          <w:szCs w:val="17"/>
          <w:i w:val="1"/>
          <w:iCs w:val="1"/>
          <w:color w:val="auto"/>
        </w:rPr>
        <w:t xml:space="preserve"> </w:t>
      </w:r>
      <w:r>
        <w:rPr>
          <w:rFonts w:ascii="Arial" w:cs="Arial" w:eastAsia="Arial" w:hAnsi="Arial"/>
          <w:sz w:val="17"/>
          <w:szCs w:val="17"/>
          <w:color w:val="auto"/>
        </w:rPr>
        <w:t>targeting Cluster of Differentiation 19, or CD19. CTX110 is being investigated in an ongoing Phase 1 single-arm, multi-center, open-label clinical trial, CARBON, that is designed to assess the safety and efficacy of several dose levels of CTX110 in adult patients with relapsed or refractory B-cell malignancies who have received at least two prior lines of therapy. CTX110 has been granted RMAT designation by the FDA.</w:t>
      </w:r>
    </w:p>
    <w:p>
      <w:pPr>
        <w:spacing w:after="0" w:line="172"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In the fourth quarter of 2021, we released updated clinical data from the ongoing CARBON trial for 26 patients treated with CTX110 who had reached at least 28 days of follow-up. For additional information regarding the clinical data, please see “Business—Our Lead Immuno-Oncology Product Candidate—CTX110.”</w:t>
      </w:r>
    </w:p>
    <w:p>
      <w:pPr>
        <w:spacing w:after="0" w:line="182"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i w:val="1"/>
          <w:iCs w:val="1"/>
          <w:color w:val="auto"/>
        </w:rPr>
        <w:t xml:space="preserve">CTX120. </w:t>
      </w:r>
      <w:r>
        <w:rPr>
          <w:rFonts w:ascii="Arial" w:cs="Arial" w:eastAsia="Arial" w:hAnsi="Arial"/>
          <w:sz w:val="18"/>
          <w:szCs w:val="18"/>
          <w:color w:val="auto"/>
        </w:rPr>
        <w:t>CTX120 is a healthy donor-derived gene-edited allogeneic CAR-T investigational therapy targeting B-cell maturation antigen, or BCMA.</w:t>
      </w:r>
      <w:r>
        <w:rPr>
          <w:rFonts w:ascii="Arial" w:cs="Arial" w:eastAsia="Arial" w:hAnsi="Arial"/>
          <w:sz w:val="18"/>
          <w:szCs w:val="18"/>
          <w:i w:val="1"/>
          <w:iCs w:val="1"/>
          <w:color w:val="auto"/>
        </w:rPr>
        <w:t xml:space="preserve"> </w:t>
      </w:r>
      <w:r>
        <w:rPr>
          <w:rFonts w:ascii="Arial" w:cs="Arial" w:eastAsia="Arial" w:hAnsi="Arial"/>
          <w:sz w:val="18"/>
          <w:szCs w:val="18"/>
          <w:color w:val="auto"/>
        </w:rPr>
        <w:t>CTX120 is being investigated in an ongoing Phase 1 single-arm, multi-center, open-label clinical trial that is designed to assess the safety and efficacy of several dose levels of CTX120 for the treatment of relapsed or refractory multiple myeloma. CTX120 has received Orphan Drug Designation from the FDA.</w:t>
      </w:r>
    </w:p>
    <w:p>
      <w:pPr>
        <w:spacing w:after="0" w:line="188"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 xml:space="preserve">CTX130. </w:t>
      </w:r>
      <w:r>
        <w:rPr>
          <w:rFonts w:ascii="Arial" w:cs="Arial" w:eastAsia="Arial" w:hAnsi="Arial"/>
          <w:sz w:val="18"/>
          <w:szCs w:val="18"/>
          <w:color w:val="auto"/>
        </w:rPr>
        <w:t>CTX130 is a healthy donor-derived gene-edited allogeneic CAR-T investigational therapy targeting Cluster of Differentiation 70, or CD70,</w:t>
      </w:r>
      <w:r>
        <w:rPr>
          <w:rFonts w:ascii="Arial" w:cs="Arial" w:eastAsia="Arial" w:hAnsi="Arial"/>
          <w:sz w:val="18"/>
          <w:szCs w:val="18"/>
          <w:i w:val="1"/>
          <w:iCs w:val="1"/>
          <w:color w:val="auto"/>
        </w:rPr>
        <w:t xml:space="preserve"> </w:t>
      </w:r>
      <w:r>
        <w:rPr>
          <w:rFonts w:ascii="Arial" w:cs="Arial" w:eastAsia="Arial" w:hAnsi="Arial"/>
          <w:sz w:val="18"/>
          <w:szCs w:val="18"/>
          <w:color w:val="auto"/>
        </w:rPr>
        <w:t>an antigen expressed on various solid tumors and hematologic malignancies. CTX130 is being developed for the treatment of both solid tumors, such as renal cell carcinoma, and T-cell and B-cell hematologic malignancies. CTX130 is being investigated in two ongoing independent Phase 1 single-arm, multi-center, open-label clinical trials that are designed to assess the safety and efficacy of several dose levels of CTX130 for the treatment of relapsed or refractory renal cell carcinoma and various types of lymphoma, respectively. CTX130 for the treatment of T-cell lymphoma has received Orphan Drug Designation from the FDA.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Regenerative Medicine</w:t>
      </w:r>
    </w:p>
    <w:p>
      <w:pPr>
        <w:spacing w:after="0" w:line="10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 xml:space="preserve">To further expand the applications of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gene-editing expertise, we have increased our efforts in the field of regenerative medicine. Regenerative medicine, or the use of stem cells to repair or replace tissue or organ function lost due to disease, damage or age, holds the potential to treat both rare and common diseases. We are pursuing gene-editing approaches to allow allogeneic use of stem cell-derived therapies by enabling immune evasion, improving existing cell function and directing cell fate using CRISPR/Cas9.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 w:name="page9"/>
    <w:bookmarkEnd w:id="8"/>
    <w:p>
      <w:pPr>
        <w:ind w:right="140" w:firstLine="509"/>
        <w:spacing w:after="0" w:line="243" w:lineRule="auto"/>
        <w:rPr>
          <w:sz w:val="20"/>
          <w:szCs w:val="20"/>
          <w:color w:val="auto"/>
        </w:rPr>
      </w:pPr>
      <w:r>
        <w:rPr>
          <w:rFonts w:ascii="Arial" w:cs="Arial" w:eastAsia="Arial" w:hAnsi="Arial"/>
          <w:sz w:val="18"/>
          <w:szCs w:val="18"/>
          <w:color w:val="auto"/>
        </w:rPr>
        <w:t>Our first major effort in this area is in diabetes, and we and ViaCyte, Inc., or ViaCyte, are advancing multiple programs as part of a strategic collaboration for the discovery, development and commercialization of gene-edited stem cell therapies for the treatment of diabetes. We believe the combination of ViaCyte’s stem cell capabilities and our gene-editing capabilities has the potential to enable a beta-cell replacement product candidate that may deliver durable benefit to patients without requiring concurrent immune suppression.</w:t>
      </w:r>
    </w:p>
    <w:p>
      <w:pPr>
        <w:spacing w:after="0" w:line="188"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i w:val="1"/>
          <w:iCs w:val="1"/>
          <w:color w:val="auto"/>
        </w:rPr>
        <w:t>VCTX210</w:t>
      </w:r>
      <w:r>
        <w:rPr>
          <w:rFonts w:ascii="Arial" w:cs="Arial" w:eastAsia="Arial" w:hAnsi="Arial"/>
          <w:sz w:val="17"/>
          <w:szCs w:val="17"/>
          <w:color w:val="auto"/>
        </w:rPr>
        <w:t>. VCTX210 is an investigational, allogeneic, gene-edited, immune-evasive, stem cell-derived product candidate for the treatment of T1D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by applying our gene-editing technology to ViaCyte’s proprietary stem cell capabilities. We and ViaCyte are investigating VCTX210 in an ongoing Phase 1 clinical trial that is designed to assess VCTX210’s safety, tolerability, and immune evasion in patients with T1D.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Vivo</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In addition to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programs, we are pursuing a number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gene-editing programs. Our initial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applications target diseases of the liver, lung, muscle and central nervous system and leverage well-established delivery technologies for gene-based therapeutics, such as lipid nanoparticle-based delivery vehicles, or LNPs, and adeno-associated viral vectors, or AAV vectors.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Given the numerous potential therapeutic applications for CRISPR/Cas9, we have partnered strategically to broaden the indications we can pursue and accelerate development of programs by accessing specific technologies and/or disease-area expertise. We have formed broad strategic partnerships to develop gene editing-based therapeutics in specific disease areas. For additional information regarding certain of these partnerships, please see “Business— Strategic Partnerships and Collaborations</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88"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i w:val="1"/>
          <w:iCs w:val="1"/>
          <w:color w:val="auto"/>
        </w:rPr>
        <w:t>Vertex</w:t>
      </w:r>
      <w:r>
        <w:rPr>
          <w:rFonts w:ascii="Arial" w:cs="Arial" w:eastAsia="Arial" w:hAnsi="Arial"/>
          <w:sz w:val="18"/>
          <w:szCs w:val="18"/>
          <w:color w:val="auto"/>
        </w:rPr>
        <w:t>. We established our initial collaboration agreement in 2015 with Vertex, which focused on TDT, SCD, cystic fibrosis and select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indications. In December 2017, we entered into a joint development and commercialization agreement with Vertex pursuant to which, among other things, we are co-developing and preparing to co-commercialize CTX001 for TDT and SCD. In April 2021, we and Vertex agreed to amend and restate our existing joint development and commercialization agreement, pursuant to which, among other things, we will continue to develop and prepare to commercialize CTX001 for TDT and SCD in partnership with Vertex. We also entered into a strategic collaboration and license agreement with Vertex in June 2019 for the development and commercialization of products for the treatment of Duchenne muscular dystrophy, or DMD, and myotonic dystrophy type 1, or DM1.</w:t>
      </w:r>
    </w:p>
    <w:p>
      <w:pPr>
        <w:spacing w:after="0" w:line="19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i w:val="1"/>
          <w:iCs w:val="1"/>
          <w:color w:val="auto"/>
        </w:rPr>
        <w:t>ViaCyte</w:t>
      </w:r>
      <w:r>
        <w:rPr>
          <w:rFonts w:ascii="Arial" w:cs="Arial" w:eastAsia="Arial" w:hAnsi="Arial"/>
          <w:sz w:val="18"/>
          <w:szCs w:val="18"/>
          <w:color w:val="auto"/>
        </w:rPr>
        <w:t>. We entered into a research and collaboration agreement in September 2018 with ViaCyte to pursue the discovery,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gene-edited allogeneic stem cell therapies for the treatment of diabetes and in July 2021, we entered into a joint development and commercialization agreement with ViaCyte. Under the joint development and commercialization agreement, we and ViaCyte will jointly develop and commercialize product candidates and shared products for use in the treatment of diabetes type 1, diabetes type 2 and insulin dependent/requiring diabetes throughout the world.</w:t>
      </w:r>
    </w:p>
    <w:p>
      <w:pPr>
        <w:spacing w:after="0" w:line="189"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i w:val="1"/>
          <w:iCs w:val="1"/>
          <w:color w:val="auto"/>
        </w:rPr>
        <w:t xml:space="preserve">Bayer. </w:t>
      </w:r>
      <w:r>
        <w:rPr>
          <w:rFonts w:ascii="Arial" w:cs="Arial" w:eastAsia="Arial" w:hAnsi="Arial"/>
          <w:sz w:val="18"/>
          <w:szCs w:val="18"/>
          <w:color w:val="auto"/>
        </w:rPr>
        <w:t>In the fourth quarter of 2019, we entered into a series of transactions pursuant to which we and Bayer Healthcare LLC, or Bayer, terminated</w:t>
      </w:r>
      <w:r>
        <w:rPr>
          <w:rFonts w:ascii="Arial" w:cs="Arial" w:eastAsia="Arial" w:hAnsi="Arial"/>
          <w:sz w:val="18"/>
          <w:szCs w:val="18"/>
          <w:i w:val="1"/>
          <w:iCs w:val="1"/>
          <w:color w:val="auto"/>
        </w:rPr>
        <w:t xml:space="preserve"> </w:t>
      </w:r>
      <w:r>
        <w:rPr>
          <w:rFonts w:ascii="Arial" w:cs="Arial" w:eastAsia="Arial" w:hAnsi="Arial"/>
          <w:sz w:val="18"/>
          <w:szCs w:val="18"/>
          <w:color w:val="auto"/>
        </w:rPr>
        <w:t>our 2015 agreement, which had created the joint venture Casebia Therapeutics Limited Liability Partnership, or Casebia, to discover, develop and commercialize CRISPR/Cas9 gene-editing therapeutics to treat the genetic causes of bleeding disorders, autoimmune disease, blindness, hearing loss and heart disease. In connection thereto, Casebia became a wholly-owned subsidiary of ours. We and Bayer also entered into a new option agreement pursuant to which Bayer has an option to co-develop and co-commercialize two products for the diagnosis, treatment, or prevention of certain autoimmune disorders, eye disorders or hemophilia A disorders for a specified period of time, or, under certain circumstances, exclusively license such optioned products.</w:t>
      </w:r>
    </w:p>
    <w:p>
      <w:pPr>
        <w:spacing w:after="0" w:line="191"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Nkarta</w:t>
      </w:r>
      <w:r>
        <w:rPr>
          <w:rFonts w:ascii="Arial" w:cs="Arial" w:eastAsia="Arial" w:hAnsi="Arial"/>
          <w:sz w:val="18"/>
          <w:szCs w:val="18"/>
          <w:color w:val="auto"/>
        </w:rPr>
        <w:t>. In the second quarter of 2021, we entered into a research and collaboration agreement with Nkarta, Inc., or Nkarta, to bring together our</w:t>
      </w:r>
      <w:r>
        <w:rPr>
          <w:rFonts w:ascii="Arial" w:cs="Arial" w:eastAsia="Arial" w:hAnsi="Arial"/>
          <w:sz w:val="18"/>
          <w:szCs w:val="18"/>
          <w:i w:val="1"/>
          <w:iCs w:val="1"/>
          <w:color w:val="auto"/>
        </w:rPr>
        <w:t xml:space="preserve"> </w:t>
      </w:r>
      <w:r>
        <w:rPr>
          <w:rFonts w:ascii="Arial" w:cs="Arial" w:eastAsia="Arial" w:hAnsi="Arial"/>
          <w:sz w:val="18"/>
          <w:szCs w:val="18"/>
          <w:color w:val="auto"/>
        </w:rPr>
        <w:t>gene editing technology and T-cell expertise with Nkarta’s leading natural killer, or NK, cell discovery, development and manufacturing capabilities. Under the collaboration, we and Nkarta are co-developing and co-commercializing two donor-derived, gene-edited CAR-NK cell product candidates, one of which targets CD70, and a product candidate combining NK and T cells.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 w:name="page10"/>
    <w:bookmarkEnd w:id="9"/>
    <w:p>
      <w:pPr>
        <w:ind w:right="80" w:firstLine="509"/>
        <w:spacing w:after="0" w:line="255" w:lineRule="auto"/>
        <w:rPr>
          <w:sz w:val="20"/>
          <w:szCs w:val="20"/>
          <w:color w:val="auto"/>
        </w:rPr>
      </w:pPr>
      <w:r>
        <w:rPr>
          <w:rFonts w:ascii="Arial" w:cs="Arial" w:eastAsia="Arial" w:hAnsi="Arial"/>
          <w:sz w:val="17"/>
          <w:szCs w:val="17"/>
          <w:i w:val="1"/>
          <w:iCs w:val="1"/>
          <w:color w:val="auto"/>
        </w:rPr>
        <w:t xml:space="preserve">Capsida. </w:t>
      </w:r>
      <w:r>
        <w:rPr>
          <w:rFonts w:ascii="Arial" w:cs="Arial" w:eastAsia="Arial" w:hAnsi="Arial"/>
          <w:sz w:val="17"/>
          <w:szCs w:val="17"/>
          <w:color w:val="auto"/>
        </w:rPr>
        <w:t>In the second quarter of 2021, we entered into a strategic collaboration agreement with Capsida Biotherapeutics, Inc., or Capsida,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develop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editing therapies delivered with engineered AAV vectors for the treatment of amyotrophic lateral sclerosis, or ALS, and Friedreich’s ataxia. Under the agreement, we lead research and development of the Friedreich’s ataxia program and perform gene-editing activities for both programs, and Capsida leads research and development of the ALS program and conducts capsid engineering for both programs. Capsida’s high-throughput AAV engineering platform aims to generate capsids optimized to target specific tissue types and limits transduction of tissues and cell types that are not relevant to the target disease, potentially improving the activity and tolerability of our gene editing investigational therapies. We and Capsida each have the option to co-develop and co-commercialize the program that the other leads.</w:t>
      </w:r>
    </w:p>
    <w:p>
      <w:pPr>
        <w:spacing w:after="0" w:line="180"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Our mission is to create transformative gene-based medicines for serious human diseases. We believe that our highly experienced team, together with our scientific expertise, product development strategy, partnerships and intellectual property, position us as a leader in the development of CRISPR-based therapeutics.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Editing Background</w:t>
      </w:r>
    </w:p>
    <w:p>
      <w:pPr>
        <w:spacing w:after="0" w:line="108" w:lineRule="exact"/>
        <w:rPr>
          <w:sz w:val="20"/>
          <w:szCs w:val="20"/>
          <w:color w:val="auto"/>
        </w:rPr>
      </w:pPr>
    </w:p>
    <w:p>
      <w:pPr>
        <w:ind w:right="160" w:firstLine="509"/>
        <w:spacing w:after="0" w:line="272" w:lineRule="auto"/>
        <w:rPr>
          <w:sz w:val="20"/>
          <w:szCs w:val="20"/>
          <w:color w:val="auto"/>
        </w:rPr>
      </w:pPr>
      <w:r>
        <w:rPr>
          <w:rFonts w:ascii="Arial" w:cs="Arial" w:eastAsia="Arial" w:hAnsi="Arial"/>
          <w:sz w:val="16"/>
          <w:szCs w:val="16"/>
          <w:color w:val="auto"/>
        </w:rPr>
        <w:t>There are thousands of diseases caused by aberrant DNA sequences. Traditional small molecule and biologic therapies have had limited success in treating many of these diseases because they fail to address the underlying genetic causes. Newer approaches such as RNA therapeutics and viral gene therapy more directly target the genes related to disease, but each has clear limitations. RNA-based therapies, such as mRNA and siRNA, face challenges with repeat dosing and related toxicities. Non-integrating viral gene therapy platforms, such as AAV, may have limited durability because they do not permanently change the genome and have limited efficacy upon re-administration due to resulting immune responses. Integrating viral gene therapy platforms, such as lentivirus, permanently alter the genome but do so randomly, which leads to the potential for undesirable mutations. Additionally, cells may recognize the transduced genes as foreign and respond by reducing their expression, limiting their efficacy. Thus, while our understanding of genetic diseases has increased tremendously since the mapping of the human genome, our ability to treat them effectively has been limited.</w:t>
      </w:r>
    </w:p>
    <w:p>
      <w:pPr>
        <w:spacing w:after="0" w:line="16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believe gene editing has the potential to enable a next generation of therapeutics and provide potentially curative therapies to many genetic diseases through precise gene modification. Furthermore, the ability to alter DNA sequences precisely has applications beyond the treatment of genetically-defined diseases. CRISPR/Cas9 gene editing could also enable the engineering of cell-based therapies to make them more efficacious, safer and available to a broader group of patients. Cell therapies have already begun to make a meaningful impact in certain diseases and gene editing could help accelerate that progress across diverse disease areas, including oncology and diabetes.</w:t>
      </w:r>
    </w:p>
    <w:p>
      <w:pPr>
        <w:spacing w:after="0" w:line="17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The process of gene editing involves precisely altering DNA sequences within the genomes of cells using enzymes to cut the DNA at specific locations. After a cut is made, natural cellular processes repair the DNA to either silence or correct undesirable sequences, potentially reversing their negative effects. Importantly, because the genome itself is modified in this process, the change is permanent in the patient. Earlier generations of gene-editing technologies, such as zinc finger nucleases, or ZFNs, transcription-activator like effector nucleases, or TALENs, and meganucleases, rely on engineered protein-DNA interactions to govern the location of editing. While these systems were an important first step to demonstrate the potential of gene editing, their development has been challenging in practice due to the complexity of engineering protein-DNA interactions. In contrast, CRISPR/Cas9 is guided by RNA-DNA interactions, which are more predictable and straightforward to engineer and apply. As a result, we have continued to invest in broadening our CRISPR platform so we can employ a variety of technologies as appropriate.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CRISPR/Cas9 Technology</w:t>
      </w:r>
    </w:p>
    <w:p>
      <w:pPr>
        <w:spacing w:after="0" w:line="10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 xml:space="preserve">CRISPR/Cas9 evolved as a naturally occurring defense mechanism that protects bacteria against viral infections. Dr. Charpentier and her collaborators elucidated this mechanism and developed ways to adapt and simplify it for use in gene editing. In recognition of this groundbreaking work, Dr. Charpentier was awarded the 2020 Nobel Prize in Chemistry along with her collaborator, Dr. Jennifer Doudna of the University of California, Berkeley. The CRISPR/Cas9 technology they described consists of three basic components: </w:t>
      </w:r>
      <w:r>
        <w:rPr>
          <w:rFonts w:ascii="Arial" w:cs="Arial" w:eastAsia="Arial" w:hAnsi="Arial"/>
          <w:sz w:val="18"/>
          <w:szCs w:val="18"/>
          <w:u w:val="single" w:color="auto"/>
          <w:color w:val="auto"/>
        </w:rPr>
        <w:t>C</w:t>
      </w:r>
      <w:r>
        <w:rPr>
          <w:rFonts w:ascii="Arial" w:cs="Arial" w:eastAsia="Arial" w:hAnsi="Arial"/>
          <w:sz w:val="18"/>
          <w:szCs w:val="18"/>
          <w:color w:val="auto"/>
        </w:rPr>
        <w:t>RISPR-</w:t>
      </w:r>
      <w:r>
        <w:rPr>
          <w:rFonts w:ascii="Arial" w:cs="Arial" w:eastAsia="Arial" w:hAnsi="Arial"/>
          <w:sz w:val="18"/>
          <w:szCs w:val="18"/>
          <w:u w:val="single" w:color="auto"/>
          <w:color w:val="auto"/>
        </w:rPr>
        <w:t>as</w:t>
      </w:r>
      <w:r>
        <w:rPr>
          <w:rFonts w:ascii="Arial" w:cs="Arial" w:eastAsia="Arial" w:hAnsi="Arial"/>
          <w:sz w:val="18"/>
          <w:szCs w:val="18"/>
          <w:color w:val="auto"/>
        </w:rPr>
        <w:t>sociated protein 9, or Cas9, CRISPR RNA, or crRNA, and trans-activating CRISPR RNA, or tracrRNA. Cas9, in combination with these two RNA molecules, is described as “molecular scissors” that can make specific cuts and edits in selected double-stranded DNA.</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 w:name="page11"/>
    <w:bookmarkEnd w:id="10"/>
    <w:p>
      <w:pPr>
        <w:ind w:right="200" w:firstLine="509"/>
        <w:spacing w:after="0" w:line="243" w:lineRule="auto"/>
        <w:rPr>
          <w:sz w:val="20"/>
          <w:szCs w:val="20"/>
          <w:color w:val="auto"/>
        </w:rPr>
      </w:pPr>
      <w:r>
        <w:rPr>
          <w:rFonts w:ascii="Arial" w:cs="Arial" w:eastAsia="Arial" w:hAnsi="Arial"/>
          <w:sz w:val="18"/>
          <w:szCs w:val="18"/>
          <w:color w:val="auto"/>
        </w:rPr>
        <w:t>Dr. Charpentier and her collaborators further simplified the system for use in gene editing by combining the crRNA and tracrRNA into a single RNA molecule called a guide RNA. The guide RNA binds to Cas9 and can be programmed to direct the Cas9 enzyme to a specific DNA sequence based on Watson-Crick base pairing rules. The CRISPR/Cas9 technology can be used to make cuts in DNA at specific sites of targeted genes, providing a powerful tool for developing gene editing-based therapeutics.</w:t>
      </w:r>
    </w:p>
    <w:p>
      <w:pPr>
        <w:spacing w:after="0" w:line="188"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Once the DNA is cut, the cell uses naturally occurring DNA repair mechanisms to rejoin the cut ends. If a single cut is made, a process called non-homologous end joining can result in the addition or deletion of base pairs, disrupting the original DNA sequence and causing gene inactivation. A larger fragment of DNA can also be deleted by using two guide RNAs that target separate sites. After cleavage at each site, non-homologous end joining unites the separate ends, deleting the intervening sequence. Alternatively, if a DNA template is added alongside the CRISPR/Cas9 machinery, the cell can correct a gene or even insert a new gene through a process called homology directed repair.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CRISPR/Cas9 gene editing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146050</wp:posOffset>
            </wp:positionV>
            <wp:extent cx="6172200" cy="30518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72200"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believe that CRISPR/Cas9 is a versatile technology that can be used to disrupt, delete, correct or insert genes. We intend to take advantage of the versatility and modularity of the CRISPR/Cas9 system to adapt and rapidly customize individual components for specific disease applications. Consequently, we believe that CRISPR/Cas9 may form the basis of a new class of therapeutics with the potential to treat both rare and common diseases. Given the advantages of CRISPR/Cas systems, multiple academic groups have developed new technologies based on CRISPR/Cas9, such as base editing and prime editing. While still nascent, such new CRISPR/Cas-based technologies could have advantages over existing gene-editing technologies, including CRISPR/Cas9 technologies, in select applications.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Our Pipeline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status of our product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203200</wp:posOffset>
            </wp:positionV>
            <wp:extent cx="6172200" cy="3472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Hematopoietic Programs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Background</w:t>
      </w:r>
    </w:p>
    <w:p>
      <w:pPr>
        <w:spacing w:after="0" w:line="10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 xml:space="preserve">We are primarily utilizing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approaches to treat diseases related to the hematopoietic system, which is the system of organs and tissues, such as bone marrow, the spleen and lymph nodes, involved in the production of blood. Today, many of the hematopoietic system diseases we are targeting are treated with allogeneic hematopoietic stem cell transplants, or allo-HSCT. In performing allo-HSCT, physicians replace a patient’s blood-forming cells that contain the defective gene with cells obtained from a different person that contain the normal gene. Unfortunately, not all patients are able to be matched with suitable donors. Patients who do undergo allo-HSCT face a high risk of complications such as infections related to immunosuppression, transplant rejection and graft-versus-host disease, where immune cells in the transplanted tissue (the graft) recognize the recipient (the host) as “foreign” and begin to attack the host’s cells.</w:t>
      </w:r>
    </w:p>
    <w:p>
      <w:pPr>
        <w:spacing w:after="0" w:line="191"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 xml:space="preserve">In contrast to allo-HSCT, our approach is to harvest stem cells directly from the patient, edit the target gene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and reintroduce those same cells back into the patient. We believe this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gene-editing approach, which uses the patient’s own cells, may provide better results than allo-HSCT.</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Lead Programs—Hemoglobinopathies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 xml:space="preserve">Hemoglobinopathies are a diverse group of inherited blood disorders that result from variations in the synthesis or structure of hemoglobin. Our lead program in hemoglobinopathies, for which we have partnered with Vertex, aims to develop a single, potentially curative CRISPR/Cas9-based therapy to treat both beta thalassemia and SCD. These diseases are caused by mutations in the gene encoding the beta globin protein. Beta globin is an essential component of hemoglobin, a protein in red blood cells that delivers oxygen and removes carbon dioxide throughout the body. Several factors make these attractive lead indications, including: (i) high unmet medical need, (ii) compelling market potential, (iii) well-understood genetics and (iv) the ability to employ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disruption strategy.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Beta Thalassemia</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Beta thalassemia is a blood disorder that is associated with a reduction in the production of hemoglobin. This disease is caused by mutations that give rise to the insufficient expression of the beta globin protein, which can lead to symptoms related not only to the lack of hemoglobin, but also to the buildup of unpaired alpha globin proteins in red blood cells. The severity of symptoms associated with beta thalassemia varies depending on the levels of functional beta globin present in the blood cells. The unpaired alpha globin chains are toxic to red blood cells and reduce red blood cell lifespan. In the most severe cases, described as beta thalassemia major, functional beta globin is either completely absent or reduced, resulting in severe anemia. In these patients, the bone marrow cannot keep pace with the destruction of red blood cells, and thus these patients require regular blood transfusions. While chronic blood transfusions can be effective at addressing symptoms, they often lead to iron overload, progressive heart and liver failure, and eventually early death. Patients with mild forms of beta thalassemia may experience some mild anemia or even be asymptomatic. The total worldwide incidence of beta thalassemia is estimated to be 60,000 births annually, the total prevalence in the United States and the EU is estimated to be approximately 16,000 and there are over 200,000 people worldwide who are alive and registered as receiving treatment for the disease.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Limitations of current treatment options</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most common treatment for beta thalassemia is chronic blood transfusions. Transfusion-dependent patients typically receive transfusions every two to four weeks and chronic administration of blood often leads to elevated levels of iron in the body, which can cause organ damage over a relatively short period of time. Patients are often given iron chelators, or medicines to reduce iron levels in the blood, which are associated with their own significant toxicities. In developing countries, where chronic transfusions are not available, most patients die in early childhood. Also, a disease-modifying therapy for beta thalassemia, Reblozyl (luspatercept-aamt), received FDA approval in 2019.</w:t>
      </w:r>
    </w:p>
    <w:p>
      <w:pPr>
        <w:spacing w:after="0" w:line="189" w:lineRule="exact"/>
        <w:rPr>
          <w:sz w:val="20"/>
          <w:szCs w:val="20"/>
          <w:color w:val="auto"/>
        </w:rPr>
      </w:pPr>
    </w:p>
    <w:p>
      <w:pPr>
        <w:ind w:right="40" w:firstLine="509"/>
        <w:spacing w:after="0" w:line="226" w:lineRule="auto"/>
        <w:rPr>
          <w:sz w:val="20"/>
          <w:szCs w:val="20"/>
          <w:color w:val="auto"/>
        </w:rPr>
      </w:pPr>
      <w:r>
        <w:rPr>
          <w:rFonts w:ascii="Arial" w:cs="Arial" w:eastAsia="Arial" w:hAnsi="Arial"/>
          <w:sz w:val="18"/>
          <w:szCs w:val="18"/>
          <w:color w:val="auto"/>
        </w:rPr>
        <w:t>A potentially curative therapy for this disease is allo-HSCT, but few patients elect to have this procedure given its associated morbidity and mortality and the lack of matched and willing donors. In addition, the EMA gave a conditional marketing authorization to Zynteglo (autologous CD34</w:t>
      </w:r>
      <w:r>
        <w:rPr>
          <w:rFonts w:ascii="Arial" w:cs="Arial" w:eastAsia="Arial" w:hAnsi="Arial"/>
          <w:sz w:val="24"/>
          <w:szCs w:val="24"/>
          <w:color w:val="auto"/>
          <w:vertAlign w:val="superscript"/>
        </w:rPr>
        <w:t>+</w:t>
      </w:r>
      <w:r>
        <w:rPr>
          <w:rFonts w:ascii="Arial" w:cs="Arial" w:eastAsia="Arial" w:hAnsi="Arial"/>
          <w:sz w:val="18"/>
          <w:szCs w:val="18"/>
          <w:color w:val="auto"/>
        </w:rPr>
        <w:t xml:space="preserve"> cells encoding β</w:t>
      </w:r>
      <w:r>
        <w:rPr>
          <w:rFonts w:ascii="Arial" w:cs="Arial" w:eastAsia="Arial" w:hAnsi="Arial"/>
          <w:sz w:val="24"/>
          <w:szCs w:val="24"/>
          <w:color w:val="auto"/>
          <w:vertAlign w:val="superscript"/>
        </w:rPr>
        <w:t>A-T87Q</w:t>
      </w:r>
      <w:r>
        <w:rPr>
          <w:rFonts w:ascii="Arial" w:cs="Arial" w:eastAsia="Arial" w:hAnsi="Arial"/>
          <w:sz w:val="18"/>
          <w:szCs w:val="18"/>
          <w:color w:val="auto"/>
        </w:rPr>
        <w:t>-globin gene), a lentiviral gene therapy developed by bluebird bio, for the treatment of certain patients with TDT in 2019, but in 2021 bluebird bio withdrew Zynteglo from the European market. We believe that our therapeutic approach could offer a potentially curative therapy for this devastating disease.</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Sickle Cell Disease</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ind w:right="220" w:firstLine="509"/>
        <w:spacing w:after="0" w:line="257" w:lineRule="auto"/>
        <w:rPr>
          <w:sz w:val="20"/>
          <w:szCs w:val="20"/>
          <w:color w:val="auto"/>
        </w:rPr>
      </w:pPr>
      <w:r>
        <w:rPr>
          <w:rFonts w:ascii="Arial" w:cs="Arial" w:eastAsia="Arial" w:hAnsi="Arial"/>
          <w:sz w:val="17"/>
          <w:szCs w:val="17"/>
          <w:color w:val="auto"/>
        </w:rPr>
        <w:t>SCD is an inherited disorder of red blood cells resulting from a specific mutation in the beta globin gene that causes abnormal red blood cell function. Under conditions of low oxygen concentration, the abnormal hemoglobin proteins aggregate within the red blood cells causing them to become sickled in shape and inflexible. These sickled cells obstruct blood vessels, restricting blood flow to organs, ultimately resulting in severe pain, infections, stroke, overall poor quality of life and early death. Patients also experience increased hemolysis, leading to anemia. The worldwide incidence of SCD is estimated to be 300,000 births annually and there are 20-25 million people worldwide with the disease. In the United States and the European Union, the total prevalence is estimated to be 150,000 individuals.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Limitations of current treatment options</w:t>
      </w:r>
    </w:p>
    <w:p>
      <w:pPr>
        <w:spacing w:after="0" w:line="10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As with beta thalassemia, in regions where medical infrastructure can support it, standard treatment for patients with SCD who have high levels of hemolysis involves chronic blood transfusions, which has the same associated risks of iron overload and toxicities associated with chelation therapy. The FDA and/or EMA have approved several disease-modifying therapies for SCD as well, including hydroxyurea, Adakveo (crizanlizumab-tmca) and Oxbryta (voxelotor). Allo-HSCT is another potential treatment option. While allo-HSCT provides the only potentially curative therapeutic path for SCD, it is often avoided given the significant risk of transplant-related morbidity and mortality in these patients and the lack of matched and willing donors.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Our Gene-Editing Approach</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Our therapeutic approach to treating beta thalassemia and SCD employs gene editing to upregulate the expression of the gamma globin protein, a hemoglobin subunit that is commonly present only in newborn infants. Hemoglobin that contains gamma globin instead of beta globin protein is referred to as fetal hemoglobin, or HbF. In most individuals HbF disappears in infancy as gamma globin is replaced by beta globin through naturally occurring suppression of the gamma globin gene. The symptoms of beta thalassemia and SCD typically do not manifest until several months after birth, when the levels of HbF have declined considerably. Some patients with beta thalassemia or SCD have elevated levels of HbF that persist into adulthood, a condition known as hereditary persistence of fetal hemoglobin, or HPFH. Patients with HPFH are often asymptomatic, or experience much milder forms of disease. This protective HPFH condition has been shown to result from specific changes to these patients’ genomic DNA, either in the region of the globin genes or in certain genetic regulatory elements that control the expression levels of the globin genes.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Relationship between level of HbF and morbidity in sickle cell disease and beta thalassemia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146050</wp:posOffset>
            </wp:positionV>
            <wp:extent cx="5374640" cy="2031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7464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An alternative CRISPR/Cas9 approach to treating hemoglobinopathies would be to correct the mutated beta globin gene. We have chosen the HbF upregulation strategy as our initial approach given the efficiency and consistency of the gene disruption strategy involved, the ability of this strategy to counteract a wide variety of different beta globin mutations, including patients with beta thalassemia, and the natural history data supporting absence of symptoms in patients with HPFH.</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Lead Hemoglobinopathies Product Candidate—CTX001</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Our lead product candidate, CTX001, uses CRISPR/Cas9 to mimic the high levels of HbF that occur naturally in HPFH patients. To achieve this effect, CTX001 uses CRISPR/Cas9 to disrupt the erythroid specific enhancer of the BCL11A gene. This gene encodes the BCL11A protein, a critical factor that keeps HbF levels low in most individuals. Disrupting the BCL11A erythroid specific enhancer reduces BCL11A expression specifically in erythroid lineage cells, thereby upregulating expression of gamma globin and increasing HbF levels.</w:t>
      </w:r>
    </w:p>
    <w:p>
      <w:pPr>
        <w:spacing w:after="0" w:line="188"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 xml:space="preserve">Our therapeutic approach involves isolating hematopoietic stem cells, or HSCs, which give rise to red blood cells, from a patient, treating those cells </w:t>
      </w:r>
      <w:r>
        <w:rPr>
          <w:rFonts w:ascii="Arial" w:cs="Arial" w:eastAsia="Arial" w:hAnsi="Arial"/>
          <w:sz w:val="16"/>
          <w:szCs w:val="16"/>
          <w:i w:val="1"/>
          <w:iCs w:val="1"/>
          <w:color w:val="auto"/>
        </w:rPr>
        <w:t xml:space="preserve">ex vivo </w:t>
      </w:r>
      <w:r>
        <w:rPr>
          <w:rFonts w:ascii="Arial" w:cs="Arial" w:eastAsia="Arial" w:hAnsi="Arial"/>
          <w:sz w:val="16"/>
          <w:szCs w:val="16"/>
          <w:color w:val="auto"/>
        </w:rPr>
        <w:t>with CRISPR/Cas9 to disrupt the BCL11A erythroid specific enhancer and reintroducing the edited cells back into the patient. We believe that once</w:t>
      </w:r>
      <w:r>
        <w:rPr>
          <w:rFonts w:ascii="Arial" w:cs="Arial" w:eastAsia="Arial" w:hAnsi="Arial"/>
          <w:sz w:val="16"/>
          <w:szCs w:val="16"/>
          <w:i w:val="1"/>
          <w:iCs w:val="1"/>
          <w:color w:val="auto"/>
        </w:rPr>
        <w:t xml:space="preserve"> </w:t>
      </w:r>
      <w:r>
        <w:rPr>
          <w:rFonts w:ascii="Arial" w:cs="Arial" w:eastAsia="Arial" w:hAnsi="Arial"/>
          <w:sz w:val="16"/>
          <w:szCs w:val="16"/>
          <w:color w:val="auto"/>
        </w:rPr>
        <w:t>reintroduced into the patient, these genetically modified stem cells will produce red blood cells that contain high levels of HbF. In beta thalassemia, elevating HbF may reduce the toxicity of unpaired alpha globin chains, thereby increasing red blood cell lifespan. Consequently, CTX001 has the potential to reduce or even eliminate the need for transfusions in these patients. In SCD, elevated HbF may prevent a cell from sickling, and so achieving sufficiently high HbF in most red blood cells could significantly reduce or eliminate the symptoms associated with the disease.</w:t>
      </w:r>
    </w:p>
    <w:p>
      <w:pPr>
        <w:spacing w:after="0" w:line="161" w:lineRule="exact"/>
        <w:rPr>
          <w:sz w:val="20"/>
          <w:szCs w:val="20"/>
          <w:color w:val="auto"/>
        </w:rPr>
      </w:pPr>
    </w:p>
    <w:p>
      <w:pPr>
        <w:ind w:right="140" w:firstLine="509"/>
        <w:spacing w:after="0" w:line="276" w:lineRule="auto"/>
        <w:rPr>
          <w:sz w:val="20"/>
          <w:szCs w:val="20"/>
          <w:color w:val="auto"/>
        </w:rPr>
      </w:pPr>
      <w:r>
        <w:rPr>
          <w:rFonts w:ascii="Arial" w:cs="Arial" w:eastAsia="Arial" w:hAnsi="Arial"/>
          <w:sz w:val="16"/>
          <w:szCs w:val="16"/>
          <w:color w:val="auto"/>
        </w:rPr>
        <w:t>We believe our CRISPR/Cas9 gene-editing strategy may have significant advantages over other gene therapies in development for the treatment of hemoglobinopathies. For example, lentivirus-based treatments involve a random integration of one or more copies of the globin gene throughout the genome. The expression levels of the newly introduced gene can vary depending on the exact location of the DNA in the genome, leading to inconsistent and variable levels of expression. We believe our strategy may lead to more uniform globin expression across a high percentage of cells. In addition, with each random lentiviral integration, a mutation may be created, which may have an associated safety concern, including the potential to cause cancer. In contrast, CRISPR/Cas9 targets a specific genomic site for editing, and to date we have detected no off-target activity for our CTX001 guide RNA.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4" w:name="page15"/>
    <w:bookmarkEnd w:id="14"/>
    <w:p>
      <w:pPr>
        <w:ind w:left="260"/>
        <w:spacing w:after="0"/>
        <w:rPr>
          <w:sz w:val="20"/>
          <w:szCs w:val="20"/>
          <w:color w:val="auto"/>
        </w:rPr>
      </w:pPr>
      <w:r>
        <w:rPr>
          <w:rFonts w:ascii="Arial" w:cs="Arial" w:eastAsia="Arial" w:hAnsi="Arial"/>
          <w:sz w:val="18"/>
          <w:szCs w:val="18"/>
          <w:i w:val="1"/>
          <w:iCs w:val="1"/>
          <w:color w:val="auto"/>
        </w:rPr>
        <w:t>Preclinical studies</w:t>
      </w:r>
    </w:p>
    <w:p>
      <w:pPr>
        <w:spacing w:after="0" w:line="10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 xml:space="preserve">In preclinical studies using CTX001, our CRISPR/Cas9 gene-editing process demonstrated the ability to edit HSCs with approximately 80% allelic editing efficiency at clinical scale in a bulk population of cells. We observed this high editing efficiency across all stem cell subsets, including in long-term repopulating HSCs. After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erythroid differentiation, this editing resulted in HbF accounting for greater than 30% of total hemoglobin in edited cells, compared to approximately 10% HbF in the control arm of the study. On a per cell basis, more than 90% of cells had modifications at the desired location, with 76% of the cells having edits in both copies of the target gene and 16% of the cells having edits made on one copy of the target gene. We estimate that after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erythroid differentiation this editing rate results in HbF expression levels of greater than 35% in cells that have edits on both copies of the target gene, and over 20% for cells edited at one gene.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Editing efficiency in human CD34</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cells and resulting HbF ratio after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erythroid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102235</wp:posOffset>
            </wp:positionV>
            <wp:extent cx="5134610" cy="2014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3461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preclinical mouse models designed to test the safety of CTX001, gene-edited HSCs maintained the ability to engraft long term and to differentiate into multiple lineages. Toxicology studies revealed no significant findings and no difference in the biodistribution of edited cells compared to controls. Finally, no off-target activity was detectable for the CTX001 guide RNA after assessing over 5,000 homology-based sites and over 2,000 homology-independent sites.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 xml:space="preserve">CTX001 engraftment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in mice</w:t>
      </w:r>
      <w:r>
        <w:rPr>
          <w:rFonts w:ascii="Arial" w:cs="Arial" w:eastAsia="Arial" w:hAnsi="Arial"/>
          <w:sz w:val="24"/>
          <w:szCs w:val="2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50800</wp:posOffset>
            </wp:positionV>
            <wp:extent cx="2682875" cy="2220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82875" cy="222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Clinical Trials</w:t>
      </w:r>
    </w:p>
    <w:p>
      <w:pPr>
        <w:spacing w:after="0" w:line="10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and Vertex are investigating CTX001 in two Phase 3 open-label clinical trials designed to assess the safety and efficacy of a single dose of CTX001 in patients ages 12 to 35 with TDT, CLIMB THAL-111, and severe SCD, CLIMB SCD-121, respectively. The first two patients in each clinical trial were treated sequentially and, following data from the initial two patients in each clinical trial indicating successful engraftment and an acceptable safety profile, that clinical trial opened for concurrent dosing. Both clinical trials are designed to follow patients for approximately two years after infusion. Each patient will be asked to participate in a long-term, open-label follow-up trial, CLIMB-131, to evaluate the safety and efficacy of CTX001 in patients who received CTX001 in CLIMB THAL-111 or CLIMB SCD-121. CLIMB-131 is designed to follow participants for up to 15 years after CTX001 infusion.</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These clinical trials are ongoing. More than 70 patients have been dosed with CTX001 across both studies to date and enrollment is complete.</w:t>
      </w:r>
    </w:p>
    <w:p>
      <w:pPr>
        <w:spacing w:after="0" w:line="115"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CTX001 has been granted a number of regulatory designations from the FDA, including RMAT, Fast Track, Orphan Drug, and Rare Pediatric Disease designations for the treatment of both TDT and SCD. CTX001 has also been granted Orphan Drug Designation from the European Commission, as well as PRIME designation from the EMA for the treatment of both TDT and SCD.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Schematic of study procedures for the CLIMB THAL-111 and CLIMB SCD-121 Phase 3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8890</wp:posOffset>
            </wp:positionV>
            <wp:extent cx="5854700" cy="3472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5470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We and Vertex previously published results on the first patient treated in each clinical trial in the New England Journal of Medicine. In the second quarter of 2021 at the European Hematology Association Congress, we presented updated clinical data from the first 15 patients with TDT treated with CTX001 who had reached at least three months of follow-up after CTX001 dosing (range: 4 to 26.2 months) as of the March 30, 2021 data cutoff and therefore could be assessed for initial safety and efficacy results. All 15 patients showed a similar pattern of response, with rapid and sustained increases in total hemoglobin and HbF. These patients all had clinically meaningful improvements in total hemoglobin levels, which ranged from 8.9 to 16.9 g/dL at last visit, driven by increased HbF levels, which ranged from 67.3% to 99.6% at last visit. The elevation of HbF translated into transfusion independence in all patients. All 15 patients ceased receiving packed RBC, or pRBC, transfusions soon after CTX001 infusion, with the last pRBC transfusion occurring between 0.7 and 2.0 months after CTX001 infusion. All patients, including six who have the beta zero/beta zero or other severe genotypes, were transfusion-free at last follow-up. Across the ten patients with at least six months of follow-up, more than 98% of red blood cells, or RBCs, expressed HbF, indicating pancellular distribution of HbF. In addition, the available bone marrow allelic editing data, encompassing ten patients with at least six months of follow-up, of which five patients had at least 12 months of follow-up and one patient had at least 24 months of follow-up, demonstrated a durable effect. Consistent with this bone marrow allelic editing data, all five patients with greater than one year of follow-up as of the data cutoff date demonstrate a stable and durable response to treatment, including the first patient treated with CTX001, who had a total hemoglobin level of 14.7 g/dL and HbF level of 14.1 g/dL at last visit, 24 months after CTX001 dosing.</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6"/>
          <w:szCs w:val="16"/>
          <w:b w:val="1"/>
          <w:bCs w:val="1"/>
          <w:color w:val="auto"/>
        </w:rPr>
        <w:t>Clinically Meaningful HbF and Total Hb Were Achieved Early and Maintained in TDT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151765</wp:posOffset>
            </wp:positionV>
            <wp:extent cx="6172200" cy="3472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Duration of Transfusion Independence After CTX001 Infusion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137160</wp:posOffset>
            </wp:positionV>
            <wp:extent cx="6172200" cy="3472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safety data from all fifteen patients were generally consistent with an autologous stem cell transplant and myeloablative conditioning. The majority of adverse events, or AEs, occurred within the first 60 days after CTX001 infusion. Three patients experienced serious AEs, or SAEs, assessed as related or possibly related to busulfan only: venoocclusive liver disease (two patients), febrile neutropenia (one patient), colitis (one patient) and pneumonia (one patient); all of these resolved. One patient experienced four SAEs assessed by the investigator as related or possibly related to CTX001: headache, haemophagocytic lymphohistiocytosis, or HLH, acute respiratory distress syndrome and idiopathic pneumonia syndrome (the latter also related to busulfan). All SAEs occurred in the context of HLH and have resolved. No SAEs related to CTX001 were reported in the other patients. The majority of non-serious adverse events were considered mild to moderate. In addition to the data described above as of the data cutoff, a TDT patient with less than three months of follow-up, and therefore not included in the data cut, experienced an SAE of cerebellar hemorrhage that was considered related to busulfan conditioning and has resolved.</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CLIMB-121 Trial in Severe SCD</w:t>
      </w:r>
    </w:p>
    <w:p>
      <w:pPr>
        <w:spacing w:after="0" w:line="212" w:lineRule="exact"/>
        <w:rPr>
          <w:sz w:val="20"/>
          <w:szCs w:val="20"/>
          <w:color w:val="auto"/>
        </w:rPr>
      </w:pPr>
    </w:p>
    <w:p>
      <w:pPr>
        <w:ind w:right="120" w:firstLine="509"/>
        <w:spacing w:after="0" w:line="270" w:lineRule="auto"/>
        <w:rPr>
          <w:sz w:val="20"/>
          <w:szCs w:val="20"/>
          <w:color w:val="auto"/>
        </w:rPr>
      </w:pPr>
      <w:r>
        <w:rPr>
          <w:rFonts w:ascii="Arial" w:cs="Arial" w:eastAsia="Arial" w:hAnsi="Arial"/>
          <w:sz w:val="16"/>
          <w:szCs w:val="16"/>
          <w:color w:val="auto"/>
        </w:rPr>
        <w:t>In the second quarter of 2021, at the European Hematology Association Congress, we presented updated clinical data from the first seven patients with SCD treated with CTX001 who had reached at least three months of follow-up after CTX001 dosing (range: 4.9 to 22.4 months) as of the March 30, 2021 data cutoff and therefore could be assessed for initial safety and efficacy results. All seven patients showed a similar pattern of response, with rapid and sustained increases in total hemoglobin and HbF, as well as elimination of vaso-occlusive crises, or VOCs, through last analysis. All seven patients remained VOC-free after CTX001 infusion and had clinically meaningful improvements in total hemoglobin with normal to near normal total hemoglobin levels at last visit, including total hemoglobin levels from 11 to 15.9 g/dL and HbF levels from 39.6% to 49.6% at last visit. Improvements in markers of hemolysis, such as serum lactate dehydrogenase and haptoglobin, were observed, and all four patients with haptoglobin data at six months had detectable haptoglobin by their six-month visit. In addition, bone marrow allelic editing data collected from four patients with at least six months of follow-up, of which two had 12 months of follow-up after CTX001 infusion, demonstrated a durable effect. As of the data cutoff date, two patients with SCD have had follow-up of greater than one year, and both demonstrate a stable and durable response to treatment.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6"/>
          <w:szCs w:val="16"/>
          <w:b w:val="1"/>
          <w:bCs w:val="1"/>
          <w:color w:val="auto"/>
        </w:rPr>
        <w:t>Clinically Meaningful HbF and Total Hb Were Achieved Early and Maintained in SCD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151765</wp:posOffset>
            </wp:positionV>
            <wp:extent cx="6172200" cy="3471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type w:val="continuous"/>
        </w:sectPr>
      </w:pPr>
    </w:p>
    <w:bookmarkStart w:id="20" w:name="page21"/>
    <w:bookmarkEnd w:id="20"/>
    <w:p>
      <w:pPr>
        <w:jc w:val="center"/>
        <w:ind w:right="-79"/>
        <w:spacing w:after="0"/>
        <w:rPr>
          <w:sz w:val="20"/>
          <w:szCs w:val="20"/>
          <w:color w:val="auto"/>
        </w:rPr>
      </w:pPr>
      <w:r>
        <w:rPr>
          <w:rFonts w:ascii="Arial" w:cs="Arial" w:eastAsia="Arial" w:hAnsi="Arial"/>
          <w:sz w:val="18"/>
          <w:szCs w:val="18"/>
          <w:b w:val="1"/>
          <w:bCs w:val="1"/>
          <w:color w:val="auto"/>
        </w:rPr>
        <w:t>Duration of Freedom from VOCs after CTX001 Infusion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137160</wp:posOffset>
            </wp:positionV>
            <wp:extent cx="6172200" cy="3471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120" w:firstLine="509"/>
        <w:spacing w:after="0" w:line="294" w:lineRule="auto"/>
        <w:rPr>
          <w:sz w:val="20"/>
          <w:szCs w:val="20"/>
          <w:color w:val="auto"/>
        </w:rPr>
      </w:pPr>
      <w:r>
        <w:rPr>
          <w:rFonts w:ascii="Arial" w:cs="Arial" w:eastAsia="Arial" w:hAnsi="Arial"/>
          <w:sz w:val="16"/>
          <w:szCs w:val="16"/>
          <w:color w:val="auto"/>
        </w:rPr>
        <w:t>The safety data from seven patients were generally consistent with an autologous stem cell transplant and myeloablative conditioning. There were no SAEs considered related to CTX001, and the majority of non-serious adverse events were considered mild to moderate. The majority of AEs occurred within the first sixty days of CTX001 infusion. After CTX001 infusion, one patient experienced an SAE of sepsis related to busulfan, which resolved.</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Immuno-Oncology Programs</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Over the past several years, interest in the oncology community has grown rapidly in the field of immuno-oncology, or treatments that harness the immune system to attack cancer cells. Engineered immune cell therapy is one such approach, in which immune system cells such as T cells are genetically modified to enable them to recognize and attack cancerous cells.</w:t>
      </w:r>
    </w:p>
    <w:p>
      <w:pPr>
        <w:spacing w:after="0" w:line="18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Engineered cell therapy has demonstrated encouraging results leading to three approvals for autologous CD19-targeted CAR-T products, and may become an entirely new class of oncology therapeutics; however, realizing this full potential will require overcoming some key challenges. Most engineered cell therapies in development require unique products to be created for each patient treated, an approach that has in the past proven challenging and cost prohibitive in the field of oncology. This bespoke manufacturing process takes time during which a patient’s disease can progress and sometimes fails to produce a viable product at all. Additionally, these versions of engineered cell therapies appear limited in their ability to treat solid tumors and have demonstrated a high rate of toxicities that require complicated management protocols. In contrast, allogeneic engineered T-cell therapies can be administered “off-the-shelf” and thus could have immediate availability, improved access, simpler logistics, greater consistency since each batch yields many doses, and flexible dosing, whether through dose titration or re-dosing.</w:t>
      </w:r>
    </w:p>
    <w:p>
      <w:pPr>
        <w:spacing w:after="0" w:line="18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expect that the cellular engineering strategies that are ultimately successful in immuno-oncology will involve multiple genetic modifications, an application for which we believe CRISPR/Cas9 will play a central role. While other gene-editing platforms could potentially be used for these purposes, CRISPR/Cas9 is particularly well-suited for multiplexed editing, which is the modification and/or insertion of multiple genes within a single cell. Current gene-editing techniques that require different protein enzymes for each genetic modification may be limited in the number of edits they can make concurrently due to efficiency, cytotoxicity and/or manufacturing challenges. In contrast, CRISPR/Cas9 has the potential to efficiently make multiple edits using a single Cas9 protein and multiple small guide RNA molecules.</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48" w:right="399" w:bottom="1440" w:gutter="0" w:footer="0" w:header="0"/>
        </w:sectPr>
      </w:pPr>
    </w:p>
    <w:bookmarkStart w:id="21" w:name="page22"/>
    <w:bookmarkEnd w:id="21"/>
    <w:p>
      <w:pPr>
        <w:ind w:right="180" w:firstLine="509"/>
        <w:spacing w:after="0" w:line="257" w:lineRule="auto"/>
        <w:rPr>
          <w:sz w:val="20"/>
          <w:szCs w:val="20"/>
          <w:color w:val="auto"/>
        </w:rPr>
      </w:pPr>
      <w:r>
        <w:rPr>
          <w:rFonts w:ascii="Arial" w:cs="Arial" w:eastAsia="Arial" w:hAnsi="Arial"/>
          <w:sz w:val="17"/>
          <w:szCs w:val="17"/>
          <w:color w:val="auto"/>
        </w:rPr>
        <w:t>In our immuno-oncology cell therapies, we are using the multiplexing ability of CRISPR/Cas9 both to enable allogeneic administration and to introduce additional genetic edits that aim to improve the efficacy or safety profile of these product candidates. Furthermore, we are leveraging our CRISPR platform to enable a process of continuous innovation in which we incorporate incremental edits into next-generation products to try to increase treatment benefit further. We continue to expand our multiplexing capabilities to help us realize the full potential of engineered cell therapy in immuno-oncology across all tumor types, including solid tumors. Given the important role we believe CRISPR/Cas9 will play in engineered cell therapy going forward we have thus far elected to retain full ownership of our allogeneic CAR-T cell programs.</w:t>
      </w:r>
    </w:p>
    <w:p>
      <w:pPr>
        <w:spacing w:after="0" w:line="175"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In addition, multiple groups have begun to demonstrate the utility of other immune cells, such as natural killer, or NK, cells, in immuno-oncology therapy. To expand our efforts in gene-edited immune cell therapy beyond T cells, we formed a collaboration with Nkarta that brings together our gene editing technology and cell therapy expertise with Nkarta’s leading NK cell discovery, development and manufacturing capabilities. We and Nkarta are co-developing and co-commercializing two donor-derived, gene-edited CAR-NK cell product candidates, one of which targets CD70. Additionally, we are co-developing and co-commercializing a product candidate combining NK and T cells to harness the unique advantages of both cell types.</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Lead Immuno-Oncology Product Candidate—CTX110</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 xml:space="preserve">Our lead immuno-oncology product candidate, CTX110, is a healthy donor-derived gene-edited allogeneic CAR-T investigational therapy targeting CD19-positive malignancies, such as certain lymphomas and leukemias. A primary aim of CTX110 is to overcome the inefficiency and cost of creating a unique product for each patient with a given tumor type by treating many different patients from a single batch, which we refer to as being an “off-the-shelf” therapy. To generate CTX110, we make three modifications to T cells taken from healthy donors using our gene-editing technology: (i) the T-cell receptor, or TCR, is eliminated to reduce the risk of Graft versus Host Disease, or GvHD, from the product candidate, (ii) a CD19-directed CAR is inserted site-specifically into the </w:t>
      </w:r>
      <w:r>
        <w:rPr>
          <w:rFonts w:ascii="Arial" w:cs="Arial" w:eastAsia="Arial" w:hAnsi="Arial"/>
          <w:sz w:val="16"/>
          <w:szCs w:val="16"/>
          <w:i w:val="1"/>
          <w:iCs w:val="1"/>
          <w:color w:val="auto"/>
        </w:rPr>
        <w:t>TRAC</w:t>
      </w:r>
      <w:r>
        <w:rPr>
          <w:rFonts w:ascii="Arial" w:cs="Arial" w:eastAsia="Arial" w:hAnsi="Arial"/>
          <w:sz w:val="16"/>
          <w:szCs w:val="16"/>
          <w:color w:val="auto"/>
        </w:rPr>
        <w:t xml:space="preserve"> gene and (iii) the class I major histocompatibility complex, MHC I, is removed from the cell surface in order to improve the persistence of the CAR-T cells in an “off-the-shelf” setting. We believe this approach will have advantages over other allogeneic CAR-T products in development that semi-randomly insert the CAR using an integrating virus and do not include the MHC I knockout to increase persistence.</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Preclinical studies</w:t>
      </w:r>
    </w:p>
    <w:p>
      <w:pPr>
        <w:spacing w:after="0" w:line="212"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As shown in the figure below, we have demonstrated the ability to perform the edits necessary to generate CTX110 at high efficiency, and that in preclinical testing CTX110 prolonged the survival of mice with a CD19-positive xenograft tumor model that is comparable to what is seen with the current generation CAR-T products.</w:t>
      </w:r>
    </w:p>
    <w:p>
      <w:pPr>
        <w:spacing w:after="0" w:line="28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Efficient production of CTX110 via multiplexed editing and prolonged survival of CTX110-treated mice in a disseminated Nalm6 xenograft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183515</wp:posOffset>
            </wp:positionV>
            <wp:extent cx="6172200" cy="2245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220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i w:val="1"/>
          <w:iCs w:val="1"/>
          <w:color w:val="auto"/>
        </w:rPr>
        <w:t>Clinical Trials</w:t>
      </w:r>
    </w:p>
    <w:p>
      <w:pPr>
        <w:spacing w:after="0" w:line="198"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We are currently investigating CTX110 in a Phase 1 single-arm, multi-center, open-label clinical trial, CARBON, that is designed to assess the safety and efficacy of several dose levels of CTX110 in adult patients with relapsed or refractory B-cell malignancies who have received at least two prior lines of therapy. The CARBON clinical trial is ongoing, and we have expanded it into a pivotal trial that incorporates consolidation dosing and have begun dosing patients in this pivotal arm. CTX110 has been granted RMAT designation by the FDA.</w:t>
      </w:r>
    </w:p>
    <w:p>
      <w:pPr>
        <w:spacing w:after="0" w:line="276"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CARBON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300355</wp:posOffset>
            </wp:positionV>
            <wp:extent cx="6172200" cy="3471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509"/>
        <w:spacing w:after="0" w:line="234" w:lineRule="auto"/>
        <w:rPr>
          <w:sz w:val="20"/>
          <w:szCs w:val="20"/>
          <w:color w:val="auto"/>
        </w:rPr>
      </w:pPr>
      <w:r>
        <w:rPr>
          <w:rFonts w:ascii="Arial" w:cs="Arial" w:eastAsia="Arial" w:hAnsi="Arial"/>
          <w:sz w:val="17"/>
          <w:szCs w:val="17"/>
          <w:color w:val="auto"/>
        </w:rPr>
        <w:t>In October 2021, we shared updated clinical data from our CARBON trial. As of the August 26, 2021 data cutoff, 30 patients with large B-cell lymphoma, or LBCL, had been enrolled, of which 26 patients had received CTX110 with at least 28 days of follow-up and were included in the analysis. All 26 patients had aggressive LBCL, including diffuse large B-cell lymphoma, or DLBCL, not otherwise specified (NOS), high grade lymphoma (e.g., triple hit) and transformed follicular lymphoma, or tFL. The majority of patients had Stage IV lymphoma and were refractory to their last line of therapy before entering the trial. Approximately 31% of patients had progressed through two or more lines of therapy and received CTX110 within nine months of their first lymphoma treatment, indicative of rapidly progressive disease. Patients were infused with a single CTX110 infusion following three days of a standard lymphodepletion regimen consisting of fludarabine (30 mg/m</w:t>
      </w:r>
      <w:r>
        <w:rPr>
          <w:rFonts w:ascii="Arial" w:cs="Arial" w:eastAsia="Arial" w:hAnsi="Arial"/>
          <w:sz w:val="23"/>
          <w:szCs w:val="23"/>
          <w:color w:val="auto"/>
          <w:vertAlign w:val="superscript"/>
        </w:rPr>
        <w:t>2</w:t>
      </w:r>
      <w:r>
        <w:rPr>
          <w:rFonts w:ascii="Arial" w:cs="Arial" w:eastAsia="Arial" w:hAnsi="Arial"/>
          <w:sz w:val="17"/>
          <w:szCs w:val="17"/>
          <w:color w:val="auto"/>
        </w:rPr>
        <w:t>/day) and cyclophosphamide (500 mg/m</w:t>
      </w:r>
      <w:r>
        <w:rPr>
          <w:rFonts w:ascii="Arial" w:cs="Arial" w:eastAsia="Arial" w:hAnsi="Arial"/>
          <w:sz w:val="23"/>
          <w:szCs w:val="23"/>
          <w:color w:val="auto"/>
          <w:vertAlign w:val="superscript"/>
        </w:rPr>
        <w:t>2</w:t>
      </w:r>
      <w:r>
        <w:rPr>
          <w:rFonts w:ascii="Arial" w:cs="Arial" w:eastAsia="Arial" w:hAnsi="Arial"/>
          <w:sz w:val="17"/>
          <w:szCs w:val="17"/>
          <w:color w:val="auto"/>
        </w:rPr>
        <w:t>/day). Dose escalation began at 30 million CAR-positive T cells (Dose Level 1; DL1) and escalated to the highest dose of 600 million CAR-positive T cells (Dose Level 4; DL4). Patients could be re-dosed with CTX110 following disease progression.</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7"/>
          <w:szCs w:val="17"/>
          <w:b w:val="1"/>
          <w:bCs w:val="1"/>
          <w:color w:val="auto"/>
        </w:rPr>
        <w:t>CARBON Patient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144780</wp:posOffset>
            </wp:positionV>
            <wp:extent cx="6172200" cy="3471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type w:val="continuous"/>
        </w:sectPr>
      </w:pPr>
    </w:p>
    <w:bookmarkStart w:id="24" w:name="page25"/>
    <w:bookmarkEnd w:id="24"/>
    <w:p>
      <w:pPr>
        <w:jc w:val="center"/>
        <w:ind w:right="-119"/>
        <w:spacing w:after="0"/>
        <w:rPr>
          <w:sz w:val="20"/>
          <w:szCs w:val="20"/>
          <w:color w:val="auto"/>
        </w:rPr>
      </w:pPr>
      <w:r>
        <w:rPr>
          <w:rFonts w:ascii="Arial" w:cs="Arial" w:eastAsia="Arial" w:hAnsi="Arial"/>
          <w:sz w:val="18"/>
          <w:szCs w:val="18"/>
          <w:b w:val="1"/>
          <w:bCs w:val="1"/>
          <w:color w:val="auto"/>
        </w:rPr>
        <w:t>CARBON Patient Baseline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8890</wp:posOffset>
            </wp:positionV>
            <wp:extent cx="6172200" cy="3471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Data are shown below for the 26 patients that received CTX110 and had at least 28 days of follow-up. The overall response rate, or ORR, and complete response, or CR, rate for patients treated at Dose Level 2, or DL2, and above are shown both on an intent-to-treat, or ITT, and modified ITT, or mITT, basis. ITT includes all enrolled patients (n=24 at DL2 and above) whereas mITT includes only those patients who received an infusion of CTX110 (n=23 at DL2 and above). Historically, autologous CAR-T studies have reported primary efficacy results using an mITT approach. This methodology excluded up to one-third of enrolled patients in some trials—primarily those who experienced rapid disease progression or death during the manufacturing period, or for whom autologous CAR-T cell manufacturing was unsuccessful— from the efficacy analysis. In contrast, because CTX110 is “off the shelf” and does not require patient-specific manufacturing, nearly all patients enrolled in CARBON could receive CTX110 infusion.</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8" w:right="439" w:bottom="1440" w:gutter="0" w:footer="0" w:header="0"/>
        </w:sectPr>
      </w:pPr>
    </w:p>
    <w:bookmarkStart w:id="25" w:name="page26"/>
    <w:bookmarkEnd w:id="25"/>
    <w:p>
      <w:pPr>
        <w:ind w:left="2780"/>
        <w:spacing w:after="0"/>
        <w:rPr>
          <w:sz w:val="20"/>
          <w:szCs w:val="20"/>
          <w:color w:val="auto"/>
        </w:rPr>
      </w:pPr>
      <w:r>
        <w:rPr>
          <w:rFonts w:ascii="Arial" w:cs="Arial" w:eastAsia="Arial" w:hAnsi="Arial"/>
          <w:sz w:val="16"/>
          <w:szCs w:val="16"/>
          <w:b w:val="1"/>
          <w:bCs w:val="1"/>
          <w:color w:val="auto"/>
        </w:rPr>
        <w:t>Dose-Dependent Responses Observed with CTX110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160655</wp:posOffset>
            </wp:positionV>
            <wp:extent cx="6172200" cy="3472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2200" cy="347218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t>Durable Responses Observed with CTX110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266065</wp:posOffset>
            </wp:positionV>
            <wp:extent cx="6172200" cy="3471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Dose-dependent responses and durable complete responses were seen with CTX110. A single dose of CTX110 at DL2 and above resulted in a 58% ORR and 38% CR rate on an ITT basis. Responses were seen in a variety of patients, including patients who had refractory disease, bulky disease, or who had progressed after prior autologous stem cell transplant. Disease assessment was performed by investigator review according to the 2014 Lugano response criteria. The data also demonstrate the potential for CTX110 to produce durable remissions, as evidenced by a 21% six-month CR rate (4 of the 9 patients who achieved CR at Day 28, remained in CR at 6 months; 5 additional patients had not reached their 6-month evaluation point).</w:t>
      </w:r>
    </w:p>
    <w:p>
      <w:pPr>
        <w:spacing w:after="0" w:line="14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Furthermore, we believe consolidation dosing can improve on an already competitive profile for CTX110, based on the pharmacokinetic, or PK, profile and clear dose response observed. The PK profile for CTX110 showed significant and consistent expansion, with peak expansion in the blood typically occurring 8 to 10 days following infusion. In most patients, levels of CTX110 in the blood decreased over the following two to three weeks and approached the limit of detection near Day 28. CTX110 exhibited a similar expansion profile when re-administered, with no evidence that anti-HLA or antidrug antibodies accelerated the clearance of CAR-T cells. These data indicate that a standard dose of lymphodepleting chemotherapy creates a window for CTX110 activity, and support consolidation dosing at one month. In addition, CTX110 had a clear dose response, which we believe is driven by the effector to target, or E:T, ratio. As seen in the below plot showing a correlation between clinical response and E:T ratio, an apparent threshold existed (shown by the dotted line) that, if exceeded, resulted in 64% (7/11) of patients achieving complete response. Below this threshold, only 17% (2/12) achieved complete response. The likelihood of complete response rose significantly when CTX110 was administered when tumor volume was low. These data support a consolidation dosing strategy, where a second dose of CTX110 is administered at one month, when tumor volume is lower. We believe this strategy has the potential to lead to a higher rate of durable complete responses by eliminating any residual tumor in patients who did not achieve complete elimination from a single dose.</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CTX110 Showed a Dose Response, with Better Responses Achieved with Higher “Effector:Target”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151765</wp:posOffset>
            </wp:positionV>
            <wp:extent cx="6172200" cy="3471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type w:val="continuous"/>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color w:val="auto"/>
        </w:rPr>
        <w:t>CTX110 Was Well Tolerated Across All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300355</wp:posOffset>
            </wp:positionV>
            <wp:extent cx="5888990" cy="3317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88990" cy="3317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CTX110 was well tolerated across all dose levels. The adverse events of interest for all evaluable patients are shown in the table above. There were no cases of Graft versus Host Disease, or GvHD. No infusion reactions to either lymphodepleting chemotherapy or CTX110 were observed. All cases of cytokine release syndrome, or CRS, were Grade 1 or 2 per the American Society for Transplantation and Cellular Therapy (ASTCT) criteria and either required no specific intervention or resolved following standard CRS management. Neither the frequency nor severity of CRS has increased in patients who were re-dosed with CTX110. The only case of Grade 3 or higher immune effector cell-associated neurotoxicity syndrome, or ICANS, was in a patient with concurrent HHV-6 encephalitis. This patient was treated with CTX110 at DL4 and achieved a complete response by PET/CT assessment at Day 25. The following day, the patient was hospitalized with febrile neutropenia and developed symptoms of short-term memory loss and confusion, which eventually progressed to significant obtundation that required intubation. He was initially treated for ICANS with steroids, anakinra and intrathecal chemotherapy without improvement. The patient was later found to have reactivation of HHV-6 and HHV-6 encephalitis and treated with antiviral therapy. The decision was made to withdraw supportive care and the patient died 52 days after CTX110 infusion. There have been no cases of ICANS in any other patients treated at Dose Level 3 through DL4. One patient (4%) treated at DL2 had Grade 2 ICANS that improved within 24 hours with standard interventions. Only two patients (9%) experienced Grade 3 or higher infections: the patient with HHV-6 encephalitis discussed above, and one patient who developed pseudomonal sepsis that resolved in four days. Two additional serious adverse events (periorbital cellulitis and febrile neutropenia) occurred after CTX110 infusion, both of which resolved and were determined to be unrelated to disease progression or CTX110.</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CTX120</w:t>
      </w:r>
    </w:p>
    <w:p>
      <w:pPr>
        <w:spacing w:after="0" w:line="104" w:lineRule="exact"/>
        <w:rPr>
          <w:sz w:val="20"/>
          <w:szCs w:val="20"/>
          <w:color w:val="auto"/>
        </w:rPr>
      </w:pPr>
    </w:p>
    <w:p>
      <w:pPr>
        <w:ind w:right="300" w:firstLine="509"/>
        <w:spacing w:after="0" w:line="279" w:lineRule="auto"/>
        <w:rPr>
          <w:sz w:val="20"/>
          <w:szCs w:val="20"/>
          <w:color w:val="auto"/>
        </w:rPr>
      </w:pPr>
      <w:r>
        <w:rPr>
          <w:rFonts w:ascii="Arial" w:cs="Arial" w:eastAsia="Arial" w:hAnsi="Arial"/>
          <w:sz w:val="16"/>
          <w:szCs w:val="16"/>
          <w:color w:val="auto"/>
        </w:rPr>
        <w:t>Our second immuno-oncology candidate, CTX120, is a healthy donor-derived gene-edited allogeneic CAR-T investigational therapy targeting BCMA and is in development for the treatment of relapsed or refractory multiple myeloma. BCMA has attractive properties for CAR-T cell therapy, namely expression on the surface of B-lineage cells, especially the plasma cells involved in multiple myeloma, and absence from other tissues and cell types. As a result, BCMA has become a promising target for autologous CAR-T cell therapy. We believe an allogeneic approach may have distinct advantages over autologous CAR-T in multiple myeloma given the poor health of patient T cells following many lines of prior therapy.</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i w:val="1"/>
          <w:iCs w:val="1"/>
          <w:color w:val="auto"/>
        </w:rPr>
        <w:t>Preclinical Studies</w:t>
      </w:r>
    </w:p>
    <w:p>
      <w:pPr>
        <w:spacing w:after="0" w:line="212"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To generate CTX120, we make the same three modifications to healthy-donor T cells as we do for CTX110 but insert a BCMA-specific CAR. CTX120 leverages many of the capabilities and reagents developed for CTX110, accelerating its path into development. As depicted in the figure below, in preclinical studies of CTX120, we observed complete elimination of a xenograft multiple myeloma tumor model in all mice treated with CTX120.</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Elimination of a subcutaneous RPMI-8226 multiple myeloma model by CTX120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160655</wp:posOffset>
            </wp:positionV>
            <wp:extent cx="2957195" cy="1706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57195" cy="17062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1" w:name="page32"/>
    <w:bookmarkEnd w:id="31"/>
    <w:p>
      <w:pPr>
        <w:ind w:left="260"/>
        <w:spacing w:after="0"/>
        <w:rPr>
          <w:sz w:val="20"/>
          <w:szCs w:val="20"/>
          <w:color w:val="auto"/>
        </w:rPr>
      </w:pPr>
      <w:r>
        <w:rPr>
          <w:rFonts w:ascii="Arial" w:cs="Arial" w:eastAsia="Arial" w:hAnsi="Arial"/>
          <w:sz w:val="18"/>
          <w:szCs w:val="18"/>
          <w:i w:val="1"/>
          <w:iCs w:val="1"/>
          <w:color w:val="auto"/>
        </w:rPr>
        <w:t>Clinical Trials</w:t>
      </w:r>
    </w:p>
    <w:p>
      <w:pPr>
        <w:spacing w:after="0" w:line="212"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We are currently investigating CTX120 in a Phase 1 single-arm, multi-center, open-label clinical trial that is designed to assess the safety and efficacy of several dose levels of CTX120 for the treatment of relapsed or refractory multiple myeloma. CTX120 for the treatment of multiple myeloma has received Orphan Drug Designation from the FDA.</w:t>
      </w:r>
    </w:p>
    <w:p>
      <w:pPr>
        <w:spacing w:after="0" w:line="200" w:lineRule="exact"/>
        <w:rPr>
          <w:sz w:val="20"/>
          <w:szCs w:val="20"/>
          <w:color w:val="auto"/>
        </w:rPr>
      </w:pPr>
    </w:p>
    <w:p>
      <w:pPr>
        <w:spacing w:after="0" w:line="3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CTX130</w:t>
      </w:r>
    </w:p>
    <w:p>
      <w:pPr>
        <w:spacing w:after="0" w:line="90" w:lineRule="exact"/>
        <w:rPr>
          <w:sz w:val="20"/>
          <w:szCs w:val="20"/>
          <w:color w:val="auto"/>
        </w:rPr>
      </w:pPr>
    </w:p>
    <w:p>
      <w:pPr>
        <w:ind w:right="120" w:firstLine="509"/>
        <w:spacing w:after="0" w:line="227" w:lineRule="auto"/>
        <w:rPr>
          <w:sz w:val="20"/>
          <w:szCs w:val="20"/>
          <w:color w:val="auto"/>
        </w:rPr>
      </w:pPr>
      <w:r>
        <w:rPr>
          <w:rFonts w:ascii="Arial" w:cs="Arial" w:eastAsia="Arial" w:hAnsi="Arial"/>
          <w:sz w:val="18"/>
          <w:szCs w:val="18"/>
          <w:color w:val="auto"/>
        </w:rPr>
        <w:t>Our third immuno-oncology candidate, CTX130, is a healthy donor-derived gene-edited allogeneic CAR-T investigational therapy targeting CD70, an antigen expressed on various solid tumors and hematologic malignancies. CTX130 is in development for the treatment of both solid tumors, such as renal cell carcinoma, and T-cell and B-cell hematologic malignancies. Several cancers express CD70, including non-Hodgkin’s lymphoma, certain T-cell lymphomas, renal cell carcinoma, glioblastoma and pancreatic, lung and ovarian cancers, while normal tissues do not express or show extremely limited expression of CD70. This target enables us to transition from hematological cancers, such as non-Hodgkin’s lymphoma, to solid tumor cancers, such as renal cell carcinoma.</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Preclinical Studies</w:t>
      </w:r>
    </w:p>
    <w:p>
      <w:pPr>
        <w:spacing w:after="0" w:line="21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To generate CTX130, we include the same three modifications used in CTX110 and CTX120, plus knockout of the CD70 gene in the T cells to increase CAR-T cell function. As shown in the figure below, in preclinical studies, CTX130 eliminated or severely reduced growth of a xenograft model of renal cell carcinoma in all mice treated, both initially and upon re-challenge. In addition, CTX130 showed improved function over CAR-T cells where the CD70 gene remains intact.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edit improved the performance of CTX130 against a subcutaneous A498 renal cell carcinoma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163195</wp:posOffset>
            </wp:positionV>
            <wp:extent cx="1971675" cy="25114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7167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Clinical Trials</w:t>
      </w:r>
    </w:p>
    <w:p>
      <w:pPr>
        <w:spacing w:after="0" w:line="333" w:lineRule="exact"/>
        <w:rPr>
          <w:sz w:val="20"/>
          <w:szCs w:val="20"/>
          <w:color w:val="auto"/>
        </w:rPr>
      </w:pPr>
    </w:p>
    <w:p>
      <w:pPr>
        <w:ind w:right="120" w:firstLine="509"/>
        <w:spacing w:after="0" w:line="253" w:lineRule="auto"/>
        <w:rPr>
          <w:sz w:val="20"/>
          <w:szCs w:val="20"/>
          <w:color w:val="auto"/>
        </w:rPr>
      </w:pPr>
      <w:r>
        <w:rPr>
          <w:rFonts w:ascii="Arial" w:cs="Arial" w:eastAsia="Arial" w:hAnsi="Arial"/>
          <w:sz w:val="17"/>
          <w:szCs w:val="17"/>
          <w:color w:val="auto"/>
        </w:rPr>
        <w:t>We are currently investigating CTX130 in two ongoing independent Phase 1, single-arm, multi-center, open-label clinical trials that are designed to assess the safety and efficacy of several dose levels of CTX130 for the treatment of relapsed or refractory renal cell carcinoma and various types of lymphoma, respectively. CTX130 for the treatment of T-cell lymphoma has received Orphan Drug Designation from the FDA.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2" w:name="page33"/>
    <w:bookmarkEnd w:id="32"/>
    <w:p>
      <w:pPr>
        <w:ind w:left="260"/>
        <w:spacing w:after="0"/>
        <w:rPr>
          <w:sz w:val="20"/>
          <w:szCs w:val="20"/>
          <w:color w:val="auto"/>
        </w:rPr>
      </w:pPr>
      <w:r>
        <w:rPr>
          <w:rFonts w:ascii="Arial" w:cs="Arial" w:eastAsia="Arial" w:hAnsi="Arial"/>
          <w:sz w:val="18"/>
          <w:szCs w:val="18"/>
          <w:b w:val="1"/>
          <w:bCs w:val="1"/>
          <w:i w:val="1"/>
          <w:iCs w:val="1"/>
          <w:color w:val="auto"/>
        </w:rPr>
        <w:t>Regenerative Medicine Programs</w:t>
      </w:r>
    </w:p>
    <w:p>
      <w:pPr>
        <w:spacing w:after="0" w:line="21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Regenerative medicine, or the use of stem cells to repair or replace tissue or organ function lost due to disease, damage or age, holds potential to treat both rare and common diseases. The field is approaching the point where clinical proofs of concept have begun to emerge. Most of these efforts use unmodified stem cells, and the potential to genetically engineer these cells via gene editing is large. We are pursuing gene-editing approaches to allow allogeneic use of stem cell-derived therapies by enabling immune evasion, improving existing cell function and directing cell fate using CRISPR/Cas9. Our first major effort in this area is in diabetes together with our partner, ViaCyte.</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ViaCyte Collaboration in Diabetes</w:t>
      </w:r>
    </w:p>
    <w:p>
      <w:pPr>
        <w:spacing w:after="0" w:line="198" w:lineRule="exact"/>
        <w:rPr>
          <w:sz w:val="20"/>
          <w:szCs w:val="20"/>
          <w:color w:val="auto"/>
        </w:rPr>
      </w:pPr>
    </w:p>
    <w:p>
      <w:pPr>
        <w:ind w:right="40" w:firstLine="509"/>
        <w:spacing w:after="0" w:line="225" w:lineRule="auto"/>
        <w:rPr>
          <w:sz w:val="20"/>
          <w:szCs w:val="20"/>
          <w:color w:val="auto"/>
        </w:rPr>
      </w:pPr>
      <w:r>
        <w:rPr>
          <w:rFonts w:ascii="Arial" w:cs="Arial" w:eastAsia="Arial" w:hAnsi="Arial"/>
          <w:sz w:val="18"/>
          <w:szCs w:val="18"/>
          <w:color w:val="auto"/>
        </w:rPr>
        <w:t>Clinical data with islet transplants indicate that beta-cell replacement approaches may offer benefit to patients with insulin-requiring diabetes. ViaCyte has pioneered the approach of generating pancreatic-lineage cells from stem cells and delivering them safely and efficiently to patients. PEC-Direct, ViaCyte’s lead product candidate currently being evaluated in the clinic, uses a non-immunoprotective delivery device that permits direct vascularization of the cell therapy. This approach has the potential to deliver durable benefit; ViaCyte has published promising proof-of-concept data that its stem cell-derived therapy can produce insulin in people with T1D. However, because a patient’s immune system will identify these cells as foreign, PEC-Direct will require long-term immunosuppression to avoid rejection. As a result, PEC-Direct is being developed as a therapy for the subset of patients with T1D at high risk for complications.</w:t>
      </w:r>
    </w:p>
    <w:p>
      <w:pPr>
        <w:spacing w:after="0" w:line="181" w:lineRule="exact"/>
        <w:rPr>
          <w:sz w:val="20"/>
          <w:szCs w:val="20"/>
          <w:color w:val="auto"/>
        </w:rPr>
      </w:pPr>
    </w:p>
    <w:p>
      <w:pPr>
        <w:ind w:right="180" w:firstLine="509"/>
        <w:spacing w:after="0" w:line="266" w:lineRule="auto"/>
        <w:rPr>
          <w:sz w:val="20"/>
          <w:szCs w:val="20"/>
          <w:color w:val="auto"/>
        </w:rPr>
      </w:pPr>
      <w:r>
        <w:rPr>
          <w:rFonts w:ascii="Arial" w:cs="Arial" w:eastAsia="Arial" w:hAnsi="Arial"/>
          <w:sz w:val="16"/>
          <w:szCs w:val="16"/>
          <w:color w:val="auto"/>
        </w:rPr>
        <w:t xml:space="preserve">Our gene-editing technology offers the potential to protect the transplanted cells from the patient’s immune system by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editing of immuno-modulatory genes within the stem cell line used to produce the pancreatic-lineage cells. We believe that the speed, specificity and multiplexing efficiency of CRISPR/Cas9 make our technology well suited to this task. In addition, our CRISPR platform enables a process of continuous innovation, with incremental edits incorporated into next-generation product candidates with the aim of increasing treatment benefit further.</w:t>
      </w:r>
    </w:p>
    <w:p>
      <w:pPr>
        <w:spacing w:after="0" w:line="156" w:lineRule="exact"/>
        <w:rPr>
          <w:sz w:val="20"/>
          <w:szCs w:val="20"/>
          <w:color w:val="auto"/>
        </w:rPr>
      </w:pPr>
    </w:p>
    <w:p>
      <w:pPr>
        <w:ind w:right="180" w:firstLine="509"/>
        <w:spacing w:after="0" w:line="246" w:lineRule="auto"/>
        <w:rPr>
          <w:sz w:val="20"/>
          <w:szCs w:val="20"/>
          <w:color w:val="auto"/>
        </w:rPr>
      </w:pPr>
      <w:r>
        <w:rPr>
          <w:rFonts w:ascii="Arial" w:cs="Arial" w:eastAsia="Arial" w:hAnsi="Arial"/>
          <w:sz w:val="17"/>
          <w:szCs w:val="17"/>
          <w:color w:val="auto"/>
        </w:rPr>
        <w:t>Together with our partner ViaCyte, we are advancing our first joint program, VCTX210, an investigational, allogeneic, gene-edited, immune-evasive, stem cell-derived therapy. VCTX210 is the first gene-edited cell replacement therapy for the treatment of T1D to enter clinical trials. We believe the combination of our immune-evasive gene-editing capabilities and ViaCyte’s stem cell capabilities has the potential to enable a beta-cell replacement product candidate that may deliver durable benefit to patients without requiring concurrent immune suppression.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Clinical Trials</w:t>
      </w:r>
    </w:p>
    <w:p>
      <w:pPr>
        <w:spacing w:after="0" w:line="21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We and ViaCyte are currently investigating VCTX210 in an ongoing Phase 1 clinical trial that is designed to assess VCTX210’s safety, tolerability, and immune evasion in patients with T1D.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0" w:right="359" w:bottom="1440" w:gutter="0" w:footer="0" w:header="0"/>
        </w:sectPr>
      </w:pPr>
    </w:p>
    <w:bookmarkStart w:id="33" w:name="page34"/>
    <w:bookmarkEnd w:id="33"/>
    <w:p>
      <w:pPr>
        <w:ind w:left="280"/>
        <w:spacing w:after="0"/>
        <w:rPr>
          <w:sz w:val="20"/>
          <w:szCs w:val="20"/>
          <w:color w:val="auto"/>
        </w:rPr>
      </w:pPr>
      <w:r>
        <w:rPr>
          <w:rFonts w:ascii="Arial" w:cs="Arial" w:eastAsia="Arial" w:hAnsi="Arial"/>
          <w:sz w:val="18"/>
          <w:szCs w:val="18"/>
          <w:b w:val="1"/>
          <w:bCs w:val="1"/>
          <w:i w:val="1"/>
          <w:iCs w:val="1"/>
          <w:color w:val="auto"/>
        </w:rPr>
        <w:t>In Vivo Programs</w:t>
      </w:r>
    </w:p>
    <w:p>
      <w:pPr>
        <w:spacing w:after="0" w:line="10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 xml:space="preserve">We believe that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or delivery of a CRISPR/Cas9-based therapeutic directly to tissues within the human body, has reached a threshold for clinical translation, and we are therefore advancing multiple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investigational therapies rapidly towards clinical trials. Our initial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applications leverage well-established delivery technologies, such as LNPs and AAV vectors.</w:t>
      </w:r>
    </w:p>
    <w:p>
      <w:pPr>
        <w:spacing w:after="0" w:line="18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 xml:space="preserve">Our most advanced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programs target the liver because delivery of nucleic acid therapies into the liver has been clinically established and validated delivery technologies are now available. We believe this proof of concept reduces the challenges associated with delivering CRISPR/Cas9-based therapeutics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 the liver. Within the liver we are pursuing diseases that have well understood genetic linkages, such as Glycogen Storage Disease Type Ia, or GSDIa, and Hemophilia A.</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Glycogen Storage Disease Ia</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GSDIa, also known as Von Gierke disease, is an autosomal recessive inborn error of glucose metabolism caused by a mutation in the G6PC gene, which encodes the glucose-6-phosphatase protein, or G6Pase. In patients with GSDIa, the lack of G6Pase prevents the release of glucose from the liver, resulting in accumulation of a large chain form of glucose known as glycogen. The inability of patients with GSDIa to regulate glucose levels leads to hypoglycemia, or low blood glucose, and high levels of lactic acid when patients are not eating, requiring patients to adhere to burdensome dietary regimes. GSDIa patients also face long-term risks such as growth delay, neuropathy and kidney stones. Additionally, due to the accumulation of glycogen in the liver, 70% to 80% of patients over 25 years of age will develop hepatocellular adenomas, a type of non-cancerous growth in the liver, of which approximately 10% will progress to hepatocellular carcinoma, a potentially fatal liver cancer. There are approximately 1,000 new cases of GSDIa per year worldwide.</w:t>
      </w:r>
    </w:p>
    <w:p>
      <w:pPr>
        <w:spacing w:after="0" w:line="194"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There are currently no disease-modifying treatment options for patients with GSDIa. Any disruption in carbohydrate delivery may lead to low blood sugar levels, which can cause life-threatening consequences including seizure, coma and death. To minimize the risk of acute complications, patients are required to adhere to highly burdensome, lifelong dietary regimens such as overnight administration of uncooked cornstarch or a slow-release carbohydrate product such as Glycosade. These regimens have a high rate of non-compliance, leading to increased risk of serious long-term complications.</w:t>
      </w:r>
    </w:p>
    <w:p>
      <w:pPr>
        <w:spacing w:after="0" w:line="15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are developing a CRISPR/Cas9 product candidate to correct the mutation in GSDIa patients. Animal model experiments have demonstrated that the addition of functional copies of the G6PC gene can correct the deficiency of G6Pase protein in GSDIa and that as little as 3% of normal levels of G6Pase can restore the equilibrium of glucose and glycogen in the bloodstream and liver. This evidence suggests that correction of the mutant gene in only a small percentage of liver cells may have a significant therapeutic effect in this disease, which makes a gene correction strategy feasible. Our approach is to correct the G6PC gene directly in its native location, which we believe will result in appropriate expression of the G6Pase protein. Other methods rely on adding copies of the gene through viral delivery methods, which we believe may lead to overexpression of the G6Pase protein and ineffective control of glucose levels.</w:t>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Hemophilia A</w:t>
      </w:r>
    </w:p>
    <w:p>
      <w:pPr>
        <w:spacing w:after="0" w:line="21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Hemophilia A is a rare, typically X-linked, recessive bleeding disorder caused by insufficient or nonfunctioning coagulation protein, factor VIII (FVIII). Hemophilia A is the most common type of hemophilia disorder comprising 80-85% of the total hemophilia population and accounting for 900,000 people worldwide, including 1 in every 4-10,000 male births. In patients with hemophilia A, lack of effective clotting due to deficient functional FVIII activity may present in patients as: easy bruising and swelling, prolonged bleeding after injuries, surgeries, or recurrent bleeding prior to wound healing and, in moderate and severe hemophilia, spontaneous hemorrhage.</w:t>
      </w:r>
    </w:p>
    <w:p>
      <w:pPr>
        <w:spacing w:after="0" w:line="189"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Severity of disease has traditionally been defined based on the residual amount of FVIII in the blood with mild defined as &gt;5-40%, moderate as 1-5%, and severe as &lt;1%. Normal values for FVIII are between 50-150%. Individuals with severe hemophilia A are typically diagnosed within the first two years of life. Without prophylactic treatment, patients suffering severe disease may average up to two to five spontaneous bleeding episodes per month, including joint bleeding and deep muscle hematomas. Patients with moderate disease are usually diagnosed by age five and have spontaneous bleeding at a rate of once a month to once a year and suffer from prolonged bleeding after injuries. Individuals with mild disease are diagnosed later in life and do not have spontaneous bleeding but exhibit abnormal bleeding after surgeries and other procedures.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4" w:name="page35"/>
    <w:bookmarkEnd w:id="34"/>
    <w:p>
      <w:pPr>
        <w:ind w:right="40" w:firstLine="509"/>
        <w:spacing w:after="0" w:line="238" w:lineRule="auto"/>
        <w:rPr>
          <w:sz w:val="20"/>
          <w:szCs w:val="20"/>
          <w:color w:val="auto"/>
        </w:rPr>
      </w:pPr>
      <w:r>
        <w:rPr>
          <w:rFonts w:ascii="Arial" w:cs="Arial" w:eastAsia="Arial" w:hAnsi="Arial"/>
          <w:sz w:val="18"/>
          <w:szCs w:val="18"/>
          <w:color w:val="auto"/>
        </w:rPr>
        <w:t>There are currently no approved curative treatment options for patients with hemophilia A. Current standard of care includes the use of plasma-derived or recombinant clotting factor concentrate to prevent uncontrolled bleeding. Several gene therapies are being investigated in clinical trials, most of which aim to deliver a functional copy of the FVIII gene into target cells using AAV vectors. However, because AAV vectors do not integrate into a patient’s genome, transduced cells may lose episomal AAV as they divide, leading to declining FVIII levels and waning therapeutic benefit. In addition, the immunogenic nature of AAV vectors means that in most cases patients cannot receive additional infusions of the therapy. In contrast, we are developing a gene-edited product candidate to treat hemophilia A that uses CRISPR/Cas9 to insert a functional FVIII gene into a specific location in a patient’s genome. This approach is intended as a one-time curative therapy where direct insertion of the FVIII gene will lead to lifelong production of functional FVIII protein.</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Additional In Vivo Programs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In addition to our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programs that target the liver, we also are developing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therapies targeted to other organ systems, most of which make use of engineered AAV vectors. AAV vectors have become a well-established delivery vehicle, but have certain disadvantages for gene-editing applications, including immunogenicity and small packaging size. As a result, we are working with experts in the AAV field to improve the properties of these vectors through engineering. For instance, in collaboration with Capsida, we are developing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editing therapies delivered with engineered AAV vectors for the treatment of ALS and Friedreich’s ataxia. Capsida’s high-throughput AAV engineering platform aims to generate capsids optimized to target specific tissue types and limits transduction of tissues and cell types that are not relevant to the target disease, potentially improving the activity and tolerability of our gene editing investigational therapies. The combination of our technologies could thereby enable best-in-class therapies for these devastating neurodegenerative diseases. We lead research and development of the Friedreich’s ataxia program and perform gene-editing activities for both programs, while Capsida leads research and development of the ALS program and conducts capsid engineering for both programs. We and Capsida each have the option to co-develop and co-commercialize the program that the other leads.</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Vertex Partnered Programs</w:t>
      </w:r>
    </w:p>
    <w:p>
      <w:pPr>
        <w:spacing w:after="0" w:line="10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We have partnered certain of our programs in other disease areas, such as Duchenne muscular dystrophy, or DMD, myotonic dystrophy type 1, or DM1, and cystic fibrosis, or CF. We have entered into collaboration agreements with respect to these three programs with Vertex, a global leader in rare diseases with extensive disease area expertise in CF, and we retain the option to co-develop and co-commercialize products for the treatment of DM1. We believe that our CRISPR/Cas9 gene-editing technology is well suited to address DMD, DM1 and CF, all of which have significant patient populations with high unmet medical need.</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Duchenne Muscular Dystrophy (DMD)</w:t>
      </w:r>
    </w:p>
    <w:p>
      <w:pPr>
        <w:spacing w:after="0" w:line="104"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DMD is an X-linked recessive genetic disease caused by mutations in the dystrophin gene, which results in a lack of the dystrophin protein. Because dystrophin plays a key structural role in muscle fiber function, the absence of this protein in muscle cells leads to significant cell damage and ultimately causes muscle cell death and fibrosis. Patients with the disease experience muscle degeneration, loss of mobility and premature death. DMD is among the most prevalent severe genetic diseases, occurring in one in 3,300 male births worldwide. There are currently two approved disease-modifying therapies in the United States for the treatment of DMD, one for patients who have confirmed mutations of the dystrophin gene amenable to exon 51 skipping and one for patients who have confirmed mutations of the dystrophin gene amenable to exon 53 skipping. These mutations affect about 13% and 8% of the DMD population, respectively.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5" w:name="page36"/>
    <w:bookmarkEnd w:id="35"/>
    <w:p>
      <w:pPr>
        <w:ind w:left="300"/>
        <w:spacing w:after="0"/>
        <w:rPr>
          <w:sz w:val="20"/>
          <w:szCs w:val="20"/>
          <w:color w:val="auto"/>
        </w:rPr>
      </w:pPr>
      <w:r>
        <w:rPr>
          <w:rFonts w:ascii="Arial" w:cs="Arial" w:eastAsia="Arial" w:hAnsi="Arial"/>
          <w:sz w:val="18"/>
          <w:szCs w:val="18"/>
          <w:i w:val="1"/>
          <w:iCs w:val="1"/>
          <w:color w:val="auto"/>
        </w:rPr>
        <w:t>Myotonic dystrophy type 1 (DM1)</w:t>
      </w:r>
    </w:p>
    <w:p>
      <w:pPr>
        <w:spacing w:after="0" w:line="104"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 xml:space="preserve">DM1 is an autosomal genetic disease caused by the expansion of a CTG trinucleotide repeat in the noncoding region of the </w:t>
      </w:r>
      <w:r>
        <w:rPr>
          <w:rFonts w:ascii="Arial" w:cs="Arial" w:eastAsia="Arial" w:hAnsi="Arial"/>
          <w:sz w:val="18"/>
          <w:szCs w:val="18"/>
          <w:i w:val="1"/>
          <w:iCs w:val="1"/>
          <w:color w:val="auto"/>
        </w:rPr>
        <w:t>DMPK</w:t>
      </w:r>
      <w:r>
        <w:rPr>
          <w:rFonts w:ascii="Arial" w:cs="Arial" w:eastAsia="Arial" w:hAnsi="Arial"/>
          <w:sz w:val="18"/>
          <w:szCs w:val="18"/>
          <w:color w:val="auto"/>
        </w:rPr>
        <w:t xml:space="preserve"> gene. The disease affects the skeletal and smooth muscle, as well as other organ systems, such as the eye, heart, endocrine system, and central nervous system. The clinical manifestations of DM1 span a continuum from mild to severe. Based on these phenotypes, DM1 is classified into three somewhat overlapping forms: mild, classic and congenital. Patients with mild DM1 have normal lifespans and typically develop cataracts and experience mild sustained muscle contractions, or myotonia. Those with classic DM1 tend to have muscle weakness and wasting, myotonia, cataracts and often abnormalities in cardiac conduction, and may become physically disabled and have shortened lifespans. Patients with congenital DM1 commonly have intellectual disability and typically have hypotonia and severe generalized weakness at birth, often with respiratory insufficiency and early death. DM1 affects around 1 in 8,000 people worldwide. No approved therapies exist to treat the underlying disease; instead, most interventions to date aim to address specific symptoms of the disease.</w:t>
      </w: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Cystic Fibrosis (CF)</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CF is a progressive disease caused by mutations in the cystic fibrosis transmembrane regulator, or CFTR, gene resulting in the loss or reduced function of the CFTR protein. Patients with CF develop thick mucus in vital organs, particularly in the lungs, pancreas and gastrointestinal tract. As a result, CF patients experience chronic severe respiratory infections, chronic lung inflammation, poor absorption of nutrients, progressive respiratory failure</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and early mortality. The median age of death from CF in the United States was 31 years in 2017, with most deaths resulting from respiratory failure. CF is an orphan disease that is estimated to effect more than 70,000 patients in the United States and Europe. CF patients require lifelong treatment with multiple daily medications and hours of self-care. They often require frequent hospitalizations and sometimes even lung transplantation, which can prolong survival but is not curative.</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Bayer Partnered Programs</w:t>
      </w:r>
    </w:p>
    <w:p>
      <w:pPr>
        <w:spacing w:after="0" w:line="104"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We are also investigating programs for the diagnosis, treatment, or prevention of certain autoimmune disorders and eye disorders. From these and the program for hemophilia A disorders described above, Bayer has options to either co-develop and co-commercialize two products with us or, under certain circumstances, exclusively license such optioned products.</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Further Unlocking the Potential of Our CRISPR/Cas9 Platform</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working to optimize our CRISPR/Cas9 platform. Our key areas of focus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74930</wp:posOffset>
            </wp:positionV>
            <wp:extent cx="5323205" cy="27432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23205" cy="274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Nuclease Engineering</w:t>
      </w:r>
    </w:p>
    <w:p>
      <w:pPr>
        <w:spacing w:after="0" w:line="104"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The Cas9 nucleases found in nature are highly efficient and specific. We believe that for many gene-editing applications, the naturally occurring Cas9 variants have all the properties required to support an effective therapeutic. However, we also see potential in certain disease areas and organ systems where modified versions of Cas9 may be more effective, and we are working internally and through our external collaborations to engineer Cas9.</w:t>
      </w:r>
    </w:p>
    <w:p>
      <w:pPr>
        <w:spacing w:after="0" w:line="147" w:lineRule="exact"/>
        <w:rPr>
          <w:sz w:val="20"/>
          <w:szCs w:val="20"/>
          <w:color w:val="auto"/>
        </w:rPr>
      </w:pPr>
    </w:p>
    <w:p>
      <w:pPr>
        <w:ind w:right="400" w:firstLine="509"/>
        <w:spacing w:after="0" w:line="270" w:lineRule="auto"/>
        <w:rPr>
          <w:sz w:val="20"/>
          <w:szCs w:val="20"/>
          <w:color w:val="auto"/>
        </w:rPr>
      </w:pPr>
      <w:r>
        <w:rPr>
          <w:rFonts w:ascii="Arial" w:cs="Arial" w:eastAsia="Arial" w:hAnsi="Arial"/>
          <w:sz w:val="17"/>
          <w:szCs w:val="17"/>
          <w:color w:val="auto"/>
        </w:rPr>
        <w:t>Our research and development efforts seek to enhance several characteristics of Cas9, including size, specificity, immunogenicity and ability to support different types of editing strategies. We believe that the process of optimizing these different parameters may yield novel Cas9 versions with different properties, each of which may be best suited to a certain disease area or type of genetic editing.</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Guide RNA Optimization</w:t>
      </w:r>
    </w:p>
    <w:p>
      <w:pPr>
        <w:spacing w:after="0" w:line="10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Selecting the sequence for guide RNAs is a critical step in the process of designing our product candidates. Once we have chosen a gene-editing strategy, we seek to identify guide RNAs that will perform the desired edit with high efficiency and with undetectable or extremely low off-target cutting. While computational models can predict efficiency and off-target effects with reasonable accuracy, we believe that a combination of computation and experimental approaches is necessary to reliably select the best possible guide RNAs.</w:t>
      </w:r>
    </w:p>
    <w:p>
      <w:pPr>
        <w:spacing w:after="0" w:line="18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guide RNA selection process combines bioinformatics and experimental assays to enable the screening of large numbers of guide RNAs in each experiment. This process starts with proprietary bioinformatics algorithms that select a large pool of guide RNAs that are predicted to have desired properties. These guides are then tested for target site cutting efficiency using a high-throughput screening platform in a model cell line. The most efficient guides are then put through two screening processes for possible off-target effects. First, bioinformatics algorithms are used to identify the 10 to 20 sites in the genome that are most likely to show off-target effects, and these sites are examined through high-throughput assays for empirical off-target cutting. Second, homology-independent screening is performed to identify any potential off-target cutting, even at unpredicted locations. Finally, a small subset of guides with the highest efficiency and lowest off-target potential are tested in the cell type of therapeutic interest before choosing a lead guide or guides for our program.</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7" w:name="page38"/>
    <w:bookmarkEnd w:id="37"/>
    <w:p>
      <w:pPr>
        <w:ind w:left="260"/>
        <w:spacing w:after="0"/>
        <w:rPr>
          <w:sz w:val="20"/>
          <w:szCs w:val="20"/>
          <w:color w:val="auto"/>
        </w:rPr>
      </w:pPr>
      <w:r>
        <w:rPr>
          <w:rFonts w:ascii="Arial" w:cs="Arial" w:eastAsia="Arial" w:hAnsi="Arial"/>
          <w:sz w:val="18"/>
          <w:szCs w:val="18"/>
          <w:b w:val="1"/>
          <w:bCs w:val="1"/>
          <w:i w:val="1"/>
          <w:iCs w:val="1"/>
          <w:color w:val="auto"/>
        </w:rPr>
        <w:t>Advanced Editing</w:t>
      </w:r>
    </w:p>
    <w:p>
      <w:pPr>
        <w:spacing w:after="0" w:line="104" w:lineRule="exact"/>
        <w:rPr>
          <w:sz w:val="20"/>
          <w:szCs w:val="20"/>
          <w:color w:val="auto"/>
        </w:rPr>
      </w:pPr>
    </w:p>
    <w:p>
      <w:pPr>
        <w:ind w:right="240" w:firstLine="509"/>
        <w:spacing w:after="0" w:line="262" w:lineRule="auto"/>
        <w:rPr>
          <w:sz w:val="20"/>
          <w:szCs w:val="20"/>
          <w:color w:val="auto"/>
        </w:rPr>
      </w:pPr>
      <w:r>
        <w:rPr>
          <w:rFonts w:ascii="Arial" w:cs="Arial" w:eastAsia="Arial" w:hAnsi="Arial"/>
          <w:sz w:val="17"/>
          <w:szCs w:val="17"/>
          <w:color w:val="auto"/>
        </w:rPr>
        <w:t>While gene correction is achievable today using CRISPR/Cas9, it is more difficult and has lower efficacy than the more straightforward gene disruption strategy. Our initial gene correction programs target diseases in which therapeutic efficacy can be achieved through correction of only a small percentage of cells, while other potential indications may require correction of a significantly higher percentage of cells. We are working to increase the efficiency of gene correction to facilitate the potential treatment of these additional indications.</w:t>
      </w:r>
    </w:p>
    <w:p>
      <w:pPr>
        <w:spacing w:after="0" w:line="172"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color w:val="auto"/>
        </w:rPr>
        <w:t>A central focus of our development efforts is to optimize the correction rates in cell types where rates of correction are typically low. Some of this optimization is being done internally, to test the influence of different parameters of the CRISPR/Cas9 system on correction efficiency. We are also collaborating more broadly with leaders in the DNA repair field, to explore other approaches to optimize correction rates.</w:t>
      </w:r>
    </w:p>
    <w:p>
      <w:pPr>
        <w:spacing w:after="0" w:line="16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are also focused on expanding our ability to perform multiple edits simultaneously. In contrast to other gene-editing technologies, which require extensive protein engineering and an additional construct for each new genetic target, CRISPR/Cas9 only requires a new guide RNA using simple Watson-Crick base pairing to target a new genetic locus. As a result, one can easily perform many edits at once using CRISPR/Cas9, a process known as multiplexing. We believe multiplexing holds promise in cell therapies, where making several modifications may lead to a safer and more efficacious therapy. Our research efforts in this area emphasize developing strategies to keep editing rates high while multiplexing without increasing the risk of off-target activity.</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Synthetic Biology</w:t>
      </w:r>
    </w:p>
    <w:p>
      <w:pPr>
        <w:spacing w:after="0" w:line="104"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The application of engineering principles to biological systems, broadly known as synthetic biology, could facilitate the development of improved cellular therapeutics. Novel strategies and tools in this area, such genetic circuits to regulate gene expression based on Boolean logic, may allow us to control specific cellular activity, such as the secretion of a protein, in response to a selected input, such as an administered small molecule or a marker sensed on a cell surface. We believe synthetic biology holds promise when combined with CRISPR/Cas9 gene editing because CRISPR/Cas9 enables the precise engineering of such circuits into the genomes of cell therapies in order to improve their therapeutic properties. Given this potential, we have active efforts to develop and test such synthetic biology tools for incorporation into future immuno-oncology and regenerative medicine cell therapies.</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Strategic Partnerships and Collaborations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intend to develop CRISPR/Cas9-based therapeutics both independently and in collaboration with current and potential future corporate partners.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We view strategic partnerships as a core component of our strategy, allowing us to access capabilities and resources in support of our therapeutic programs.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We have established three broad strategic partnerships to develop gene editing-based therapeutics in specific disease areas.</w:t>
      </w:r>
    </w:p>
    <w:p>
      <w:pPr>
        <w:spacing w:after="0" w:line="3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Vertex</w:t>
      </w:r>
    </w:p>
    <w:p>
      <w:pPr>
        <w:spacing w:after="0" w:line="104" w:lineRule="exact"/>
        <w:rPr>
          <w:sz w:val="20"/>
          <w:szCs w:val="20"/>
          <w:color w:val="auto"/>
        </w:rPr>
      </w:pPr>
    </w:p>
    <w:p>
      <w:pPr>
        <w:jc w:val="both"/>
        <w:ind w:right="320" w:firstLine="509"/>
        <w:spacing w:after="0"/>
        <w:rPr>
          <w:sz w:val="20"/>
          <w:szCs w:val="20"/>
          <w:color w:val="auto"/>
        </w:rPr>
      </w:pPr>
      <w:r>
        <w:rPr>
          <w:rFonts w:ascii="Arial" w:cs="Arial" w:eastAsia="Arial" w:hAnsi="Arial"/>
          <w:sz w:val="18"/>
          <w:szCs w:val="18"/>
          <w:color w:val="auto"/>
        </w:rPr>
        <w:t>We have entered into a series of agreements with Vertex that contemplate certain research, development, manufacturing and commercialization activities involving various targets. Since October 2015, we have entered into a Strategic Collaboration, Option and License Agreement, as amended in 2017 and 2019, or the 2015 Collaboration Agreement; a Joint Development and</w:t>
      </w:r>
    </w:p>
    <w:p>
      <w:pPr>
        <w:spacing w:after="0" w:line="3" w:lineRule="exact"/>
        <w:rPr>
          <w:sz w:val="20"/>
          <w:szCs w:val="20"/>
          <w:color w:val="auto"/>
        </w:rPr>
      </w:pPr>
    </w:p>
    <w:p>
      <w:pPr>
        <w:ind w:right="1000"/>
        <w:spacing w:after="0" w:line="243" w:lineRule="auto"/>
        <w:rPr>
          <w:sz w:val="20"/>
          <w:szCs w:val="20"/>
          <w:color w:val="auto"/>
        </w:rPr>
      </w:pPr>
      <w:r>
        <w:rPr>
          <w:rFonts w:ascii="Arial" w:cs="Arial" w:eastAsia="Arial" w:hAnsi="Arial"/>
          <w:sz w:val="18"/>
          <w:szCs w:val="18"/>
          <w:color w:val="auto"/>
        </w:rPr>
        <w:t>Commercialization Agreement, or the Vertex JDA, which was amended and restated in April 2021, or the A&amp;R Vertex JDCA; and a Strategic Collaboration and License Agreement, as amended in 2021, or the 2019 Collaboration Agreement.</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2015 Collaboration Agreement</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Pursuant to the 2015 Collaboration Agreement, we agreed to provide technology and options to obtain licenses relating to our CRISPR/Cas technology to Vertex in exchange for a $75.0 million upfront payment. In 2015, in connection with the initial entry into the 2015 Collaboration Agreement, Vertex also made a $30.0 million equity investment in us.</w:t>
      </w:r>
    </w:p>
    <w:p>
      <w:pPr>
        <w:spacing w:after="0" w:line="18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initial focus of the 2015 Vertex collaboration was to use CRISPR/Cas9 technology to discover and develop gene-based treatments for hemoglobinopathies and cystic fibrosis. In 2017, Vertex exercised its option to co-develop and co-commercialize the hemoglobinopathies program. Matters relating to hemoglobinopathies targets are governed by the A&amp;R Vertex JDCA, as summarized below. Further discovery efforts focused on a specified number of other genetic targets. Under the 2015 Collaboration Agreement, Vertex had the option to exclusively license treatments for a specified number of collaboration targets that emerged from the four-year research collaboration under certain of our platform and background intellectual property to develop, manufacture, commercialize, sell and use therapeutics directed to each such collaboration target. We were responsible for discovery activities, and the related expenses were fully funded by Vertex.</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8" w:name="page39"/>
    <w:bookmarkEnd w:id="38"/>
    <w:p>
      <w:pPr>
        <w:ind w:right="100" w:firstLine="509"/>
        <w:spacing w:after="0" w:line="253" w:lineRule="auto"/>
        <w:rPr>
          <w:sz w:val="20"/>
          <w:szCs w:val="20"/>
          <w:color w:val="auto"/>
        </w:rPr>
      </w:pPr>
      <w:r>
        <w:rPr>
          <w:rFonts w:ascii="Arial" w:cs="Arial" w:eastAsia="Arial" w:hAnsi="Arial"/>
          <w:sz w:val="17"/>
          <w:szCs w:val="17"/>
          <w:color w:val="auto"/>
        </w:rPr>
        <w:t>In October 2019, Vertex exercised the remaining options granted to it under the 2015 Collaboration Agreement to exclusively in-license three additional targets for the development of gene-based treatments using CRISPR-based gene editing. The targets include the cystic fibrosis transmembrane conductance regulator gene and two undisclosed targets. Under the terms of the 2015 Collaboration Agreement, we received an upfront payment of $30.0 million in connection with the option exercise and have the potential to receive up to $410.0 million in development, regulatory and commercial milestones, as well as royalty payments in the single digits to low teens on net product sales for each of the three targets. The milestone and royalty payments are each subject to reduction under certain specified conditions set forth in the 2015 Collaboration Agreement. For these targets, Vertex is solely responsible for all research, development, manufacturing and global commercialization activities and Vertex received exclusive rights to develop and commercialize products related to these targets globally. The research term of the 2015 Collaboration Agreement has expired, and Vertex no longer holds rights to in-license additional targets under the 2015 Collaboration Agreement.</w:t>
      </w:r>
    </w:p>
    <w:p>
      <w:pPr>
        <w:spacing w:after="0" w:line="18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Either party can terminate the 2015 Collaboration Agreement upon the other party’s material breach, subject to specified notice and cure provisions. Vertex also has the right to terminate the 2015 Collaboration Agreement for convenience at any time upon 90 days’ written notice prior to any product receiving marketing approval and upon 270 days’ notice after a product has received marketing approval. We may also terminate the 2015 Collaboration Agreement in the event Vertex challenges any of our patent rights.</w:t>
      </w:r>
    </w:p>
    <w:p>
      <w:pPr>
        <w:spacing w:after="0" w:line="18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Absent early termination, the 2015 Collaboration Agreement will continue until the expiration of the Vertex’s payment obligations under the 2015 Collaboration Agreement.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Joint Development Agreement</w:t>
      </w:r>
    </w:p>
    <w:p>
      <w:pPr>
        <w:spacing w:after="0" w:line="10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In December 2017, we entered into the Vertex JDA with Vertex pursuant to which the parties agreed to, among other things, co-develop and co-commercialize CTX001 and other product candidates specified in the Vertex JDA. In April 2021, we and Vertex agreed to amend and restate the Vertex JDA and entered into the A&amp;R Vertex JDCA, pursuant to which the parties agreed to, among other things, (a) adjust the governance structure for the collaboration and adjust the responsibilities of each party thereunder; (b) adjust the allocation of net profits and net losses between the parties with respect to CTX001 only; and (c) exclusively license (subject to our reserved rights to conduct certain activities) certain intellectual property rights to Vertex relating to the specified product candidates and products (including CTX001) that may be researched, developed, manufactured and commercialized under such agreement.</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A&amp;R Vertex JDCA includes, among other things, provisions relating to the following:</w:t>
      </w:r>
    </w:p>
    <w:p>
      <w:pPr>
        <w:spacing w:after="0" w:line="21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i w:val="1"/>
          <w:iCs w:val="1"/>
          <w:color w:val="auto"/>
        </w:rPr>
        <w:t>Governance; Activities</w:t>
      </w:r>
      <w:r>
        <w:rPr>
          <w:rFonts w:ascii="Arial" w:cs="Arial" w:eastAsia="Arial" w:hAnsi="Arial"/>
          <w:sz w:val="16"/>
          <w:szCs w:val="16"/>
          <w:color w:val="auto"/>
        </w:rPr>
        <w:t>. We and Vertex disbanded the previously established collaboration strategy team and all working groups established by such</w:t>
      </w:r>
      <w:r>
        <w:rPr>
          <w:rFonts w:ascii="Arial" w:cs="Arial" w:eastAsia="Arial" w:hAnsi="Arial"/>
          <w:sz w:val="16"/>
          <w:szCs w:val="16"/>
          <w:i w:val="1"/>
          <w:iCs w:val="1"/>
          <w:color w:val="auto"/>
        </w:rPr>
        <w:t xml:space="preserve"> </w:t>
      </w:r>
      <w:r>
        <w:rPr>
          <w:rFonts w:ascii="Arial" w:cs="Arial" w:eastAsia="Arial" w:hAnsi="Arial"/>
          <w:sz w:val="16"/>
          <w:szCs w:val="16"/>
          <w:color w:val="auto"/>
        </w:rPr>
        <w:t>team and established the following committees: (i) a joint oversight committee to provide high-level oversight and (ii) a transition committee to provide for forum planning, discussing and sharing information regarding certain transition activities until completion of such activities. Each of the new committees contain an equal number of representatives from each of CRISPR and Vertex. The A&amp;R Vertex JDCA provides that, subject to the terms and conditions of such agreement, Vertex has the right to conduct all research, development, manufacturing and commercialization activities relating to the specified product candidates and products (including CTX001) throughout the world subject to our reserved right to conduct certain activities. We will continue to participate in certain aspects of such activities in an observer capacity unless and to the extent otherwise agreed to by the parties.</w:t>
      </w:r>
    </w:p>
    <w:p>
      <w:pPr>
        <w:spacing w:after="0" w:line="16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i w:val="1"/>
          <w:iCs w:val="1"/>
          <w:color w:val="auto"/>
        </w:rPr>
        <w:t>Financial Terms</w:t>
      </w:r>
      <w:r>
        <w:rPr>
          <w:rFonts w:ascii="Arial" w:cs="Arial" w:eastAsia="Arial" w:hAnsi="Arial"/>
          <w:sz w:val="16"/>
          <w:szCs w:val="16"/>
          <w:color w:val="auto"/>
        </w:rPr>
        <w:t>. In the second quarter of 2021, in connection with the closing of the transaction contemplated by the A&amp;R Vertex JDCA, we</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a $900 million up-front payment from Vertex. Additionally, we are eligible to receive a one-time $200 million milestone payment upon receipt by Vertex of the first marketing approval of the initial product candidate from the FDA or the European Commission. The net profits and net losses, as applicable, incurred under the A&amp;R Vertex JDCA with respect to all product candidates and products specified in the A&amp;R Vertex JDCA other than CTX001 shall be shared equally between us and Vertex. With respect to CTX001 only, the net profits and net losses, as applicable, incurred under the A&amp;R Vertex JDCA through July 1, 2021 in connection with the initial shared product (i.e., CTX001) were shared equally between us and Vertex, and beginning July 1, 2021, the net profits and net losses, as applicable, incurred under the A&amp;R Vertex JDCA are allocated 40% to CRISPR and 60% to Vertex.</w:t>
      </w:r>
    </w:p>
    <w:p>
      <w:pPr>
        <w:spacing w:after="0" w:line="163"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Either party can terminate the A&amp;R Vertex JDCA upon the other party’s material breach, subject to specified notice and cure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or, in the case of Vertex, in the event that we become subject to specified bankruptcy, winding up or similar circumstances. Either party may terminate the A&amp;R Vertex JDCA in the event the other party commences or participates in any action or proceeding challenging the validity or enforceability of any patent that is licensed to such challenging party pursuant to the A&amp;R Vertex JDCA. Vertex also has the right to terminate the A&amp;R Vertex JDCA for convenience at any time after giving prior written notice.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9" w:name="page40"/>
    <w:bookmarkEnd w:id="39"/>
    <w:p>
      <w:pPr>
        <w:ind w:firstLine="509"/>
        <w:spacing w:after="0" w:line="243" w:lineRule="auto"/>
        <w:rPr>
          <w:sz w:val="20"/>
          <w:szCs w:val="20"/>
          <w:color w:val="auto"/>
        </w:rPr>
      </w:pPr>
      <w:r>
        <w:rPr>
          <w:rFonts w:ascii="Arial" w:cs="Arial" w:eastAsia="Arial" w:hAnsi="Arial"/>
          <w:sz w:val="18"/>
          <w:szCs w:val="18"/>
          <w:color w:val="auto"/>
        </w:rPr>
        <w:t>If circumstances arise pursuant to which a party would have the right to terminate the A&amp;R Vertex JDCA on account of an uncured material breach, such party may elect to keep the A&amp;R Vertex JDCA in effect and cause such breaching party to be treated as if it had exercised its opt-out rights with respect to the products associated with such uncured material breach (described below) and the royalties payable to the breaching party would be reduced by a specified percentage.</w:t>
      </w:r>
    </w:p>
    <w:p>
      <w:pPr>
        <w:spacing w:after="0" w:line="188"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i w:val="1"/>
          <w:iCs w:val="1"/>
          <w:color w:val="auto"/>
        </w:rPr>
        <w:t>Opt-Out Rights</w:t>
      </w:r>
      <w:r>
        <w:rPr>
          <w:rFonts w:ascii="Arial" w:cs="Arial" w:eastAsia="Arial" w:hAnsi="Arial"/>
          <w:sz w:val="18"/>
          <w:szCs w:val="18"/>
          <w:color w:val="auto"/>
        </w:rPr>
        <w:t>. Either party may opt out of the development of a product candidate under the A&amp;R Vertex JDCA after predetermined points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the product candidate, on a candidate-by-candidate basis. In the event of such opt-out, the party opting-out will no longer share in the net profits and net losses associated with such product candidate and, instead, the opting-out party will be entitled to high single to mid-teen percentage royalties on the net sales of such product, if commercialized.</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2019 Collaboration Agreement</w:t>
      </w:r>
    </w:p>
    <w:p>
      <w:pPr>
        <w:spacing w:after="0" w:line="104" w:lineRule="exact"/>
        <w:rPr>
          <w:sz w:val="20"/>
          <w:szCs w:val="20"/>
          <w:color w:val="auto"/>
        </w:rPr>
      </w:pPr>
    </w:p>
    <w:p>
      <w:pPr>
        <w:ind w:right="380" w:firstLine="509"/>
        <w:spacing w:after="0" w:line="324" w:lineRule="auto"/>
        <w:rPr>
          <w:sz w:val="20"/>
          <w:szCs w:val="20"/>
          <w:color w:val="auto"/>
        </w:rPr>
      </w:pPr>
      <w:r>
        <w:rPr>
          <w:rFonts w:ascii="Arial" w:cs="Arial" w:eastAsia="Arial" w:hAnsi="Arial"/>
          <w:sz w:val="16"/>
          <w:szCs w:val="16"/>
          <w:color w:val="auto"/>
        </w:rPr>
        <w:t>In June 2019, we and Vertex entered the 2019 Collaboration Agreement, pursuant to which we and Vertex agreed to collaborate to develop and commercialize products for the treatment of DMD and DM1. We and Vertex amended the 2019 Collaboration Agreement in April 2021.</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2019 Collaboration Agreement includes, among other things, provisions relating to the following:</w:t>
      </w:r>
    </w:p>
    <w:p>
      <w:pPr>
        <w:spacing w:after="0" w:line="212"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i w:val="1"/>
          <w:iCs w:val="1"/>
          <w:color w:val="auto"/>
        </w:rPr>
        <w:t>Governance</w:t>
      </w:r>
      <w:r>
        <w:rPr>
          <w:rFonts w:ascii="Arial" w:cs="Arial" w:eastAsia="Arial" w:hAnsi="Arial"/>
          <w:sz w:val="18"/>
          <w:szCs w:val="18"/>
          <w:color w:val="auto"/>
        </w:rPr>
        <w:t>. We and Vertex will form a joint advisory committee to provide high-level oversight and coordination of the activities covered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2019 Collaboration Agreement.</w:t>
      </w:r>
    </w:p>
    <w:p>
      <w:pPr>
        <w:spacing w:after="0" w:line="171"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i w:val="1"/>
          <w:iCs w:val="1"/>
          <w:color w:val="auto"/>
        </w:rPr>
        <w:t>Development and Commercialization</w:t>
      </w:r>
      <w:r>
        <w:rPr>
          <w:rFonts w:ascii="Arial" w:cs="Arial" w:eastAsia="Arial" w:hAnsi="Arial"/>
          <w:sz w:val="18"/>
          <w:szCs w:val="18"/>
          <w:color w:val="auto"/>
        </w:rPr>
        <w:t>. The 2019 Collaboration Agreement provides that Vertex will be responsible for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activities, subject to our option, exercisable during a specified exercise period, to co-develop and co-commercialize products for the treatment of DM1.</w:t>
      </w:r>
    </w:p>
    <w:p>
      <w:pPr>
        <w:spacing w:after="0" w:line="182"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i w:val="1"/>
          <w:iCs w:val="1"/>
          <w:color w:val="auto"/>
        </w:rPr>
        <w:t>Financial Terms</w:t>
      </w:r>
      <w:r>
        <w:rPr>
          <w:rFonts w:ascii="Arial" w:cs="Arial" w:eastAsia="Arial" w:hAnsi="Arial"/>
          <w:sz w:val="18"/>
          <w:szCs w:val="18"/>
          <w:color w:val="auto"/>
        </w:rPr>
        <w:t>. In connection with entering into the 2019 Collaboration Agreement, we received a $175.0 million up-front payment from Vertex.</w:t>
      </w:r>
      <w:r>
        <w:rPr>
          <w:rFonts w:ascii="Arial" w:cs="Arial" w:eastAsia="Arial" w:hAnsi="Arial"/>
          <w:sz w:val="18"/>
          <w:szCs w:val="18"/>
          <w:i w:val="1"/>
          <w:iCs w:val="1"/>
          <w:color w:val="auto"/>
        </w:rPr>
        <w:t xml:space="preserve"> </w:t>
      </w:r>
      <w:r>
        <w:rPr>
          <w:rFonts w:ascii="Arial" w:cs="Arial" w:eastAsia="Arial" w:hAnsi="Arial"/>
          <w:sz w:val="18"/>
          <w:szCs w:val="18"/>
          <w:color w:val="auto"/>
        </w:rPr>
        <w:t>We are eligible to receive milestone payments from Vertex of up to $775.0 million in the aggregate, depending on the numbers and types of products that achieve pre-determined development and commercial milestones. We are also eligible to receive royalties on the sales of products ranging from the low single digits to the low double digits.</w:t>
      </w:r>
    </w:p>
    <w:p>
      <w:pPr>
        <w:spacing w:after="0" w:line="188" w:lineRule="exact"/>
        <w:rPr>
          <w:sz w:val="20"/>
          <w:szCs w:val="20"/>
          <w:color w:val="auto"/>
        </w:rPr>
      </w:pPr>
    </w:p>
    <w:p>
      <w:pPr>
        <w:jc w:val="both"/>
        <w:ind w:right="40" w:firstLine="509"/>
        <w:spacing w:after="0" w:line="284" w:lineRule="auto"/>
        <w:rPr>
          <w:sz w:val="20"/>
          <w:szCs w:val="20"/>
          <w:color w:val="auto"/>
        </w:rPr>
      </w:pPr>
      <w:r>
        <w:rPr>
          <w:rFonts w:ascii="Arial" w:cs="Arial" w:eastAsia="Arial" w:hAnsi="Arial"/>
          <w:sz w:val="16"/>
          <w:szCs w:val="16"/>
          <w:i w:val="1"/>
          <w:iCs w:val="1"/>
          <w:color w:val="auto"/>
        </w:rPr>
        <w:t>Co-Development and Co-Commercialization Option</w:t>
      </w:r>
      <w:r>
        <w:rPr>
          <w:rFonts w:ascii="Arial" w:cs="Arial" w:eastAsia="Arial" w:hAnsi="Arial"/>
          <w:sz w:val="16"/>
          <w:szCs w:val="16"/>
          <w:color w:val="auto"/>
        </w:rPr>
        <w:t>. If we elect to co-develop and co-commercialize products for the treatment of DM1, we would</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 Vertex for fifty percent (50%) of the DM1 research and development costs incurred by Vertex and would be responsible for fifty percent (50%) of such costs going forward. We would receive, in lieu of further milestone or royalty payments associated with DM1 development and commercialization activities, fifty percent (50%) of all profits from sales of such products and would be responsible for fifty percent (50%) of all losses.</w:t>
      </w:r>
    </w:p>
    <w:p>
      <w:pPr>
        <w:spacing w:after="0" w:line="155"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Either party may terminate the 2019 Collaboration Agreement upon the other party’s material breach, subject to specified notice and</w:t>
      </w:r>
      <w:r>
        <w:rPr>
          <w:rFonts w:ascii="Arial" w:cs="Arial" w:eastAsia="Arial" w:hAnsi="Arial"/>
          <w:sz w:val="17"/>
          <w:szCs w:val="17"/>
          <w:i w:val="1"/>
          <w:iCs w:val="1"/>
          <w:color w:val="auto"/>
        </w:rPr>
        <w:t xml:space="preserve"> </w:t>
      </w:r>
      <w:r>
        <w:rPr>
          <w:rFonts w:ascii="Arial" w:cs="Arial" w:eastAsia="Arial" w:hAnsi="Arial"/>
          <w:sz w:val="17"/>
          <w:szCs w:val="17"/>
          <w:color w:val="auto"/>
        </w:rPr>
        <w:t>cure provisions. We may also terminate the 2019 Collaboration Agreement in the event Vertex commences or participates in any action or proceeding challenging the validity or enforceability of any patent that is licensed to Vertex pursuant to the 2019 Collaboration Agreement. Vertex may also terminate the 2019 Collaboration Agreement upon our bankruptcy or insolvency, or for convenience at any time, after giving written notice.</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40" w:name="page41"/>
    <w:bookmarkEnd w:id="40"/>
    <w:p>
      <w:pPr>
        <w:ind w:right="20" w:firstLine="509"/>
        <w:spacing w:after="0" w:line="248" w:lineRule="auto"/>
        <w:rPr>
          <w:sz w:val="20"/>
          <w:szCs w:val="20"/>
          <w:color w:val="auto"/>
        </w:rPr>
      </w:pPr>
      <w:r>
        <w:rPr>
          <w:rFonts w:ascii="Arial" w:cs="Arial" w:eastAsia="Arial" w:hAnsi="Arial"/>
          <w:sz w:val="18"/>
          <w:szCs w:val="18"/>
          <w:color w:val="auto"/>
        </w:rPr>
        <w:t>If circumstances arise pursuant to which Vertex would have the right to terminate the 2019 Collaboration Agreement on account of an uncured material breach, Vertex may elect to keep the 2019 Collaboration Agreement in effect and reduce by a specified percentage the applicable royalties payable in respect of the product(s) that are the subject of the breach.</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Bayer</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December 2015, we and Bayer entered into a joint venture agreement, or the Joint Venture Agreement, pursuant to which we and Bayer established Casebia to discover, develop and commercialize CRISPR/Cas9 gene-editing therapeutics to treat the genetic causes of bleeding disorders, autoimmune disease, blindness, hearing loss and heart disease. Under the Joint Venture Agreement, Bayer made available its protein engineering expertise and relevant disease know-how and we made available our proprietary CRISPR/Cas9 gene-editing technology and intellectual property. We and Bayer each held a 50% partnership interest in Casebia.</w:t>
      </w:r>
    </w:p>
    <w:p>
      <w:pPr>
        <w:spacing w:after="0" w:line="189"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In December 2019, we, Bayer, certain subsidiaries and affiliates of us and Bayer, and Casebia entered into a series of transactions by which, among other things, Casebia became a wholly-owned subsidiary of ours; we and Bayer terminated the joint venture; and we and Bayer entered into a new option agreement, or the 2019 Option Agreement.</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Retirement Agreement</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On December 13, 2019, we, Bayer and Casebia entered into an agreement, or the Retirement Agreement, pursuant to which Casebia retired Bayer’s outstanding partnership interests in exchange for up to $22.0 million returned from Casebia operating cash less certain estimated interim operating expenses, subject to potential post-closing adjustments, or the Retirement.</w:t>
      </w:r>
    </w:p>
    <w:p>
      <w:pPr>
        <w:spacing w:after="0" w:line="182"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connection with the Retirement, our wholly-owned subsidiary simultaneously acquired a 1% partnership interest in Casebia in exchange for a capital contribution in an amount equal to 1% of the fair market value of Casebia. Accordingly, after effecting the Retirement, we and our wholly-owned subsidiary own 100% of the partnership interests in Casebia. The completion of the Retirement occurred simultaneously with the signing of the Retirement Agreement.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Retirement Agreement contains customary representations and warranties and other customary terms for a transaction of this type.</w:t>
      </w:r>
    </w:p>
    <w:p>
      <w:pPr>
        <w:spacing w:after="0" w:line="223"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In connection with the Retirement, the parties also entered into certain other ancillary agreements, including a joint venture termination agreement and option agreement, each summarized below.</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Joint Venture Termination Agreement</w:t>
      </w:r>
    </w:p>
    <w:p>
      <w:pPr>
        <w:spacing w:after="0" w:line="10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In connection with entering into the Retirement Agreement, we, Bayer, certain subsidiaries and affiliates of us and Bayer, and Casebia entered into an agreement, or the Joint Venture Termination Agreement, pursuant to which we and Bayer agreed to terminate the Joint Venture Agreement consistent with the terms of such agreement.</w:t>
      </w:r>
    </w:p>
    <w:p>
      <w:pPr>
        <w:spacing w:after="0" w:line="18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Under the Joint Venture Termination Agreement, Casebia-owned patents, know-how and technology are now co-owned by us and Bayer, subject to certain exclusive licenses granted therein. In addition, the parties modified their rights and obligations under an amended and restated intellectual property management agreement and terminated other agreements between the parties related to the joint venture, including the CRISPR IP Contribution Agreement with Casebia, dated as of March 16, 2016, pursuant to which we and certain of our affiliated entities granted Casebia an exclusive, worldwide, fully paid-up, royalty-free license, including the right to sublicense, to the use of our CRISPR/Cas technology to research, develop, produce, commercialize and sell products in certain fields and the existing Option Agreement, dated as of March 16, 2016, by and between us, Bayer and Casebia.</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2019 Option Agreement</w:t>
      </w:r>
    </w:p>
    <w:p>
      <w:pPr>
        <w:spacing w:after="0" w:line="104"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In connection with entering into the Retirement Agreement and the Joint Venture Termination Agreement, we and Bayer also entered into the 2019 Option Agreement pursuant to which Bayer obtained an option (exercisable during a specified exercise period defined by future events, but in no event longer than five years after the effective date of the 2019 Option Agreement) to co-develop and co-commercialize two products for the diagnosis, treatment, or prevention of certain autoimmune disorders, eye disorders, or hemophilia A disorders. In the event Bayer elects to co-develop and co-commercialize a product, the parties will negotiate and enter into a co-development and co-commercialization agreement, or a Co-Commercialization Agreement, for such product, and Bayer would be responsible for 50% of the research and development costs incurred by us for such product going forward. Bayer would receive 50% of all profits from sales of such product and would be responsible for 50% of all losses.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1" w:name="page42"/>
    <w:bookmarkEnd w:id="41"/>
    <w:p>
      <w:pPr>
        <w:ind w:firstLine="509"/>
        <w:spacing w:after="0" w:line="270" w:lineRule="auto"/>
        <w:rPr>
          <w:sz w:val="20"/>
          <w:szCs w:val="20"/>
          <w:color w:val="auto"/>
        </w:rPr>
      </w:pPr>
      <w:r>
        <w:rPr>
          <w:rFonts w:ascii="Arial" w:cs="Arial" w:eastAsia="Arial" w:hAnsi="Arial"/>
          <w:sz w:val="17"/>
          <w:szCs w:val="17"/>
          <w:color w:val="auto"/>
        </w:rPr>
        <w:t>If Bayer elects to exercise its option to co-develop and co-commercialize a product, Bayer will make a one-time $20.0 million payment, or the Option Payment, to us that will become non-refundable once the parties execute a Co-Commercialization Agreement with respect to such optioned product. The Option Payment is payable only once with respect to the first time Bayer exercises an option under the 2019 Option Agreement.</w:t>
      </w:r>
    </w:p>
    <w:p>
      <w:pPr>
        <w:spacing w:after="0" w:line="164"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In addition, following Bayer’s exercise of its option and/or the execution of a Co-Commercialization Agreement for an optioned product, for a period beginning on the effective date of such Co-Commercialization Agreement and ending on the earlier of the three-month anniversary of such effective date or during the 90-day negotiation process of such Co-Commercialization Agreement, Bayer has a right to negotiate an exclusive license to develop and commercialize such optioned product. If Bayer exercises such right, the parties will enter into an exclusive license agreement for such optioned product on terms mutually agreeable to the parties. Further, the Option Payment paid for such optioned product would become credited against payments due under such exclusive license or any other exclusive license entered into in connection with the 2019 Option Agreement.</w:t>
      </w:r>
    </w:p>
    <w:p>
      <w:pPr>
        <w:spacing w:after="0" w:line="16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Either party may terminate the 2019 Option Agreement upon the other party’s material breach, subject to specified notice and cure provisions. We may also terminate the 2019 Option Agreement in the event Bayer commences or participates in any action or proceeding challenging the validity or enforceability of any CRISPR patent necessary or useful for the research, development, manufacture or commercialization of a product that is the subject of the 2019 Option Agreement. Bayer may also terminate the 2019 Option Agreement upon our bankruptcy or insolvency, or for convenience at any time, after giving written notice.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80" w:firstLine="509"/>
        <w:spacing w:after="0" w:line="270" w:lineRule="auto"/>
        <w:rPr>
          <w:sz w:val="20"/>
          <w:szCs w:val="20"/>
          <w:color w:val="auto"/>
        </w:rPr>
      </w:pPr>
      <w:r>
        <w:rPr>
          <w:rFonts w:ascii="Arial" w:cs="Arial" w:eastAsia="Arial" w:hAnsi="Arial"/>
          <w:sz w:val="16"/>
          <w:szCs w:val="16"/>
          <w:color w:val="auto"/>
        </w:rPr>
        <w:t>We strive to protect and enhance the proprietary technology, inventions, know-how and improvements that we believe are commercially important to our business by seeking, maintaining, and defending patent rights, whether developed internally or licensed from third parties, that cover our gene-editing technology, and existing and planned therapeutic programs. We also rely on trade secret protection and confidentiality agreements to protect our proprietary technologies and know-how to protect aspects of our business that are not amenable to, or that we do not consider appropriate for, patent protection, as well as continuing technological innovation and seeking in-licensing opportunities to develop, strengthen and maintain our proprietary position in the field of gene editing. We additionally rely on trademark protection, copyright protection and regulatory protection available via orphan drug designations, data exclusivity, market exclusivity, and patent term extensions. Our success will depend significantly on our ability to obtain and maintain patent and other proprietary protection for our technology, our ability to defend and enforce our intellectual property rights and our ability to operate without infringing any valid and enforceable patents and proprietary rights of third parties. We also protect the integrity and confidentiality of our data, know-how and trade secrets by maintaining physical security of our premises and physical and electronic security of our information systems.</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In-Licensed Intellectual Property from Dr. Charpentier</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April 2014, pursuant to an exclusive license with Dr. Charpentier, we licensed certain rights to a worldwide patent portfolio which covers various aspects of our genome editing platform technology including, for example, compositions of matter, including additional CRISPR/TRACR/Cas9 complexes, and methods of use, including their use in targeting or cutting DNA. We refer to this worldwide patent portfolio as the “Patent Portfolio”. This Patent Portfolio to-date includes, for example, more than eighty-five (85) granted or allowed patents in the United States, United Kingdom, Germany, Europe, Japan, China, Ukraine, New Zealand, Singapore, Australia, Mexico, Tunisia, Hong Kong, Israel, Peru, the Philippines, and South Africa and pending patent applications in the United States, Europe, Canada, Mexico, Australia and other selected countries in Central America, South America, Asia and Africa. This license is limited to therapeutic products such as pharmaceuticals and biologics and any associated companion diagnostics, for the treatment or prevention of human diseases, disorders, or conditions. For further information about this license, please see “Business – CRISPR License with Dr. Charpentier.”</w:t>
      </w:r>
    </w:p>
    <w:p>
      <w:pPr>
        <w:spacing w:after="0" w:line="191"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In addition to Dr. Charpentier, the Patent Portfolio has named inventors who assigned their rights either to the Regents of the University of California, or California, or the University of Vienna, or Vienna. California’s rights are subject to certain overriding obligations to the sponsors of its research, including the Howard Hughes Medical Institute and the U.S. Government. Caribou Biosciences, or Caribou, had reported that it had an exclusive license to patent rights from California and Vienna, subject to a retained right to allow non-profit entities to use the inventions for research and educational purposes. Intellia Therapeutics, Inc., or Intellia Therapeutics, had reported that it had an exclusive license to such rights from Caribou in certain fields. We refer collectively to Dr. Charpentier, California, and Vienna as the “CVC Group”. We are subject to quasi-litigation, inter partes administrative proceedings in the U.S. Patent and Trademark Office, or USPTO, and the European Patent Office involving the Patent Portfolio. For further information regarding risks regarding these proceedings, please see “Risk Factors—Risks Related to Intellectual Property.”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2" w:name="page43"/>
    <w:bookmarkEnd w:id="42"/>
    <w:p>
      <w:pPr>
        <w:ind w:right="60" w:firstLine="509"/>
        <w:spacing w:after="0" w:line="269" w:lineRule="auto"/>
        <w:rPr>
          <w:sz w:val="20"/>
          <w:szCs w:val="20"/>
          <w:color w:val="auto"/>
        </w:rPr>
      </w:pPr>
      <w:r>
        <w:rPr>
          <w:rFonts w:ascii="Arial" w:cs="Arial" w:eastAsia="Arial" w:hAnsi="Arial"/>
          <w:sz w:val="16"/>
          <w:szCs w:val="16"/>
          <w:color w:val="auto"/>
        </w:rPr>
        <w:t xml:space="preserve">On December 15, 2016, we entered into a Consent to Assignments, Licensing and Common Ownership and Invention Management Agreement, or the IMA, with California, Vienna, Dr. Charpentier, Intellia Therapeutics, Caribou, ERS Genomics Ltd., or ERS, and our wholly-owned subsidiary TRACR Hematology Ltd., or TRACR. Under the IMA, California and Vienna retroactively consent to Dr. Charpentier’s licensing of her rights to the CRISPR/Cas9 intellectual property, pursuant to our license with Dr. Charpentier, to us, TRACR, and ERS, in the United States and globally. The IMA also provides retroactive consent of co-owners to sublicenses granted by us, TRACR and other licensees, prospective consent to sublicenses they may grant in future, retroactive approval of prior assignments by certain parties, and provides for, among other things, (i) good faith cooperation among the parties regarding patent maintenance, defense and prosecution, (ii) cost-sharing arrangements, and (iii) notice of and coordination in the event of third-party infringement of the subject patents and with respect to certain adverse claimants of the CRISPR/Cas9 intellectual property. Unless earlier terminated by the parties, the IMA will continue in effect until the later of the last expiration date of the patents underlying the gene-editing technology, or the date on which the last underlying patent application is abandoned. For further information regarding the effects of joint ownership in the United States and in other jurisdictions worldwide, please see “Risk Factor – </w:t>
      </w:r>
      <w:r>
        <w:rPr>
          <w:rFonts w:ascii="Arial" w:cs="Arial" w:eastAsia="Arial" w:hAnsi="Arial"/>
          <w:sz w:val="16"/>
          <w:szCs w:val="16"/>
          <w:i w:val="1"/>
          <w:iCs w:val="1"/>
          <w:color w:val="auto"/>
        </w:rPr>
        <w:t>The Intellectual Property That Protects Our Core Gene-Editing Technology Is Jointly Owned, And Our License Is</w:t>
      </w:r>
      <w:r>
        <w:rPr>
          <w:rFonts w:ascii="Arial" w:cs="Arial" w:eastAsia="Arial" w:hAnsi="Arial"/>
          <w:sz w:val="16"/>
          <w:szCs w:val="16"/>
          <w:color w:val="auto"/>
        </w:rPr>
        <w:t xml:space="preserve"> </w:t>
      </w:r>
      <w:r>
        <w:rPr>
          <w:rFonts w:ascii="Arial" w:cs="Arial" w:eastAsia="Arial" w:hAnsi="Arial"/>
          <w:sz w:val="16"/>
          <w:szCs w:val="16"/>
          <w:i w:val="1"/>
          <w:iCs w:val="1"/>
          <w:color w:val="auto"/>
        </w:rPr>
        <w:t>From Only One Of The Joint Owners, Materially Limiting Our Rights In The United States And In Other Jurisdictions</w:t>
      </w:r>
      <w:r>
        <w:rPr>
          <w:rFonts w:ascii="Arial" w:cs="Arial" w:eastAsia="Arial" w:hAnsi="Arial"/>
          <w:sz w:val="16"/>
          <w:szCs w:val="16"/>
          <w:color w:val="auto"/>
        </w:rPr>
        <w: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CRISPR-Owned Intellectual Property</w:t>
      </w:r>
    </w:p>
    <w:p>
      <w:pPr>
        <w:spacing w:after="0" w:line="104" w:lineRule="exact"/>
        <w:rPr>
          <w:sz w:val="20"/>
          <w:szCs w:val="20"/>
          <w:color w:val="auto"/>
        </w:rPr>
      </w:pPr>
    </w:p>
    <w:p>
      <w:pPr>
        <w:ind w:right="20" w:firstLine="509"/>
        <w:spacing w:after="0" w:line="207" w:lineRule="exact"/>
        <w:rPr>
          <w:sz w:val="20"/>
          <w:szCs w:val="20"/>
          <w:color w:val="auto"/>
        </w:rPr>
      </w:pPr>
      <w:r>
        <w:rPr>
          <w:rFonts w:ascii="Arial" w:cs="Arial" w:eastAsia="Arial" w:hAnsi="Arial"/>
          <w:sz w:val="17"/>
          <w:szCs w:val="17"/>
          <w:color w:val="auto"/>
        </w:rPr>
        <w:t>In addition to the Patent Portfolio, we have a broad intellectual property estate that includes numerous patent families covering key aspects of our CRISPR/Cas9 technologies and development programs which is intended to provide multiple layers of protection. These patent families encompass filings covering our development programs (such as composition of matter, method of use, manufacturing processes, dosing and formulations), the use and improvement modifications of CRISPR/Cas9 systems for gene editing (such as improvements to component systems including nucleases and single or modified guide RNAs), technologies for delivering protein/nucleic acid complexes and RNA into cells (such as improved viral vector systems and self</w:t>
      </w:r>
      <w:r>
        <w:rPr>
          <w:rFonts w:ascii="MS PGothic" w:cs="MS PGothic" w:eastAsia="MS PGothic" w:hAnsi="MS PGothic"/>
          <w:sz w:val="17"/>
          <w:szCs w:val="17"/>
          <w:color w:val="auto"/>
        </w:rPr>
        <w:t>‑</w:t>
      </w:r>
      <w:r>
        <w:rPr>
          <w:rFonts w:ascii="Arial" w:cs="Arial" w:eastAsia="Arial" w:hAnsi="Arial"/>
          <w:sz w:val="17"/>
          <w:szCs w:val="17"/>
          <w:color w:val="auto"/>
        </w:rPr>
        <w:t>inactivating systems), and technology relevant to stem cell-based therapies.</w:t>
      </w:r>
    </w:p>
    <w:p>
      <w:pPr>
        <w:spacing w:after="0" w:line="190"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Overall, our intellectual property estate includes over ninety (90) active patent families and over forty (40) granted or allowed patents in the United States, China, Europe, and South Africa, and pending patent applications in the United States, Europe, Australia, Canada, China, Japan, Mexico and other selected countries in Central America, South America, the Middle East, Asia and Africa. The granted patents and any other patents that may ultimately issue from these patent families are expected to expire starting in 2033, not including any applicable patent term extensions.</w:t>
      </w:r>
    </w:p>
    <w:p>
      <w:pPr>
        <w:spacing w:after="0" w:line="15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U.S. trademark estate consists of ten (10) pending applications, including for CTX001, CTX110, CTX120, CTX130, CRISPR TX, and CRISPR THERAPEUTICS, as well as five U.S. registrations, including for CRISPR THERAPEUTICS and the CRISPR THERAPEUTICS logo. Our international trademark estate consists of multiple pending applications and registrations, including two pending applications for CRISPR THERAPEUTICS in Germany and Italy and three registrations in UK, Spain and Benelux, and thirteen (13) registrations for CRISPR THERAPEUTICS &amp; DESIGN in Brazil, Benelux and Hong Kong, Italy, South Africa and Spain. We also have five International Registrations, including for CTX001 designating the EU, Switzerland, and UK, and CRISPR THERAPEUTICS logo designating Australia, Canada, Switzerland, Japan, Korea, Mexico, Russia, Singapore, Vietnam and UK.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Assignment Agreement</w:t>
      </w:r>
    </w:p>
    <w:p>
      <w:pPr>
        <w:spacing w:after="0" w:line="108"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In November 2014, we entered into a patent assignment agreement with Dr. Charpentier, Dr. Ines Fonfara and Vienna, or the Patent Assignment Agreement. Under the Patent Assignment Agreement, Dr. Charpentier, Dr. Fonfara and Vienna assigned to us all rights to a family of patent applications relating to certain compositions of matter, including additional CRISPR/TRACR/Cas9 complexes, and methods of use, including their use in targeting or cutting DNA.</w:t>
      </w:r>
    </w:p>
    <w:p>
      <w:pPr>
        <w:spacing w:after="0" w:line="188" w:lineRule="exact"/>
        <w:rPr>
          <w:sz w:val="20"/>
          <w:szCs w:val="20"/>
          <w:color w:val="auto"/>
        </w:rPr>
      </w:pPr>
    </w:p>
    <w:p>
      <w:pPr>
        <w:ind w:right="160" w:firstLine="509"/>
        <w:spacing w:after="0" w:line="294" w:lineRule="auto"/>
        <w:rPr>
          <w:sz w:val="20"/>
          <w:szCs w:val="20"/>
          <w:color w:val="auto"/>
        </w:rPr>
      </w:pPr>
      <w:r>
        <w:rPr>
          <w:rFonts w:ascii="Arial" w:cs="Arial" w:eastAsia="Arial" w:hAnsi="Arial"/>
          <w:sz w:val="16"/>
          <w:szCs w:val="16"/>
          <w:color w:val="auto"/>
        </w:rPr>
        <w:t>As consideration for the patent rights assigned to us, we agreed to pay an upfront payment, milestone payments beginning with the filing of a U.S. Investigational New Drug application or its equivalent in another country, a minimum annual royalty, a low single-digit royalty on net sales of products whose manufacture, use, sale, or importation is covered by the assigned patent rights, and a low single-digit percentage of licensing revenues.</w:t>
      </w:r>
    </w:p>
    <w:p>
      <w:pPr>
        <w:spacing w:after="0" w:line="147" w:lineRule="exact"/>
        <w:rPr>
          <w:sz w:val="20"/>
          <w:szCs w:val="20"/>
          <w:color w:val="auto"/>
        </w:rPr>
      </w:pPr>
    </w:p>
    <w:p>
      <w:pPr>
        <w:jc w:val="both"/>
        <w:ind w:right="660" w:firstLine="509"/>
        <w:spacing w:after="0" w:line="270" w:lineRule="auto"/>
        <w:rPr>
          <w:sz w:val="20"/>
          <w:szCs w:val="20"/>
          <w:color w:val="auto"/>
        </w:rPr>
      </w:pPr>
      <w:r>
        <w:rPr>
          <w:rFonts w:ascii="Arial" w:cs="Arial" w:eastAsia="Arial" w:hAnsi="Arial"/>
          <w:sz w:val="17"/>
          <w:szCs w:val="17"/>
          <w:color w:val="auto"/>
        </w:rPr>
        <w:t>We are obligated to use commercially reasonable efforts to obtain regulatory approval to market a product whose manufacture, use, sale, or importation is covered by the assigned patent rights, including but not limited to an obligation to use commercially reasonable efforts to file a U.S. Investigational New Drug application (or its equivalent in a major market country) by November 2021.</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License Agreements</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CRISPR License With Dr. Charpentier</w:t>
      </w:r>
    </w:p>
    <w:p>
      <w:pPr>
        <w:spacing w:after="0" w:line="90"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April 2014, we entered into a license agreement, or the Charpentier License Agreement, with Dr. Charpentier, one of our co-founders, pursuant to which we received an exclusive license under Dr. Charpentier’s joint ownership interest in the Patent Portfolio, to research, develop and commercialize therapeutic products such as pharmaceuticals or biological preparations, and any associated companion diagnostics, for the treatment or prevention of human diseases, disorders, or conditions, other than hemoglobinopathies, which we refer to as the CRISPR Field. The license is exclusive, even as to Dr. Charpentier, except that she retains a non-transferable right to use the technology for her own research purposes and in research collaborations with academic and non-profit partners. The exclusive license is granted only under Dr. Charpentier’s interest in the patent applications and the exclusivity is not granted under any other joint owner’s interest. Additionally, the Charpentier License Agreement granted us an exclusive, worldwide, royalty-free sublicense, including the right to sublicense, to research, develop, produce, commercialize and sell therapeutic products relating to the CRISPR Field which incorporate any intellectual property that TRACR develops under its license with Dr. Charpentier. In turn, we granted to Dr. Charpentier an exclusive license with the obligation to sublicense to TRACR any intellectual property we develop under the license with Dr. Charpentier for treatment and prevention of hemoglobinopathies in humans, including, without limitation, sickle cell disease and thalassemia.</w:t>
      </w:r>
    </w:p>
    <w:p>
      <w:pPr>
        <w:spacing w:after="0" w:line="186"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Under the terms of the Charpentier License Agreement, as consideration for the license, Dr. Charpentier received a technology transfer fee, an immaterial annual maintenance fee, immaterial milestone payments that will be due after the initiation of clinical trials, a low single digit percentage royalty on net sales of licensed products, and a low single digit percentage royalties of sublicensing revenue. We are obligated to use commercially reasonable efforts to obtain regulatory approval to market a licensed therapeutic product. We must use commercially reasonable efforts to file a U.S. Investigational New Drug application (or its equivalent in a major market country for a therapeutic product in the CRISPR field) by April 2021. In addition, we must use commercially reasonable efforts to file a U.S. Investigational New Drug application (or its equivalent in a major market country) for a therapeutic product in the CRISPR field by April 2024.</w:t>
      </w:r>
    </w:p>
    <w:p>
      <w:pPr>
        <w:spacing w:after="0" w:line="180"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Unless terminated earlier, the term of the Charpentier License Agreement will expire on a country-by-country basis, upon the expiration of the last to expire valid claim of the Patent Portfolio in such country. We have the right to terminate the agreement at will upon 60 days’ written notice to Dr. Charpentier. We and Dr. Charpentier may terminate the agreement upon 90 days’ notice in the event of a material breach by the other party, which is not cured during the 90-day notice period. Dr. Charpentier may terminate the license agreement immediately if we challenge the enforceability, validity, or scope of any Patent Portfolio.</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TRACR License With Dr. Charpentier</w:t>
      </w:r>
    </w:p>
    <w:p>
      <w:pPr>
        <w:spacing w:after="0" w:line="90"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In April 2014, concurrently with our license agreement with Dr. Charpentier, TRACR entered into a license agreement, or the TRACR License Agreement, with Dr. Charpentier, a minority shareholder of TRACR, under the Patent Portfolio. Pursuant to the TRACR License Agreement, TRACR was granted an exclusive, worldwide, royalty-bearing license, including the right to sublicense, to research, develop, produce, commercialize and sell therapeutic and diagnostic products for the treatment and prevention of hemoglobinopathies in humans, including sickle cell disease and thalassemia, or the TRACR Field. TRACR also received a non-exclusive, worldwide, royalty-free license, including the right to sublicense, to carry out internal pharmaceutical research for therapeutic products outside of the TRACR Field and an exclusive, worldwide, royalty-free sublicense, including the right to sublicense, to research, develop, produce, commercialize and sell therapeutic products relating to the TRACR Field which incorporate any intellectual property that CRISPR develops under its license with Dr. Charpentier. In turn, TRACR granted to Dr. Charpentier an exclusive license to sublicense to CRISPR any intellectual property that TRACR develops under the license with Dr. Charpentier for use in the CRISPR Field.</w:t>
      </w:r>
    </w:p>
    <w:p>
      <w:pPr>
        <w:spacing w:after="0" w:line="169"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TRACR is obligated to use commercially reasonable efforts to research, develop, and commercialize at least one therapeutic product for the prevention or treatment of human disease under the license agreement. TRACR must use commercially reasonable efforts to file a U.S. Investigational New Drug application (or its equivalent in a major market country) for a therapeutic product in the TRACR field by April 2021. In addition, TRACR must use commercially reasonable efforts to file a U.S. Investigational New Drug application (or its equivalent in a major market country) for a therapeutic product in the TRACR field by April 2024. TRACR is solely responsible for all clinical, regulatory and development costs.</w:t>
      </w:r>
    </w:p>
    <w:p>
      <w:pPr>
        <w:spacing w:after="0" w:line="174" w:lineRule="exact"/>
        <w:rPr>
          <w:sz w:val="20"/>
          <w:szCs w:val="20"/>
          <w:color w:val="auto"/>
        </w:rPr>
      </w:pPr>
    </w:p>
    <w:p>
      <w:pPr>
        <w:jc w:val="both"/>
        <w:ind w:right="60" w:firstLine="509"/>
        <w:spacing w:after="0" w:line="294" w:lineRule="auto"/>
        <w:rPr>
          <w:sz w:val="20"/>
          <w:szCs w:val="20"/>
          <w:color w:val="auto"/>
        </w:rPr>
      </w:pPr>
      <w:r>
        <w:rPr>
          <w:rFonts w:ascii="Arial" w:cs="Arial" w:eastAsia="Arial" w:hAnsi="Arial"/>
          <w:sz w:val="16"/>
          <w:szCs w:val="16"/>
          <w:color w:val="auto"/>
        </w:rPr>
        <w:t>Under the TRACR License Agreement, Dr. Charpentier is entitled to receive immaterial clinical and regulatory milestone payments per product that TRACR commercializes. TRACR is also required to pay Dr. Charpentier low single digit percentage royalties on the net sales of any approved therapeutic or diagnostic products, made by it, its affiliates, or its sublicensees and low single-digit percentage royalties on sublicensing revenue.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44" w:name="page45"/>
    <w:bookmarkEnd w:id="44"/>
    <w:p>
      <w:pPr>
        <w:ind w:right="100" w:firstLine="509"/>
        <w:spacing w:after="0" w:line="241" w:lineRule="auto"/>
        <w:rPr>
          <w:sz w:val="20"/>
          <w:szCs w:val="20"/>
          <w:color w:val="auto"/>
        </w:rPr>
      </w:pPr>
      <w:r>
        <w:rPr>
          <w:rFonts w:ascii="Arial" w:cs="Arial" w:eastAsia="Arial" w:hAnsi="Arial"/>
          <w:sz w:val="18"/>
          <w:szCs w:val="18"/>
          <w:color w:val="auto"/>
        </w:rPr>
        <w:t>Unless terminated earlier, the term of the license agreement will expire on a country-by-country basis, upon the expiration of the last to expire valid claim of the Patent Portfolio in such country. TRACR has the right to terminate the agreement at will upon 60 days’ written notice to Dr. Charpentier. TRACR and Dr. Charpentier may terminate the agreement upon 90 days’ notice in the event of a material breach by the other party, which is not cured during the 90-day notice period. Dr. Charpentier may terminate the license agreement immediately if TRACR challenges the enforceability, validity, or scope of any Patent Right.</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Enabling Technologies</w:t>
      </w:r>
    </w:p>
    <w:p>
      <w:pPr>
        <w:spacing w:after="0" w:line="212"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 xml:space="preserve">We have entered into a number of additional collaborations and license agreements in support of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programs, including agreements related to: technologies to deliver CRISPR/Cas9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additions to our hematopoietic stem cell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programs, including a grant to advance gene-editing therapies for HIV; and enhancements to our immuno-oncology and regenerative medicine cell therapy programs and platform. For example, we have entered into agreements, including with MaxCyte Incorporated on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delivery for our hemoglobinopathy and immuno-oncology programs, CureVac AG on optimized mRNA constructs and manufacturing for certain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programs, ProBioGen AG on the development of novel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delivery modalities, KSQ Therapeutics Incorporated on intellectual property for our allogeneic immuno-oncology programs and University Health Network on regenerative medicine cell therapies for a number of different diseases.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manufacturing processes for cell and genetic therapies are complex and require customized systems, equipment, facilities and expertise for each program and therapy. In the second quarter of 2020, we announced an investment to construct our own cell therapy manufacturing facility for clinical and commercial production of our cell therapy product candidates in Framingham, Massachusetts. In the fourth quarter of 2021, we began the regulatory validation activities, including compliance with current Good Manufacturing Practice, or cGMP, for this facility to enable us to produce clinical cell therapy product supply in the future. The facility comprises approximately 50,249 square feet.</w:t>
      </w:r>
    </w:p>
    <w:p>
      <w:pPr>
        <w:spacing w:after="0" w:line="17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will continue to rely on external manufacturing capabilities realized via contract manufacturing organization relationships in the United States and abroad. We have entered into certain manufacturing and supply arrangements with third-party suppliers to support production of our product candidates and their components. We plan to continue to rely on qualified third-party organizations to produce or process bulk compounds, formulated compounds, viral vectors or engineered cells for IND-supporting activities and early stage clinical trials. We expect that commercial quantities of any compound, vector, or engineered cells that we may seek to develop will be manufactured in facilities and by processes that comply with FDA and other regulations. At the appropriate time in the product development process, we will determine whether to utilize our own manufacturing facility or continue to rely on third parties to manufacture commercial quantities of any products that we may successfully develop.</w:t>
      </w:r>
    </w:p>
    <w:p>
      <w:pPr>
        <w:spacing w:after="0" w:line="180" w:lineRule="exact"/>
        <w:rPr>
          <w:sz w:val="20"/>
          <w:szCs w:val="20"/>
          <w:color w:val="auto"/>
        </w:rPr>
      </w:pPr>
    </w:p>
    <w:p>
      <w:pPr>
        <w:ind w:right="380" w:firstLine="509"/>
        <w:spacing w:after="0" w:line="324" w:lineRule="auto"/>
        <w:rPr>
          <w:sz w:val="20"/>
          <w:szCs w:val="20"/>
          <w:color w:val="auto"/>
        </w:rPr>
      </w:pPr>
      <w:r>
        <w:rPr>
          <w:rFonts w:ascii="Arial" w:cs="Arial" w:eastAsia="Arial" w:hAnsi="Arial"/>
          <w:sz w:val="16"/>
          <w:szCs w:val="16"/>
          <w:color w:val="auto"/>
        </w:rPr>
        <w:t>We continue to expect to make significant investment in our manufacturing capabilities in Framingham, Massachusetts and in partnerships with third-party organizations for our gene-editing programs in order to continue to advance and, in the future, commercialize these programs.</w:t>
      </w:r>
    </w:p>
    <w:p>
      <w:pPr>
        <w:spacing w:after="0" w:line="124"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In addition, as product candidates advance through our pipeline, our commercial plans may change. In particular, some of our research programs target potentially larger indications. Data, the size of the development programs, the size of the target market, the size of a commercial infrastructure and manufacturing needs may all influence our strategies in the United States, Europe and the rest of the world. Outside of the United States and Europe, where appropriate, we may elect in the future to utilize strategic partners, distributors or contract sales forces to assist in the commercialization of our products. In certain instances, we may consider building our own commercial infrastructure.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biotechnology and pharmaceutical industries, including in the gene editing, gene therapy and cell therapy fields, are characterized by rapidly advancing technologies, intense competition and a strong emphasis on intellectual property and proprietary products. While we believe that our technology, development experience and scientific knowledge provide us with competitive advantages, we currently face, and will continue to face, substantial competition from many different sources, including large pharmaceutical, specialty pharmaceutical and biotechnology companies; academic institutions and governmental agencies; and public and private research institutions, some or all of which may have greater access to capital or resources than we do. For any products that we may ultimately commercialize, not only will we compete with any existing therapies and those therapies currently in development, but we will also have to compete with new therapies that may become available in the future.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ind w:right="80" w:firstLine="509"/>
        <w:spacing w:after="0" w:line="248" w:lineRule="auto"/>
        <w:rPr>
          <w:sz w:val="20"/>
          <w:szCs w:val="20"/>
          <w:color w:val="auto"/>
        </w:rPr>
      </w:pPr>
      <w:r>
        <w:rPr>
          <w:rFonts w:ascii="Arial" w:cs="Arial" w:eastAsia="Arial" w:hAnsi="Arial"/>
          <w:sz w:val="18"/>
          <w:szCs w:val="18"/>
          <w:color w:val="auto"/>
        </w:rPr>
        <w:t>We compete in the segments of the pharmaceutical, biotechnology and other related markets that utilize technologies encompassing genomic medicines to create therapies, including gene editing, gene therapy and cell therapy. In addition, we compete with companies working to develop therapies in areas related to our specific research and development programs.</w:t>
      </w:r>
    </w:p>
    <w:p>
      <w:pPr>
        <w:spacing w:after="0" w:line="18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platform and product focus is on the development of therapies using CRISPR/Cas9 gene-editing technology. We are aware of several companies focused on developing therapies in various indications using CRISPR/Cas9 gene-editing technology, including Intellia Therapeutics and Editas Medicine. In addition, several academic groups have developed new gene-editing technologies based on CRISPR/Cas9, such as base editing and prime editing, that may have utility in therapeutic development. Companies seeking to develop therapies based on these technologies include Beam Therapeutics and Prime Medicine.</w:t>
      </w:r>
    </w:p>
    <w:p>
      <w:pPr>
        <w:spacing w:after="0" w:line="189" w:lineRule="exact"/>
        <w:rPr>
          <w:sz w:val="20"/>
          <w:szCs w:val="20"/>
          <w:color w:val="auto"/>
        </w:rPr>
      </w:pPr>
    </w:p>
    <w:p>
      <w:pPr>
        <w:ind w:right="480" w:firstLine="509"/>
        <w:spacing w:after="0" w:line="324" w:lineRule="auto"/>
        <w:rPr>
          <w:sz w:val="20"/>
          <w:szCs w:val="20"/>
          <w:color w:val="auto"/>
        </w:rPr>
      </w:pPr>
      <w:r>
        <w:rPr>
          <w:rFonts w:ascii="Arial" w:cs="Arial" w:eastAsia="Arial" w:hAnsi="Arial"/>
          <w:sz w:val="17"/>
          <w:szCs w:val="17"/>
          <w:color w:val="auto"/>
        </w:rPr>
        <w:t>There are also companies developing therapies using additional gene-editing technologies, such as TALENs, meganucleases and ZFNs. These companies include 2seventy bio, Allogene Therapeutics, Cellectis, Precision BioSciences and Sangamo Therapeutics.</w:t>
      </w:r>
    </w:p>
    <w:p>
      <w:pPr>
        <w:spacing w:after="0" w:line="13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 xml:space="preserve">We are also aware of companies developing therapies in various areas related to our specific research and development programs. In hemoglobinopathies, these companies include Acceleron Pharma, Aruvant Therapeutics, Beam Therapeutics, bluebird bio, Editas Medicine, Global Blood Therapeutics, Novartis Pharmaceuticals, and Sangamo Therapeutics. In immuno-oncology, these companies include 2seventy bio, Allogene Therapeutics, Bristol Myers Squibb, Caribou Biosciences, Cellectis, Fate Therapeutics, Gilead Sciences, Legend Biotech, Novartis Pharmaceuticals, Poseida Therapeutics and Precision BioSciences. In regenerative medicine, these companies include BlueRock Therapeutics (acquired by Bayer in 2019), Sana Biotechnology and Semma Therapeutics (acquired by Vertex in 2019). In </w:t>
      </w:r>
      <w:r>
        <w:rPr>
          <w:rFonts w:ascii="Arial" w:cs="Arial" w:eastAsia="Arial" w:hAnsi="Arial"/>
          <w:sz w:val="18"/>
          <w:szCs w:val="18"/>
          <w:i w:val="1"/>
          <w:iCs w:val="1"/>
          <w:color w:val="auto"/>
        </w:rPr>
        <w:t>in vivo</w:t>
      </w:r>
      <w:r>
        <w:rPr>
          <w:rFonts w:ascii="Arial" w:cs="Arial" w:eastAsia="Arial" w:hAnsi="Arial"/>
          <w:sz w:val="18"/>
          <w:szCs w:val="18"/>
          <w:color w:val="auto"/>
        </w:rPr>
        <w:t>, these companies include Editas Medicine, Intellia Therapeutics, Sarepta Therapeutics, Ultragenyx and Verve Therapeutics.</w:t>
      </w:r>
    </w:p>
    <w:p>
      <w:pPr>
        <w:spacing w:after="0" w:line="191"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Gene editing is a highly active field of research and new technologies, related or unrelated to CRISPR, may be discovered and create new competition. These new technologies could have advantages over CRISPR/Cas9 gene editing in some applications and there can be no certainty that other gene-editing technologies will not be considered better or more attractive than our technology for the development of products. For example, Cas9 may be determined to be less attractive than other CRISPR proteins, such as Cas12a or novel Cas enzymes that have yet to be discovered, or other CRISPR-associated nuclease variants that can edit human DNA, such as base editors and prime editors.</w:t>
      </w:r>
    </w:p>
    <w:p>
      <w:pPr>
        <w:spacing w:after="0" w:line="174"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In addition to competition from other gene-editing therapies or gene or cell therapies, any product we may develop may also face competition from other types of therapies, such as small molecule, antibody or protein therapies. In addition, new scientific discoveries may cause CRISPR/Cas9 technology, or gene editing as a whole, to be considered an inferior form of therapy.</w:t>
      </w:r>
    </w:p>
    <w:p>
      <w:pPr>
        <w:spacing w:after="0" w:line="182"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addition, 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and cell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have broader acceptance and higher rates of reimbursement by third-party payors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 The key competitive factors affecting the success of all of our programs are likely to be their efficacy, safety, convenience, and availability of reimbursement.</w:t>
      </w:r>
    </w:p>
    <w:p>
      <w:pPr>
        <w:spacing w:after="0" w:line="168" w:lineRule="exact"/>
        <w:rPr>
          <w:sz w:val="20"/>
          <w:szCs w:val="20"/>
          <w:color w:val="auto"/>
        </w:rPr>
      </w:pPr>
    </w:p>
    <w:p>
      <w:pPr>
        <w:ind w:right="200" w:firstLine="509"/>
        <w:spacing w:after="0" w:line="254" w:lineRule="auto"/>
        <w:rPr>
          <w:sz w:val="20"/>
          <w:szCs w:val="20"/>
          <w:color w:val="auto"/>
        </w:rPr>
      </w:pPr>
      <w:r>
        <w:rPr>
          <w:rFonts w:ascii="Arial" w:cs="Arial" w:eastAsia="Arial" w:hAnsi="Arial"/>
          <w:sz w:val="17"/>
          <w:szCs w:val="17"/>
          <w:color w:val="auto"/>
        </w:rPr>
        <w:t>If our current programs are approved for the indications for which we are currently planning clinical trials, they may compete with other products currently under development, including gene editing, gene therapy, and cell therapy products. Competition with other related products currently under development may include competition for clinical trial sites, patient recruitment, and product sales. In addition, due to the intense research and development taking place in the gene-editing field, including by us and our competitors, the intellectual property landscape is in flux and highly competitive. There may be significant intellectual property related litigation and proceedings relating to our owned and in-licensed, and other third-party, intellectual property and proprietary rights in the future. For example, see our discussion of the ‘048 interference, the ‘115 interference and European opposition proceedings in “</w:t>
      </w:r>
      <w:r>
        <w:rPr>
          <w:rFonts w:ascii="Arial" w:cs="Arial" w:eastAsia="Arial" w:hAnsi="Arial"/>
          <w:sz w:val="17"/>
          <w:szCs w:val="17"/>
          <w:i w:val="1"/>
          <w:iCs w:val="1"/>
          <w:color w:val="auto"/>
        </w:rPr>
        <w:t>Risk Factors – Risks Related to Intellectual Property - Third-party Claims Of Intellectual Property Infringement Against Us,</w:t>
      </w:r>
      <w:r>
        <w:rPr>
          <w:rFonts w:ascii="Arial" w:cs="Arial" w:eastAsia="Arial" w:hAnsi="Arial"/>
          <w:sz w:val="17"/>
          <w:szCs w:val="17"/>
          <w:color w:val="auto"/>
        </w:rPr>
        <w:t xml:space="preserve"> </w:t>
      </w:r>
      <w:r>
        <w:rPr>
          <w:rFonts w:ascii="Arial" w:cs="Arial" w:eastAsia="Arial" w:hAnsi="Arial"/>
          <w:sz w:val="17"/>
          <w:szCs w:val="17"/>
          <w:i w:val="1"/>
          <w:iCs w:val="1"/>
          <w:color w:val="auto"/>
        </w:rPr>
        <w:t>Our Licensors Or Our Collaborators May Prevent Or Delay Our Product Discovery and Development Efforts.</w:t>
      </w:r>
      <w:r>
        <w:rPr>
          <w:rFonts w:ascii="Arial" w:cs="Arial" w:eastAsia="Arial" w:hAnsi="Arial"/>
          <w:sz w:val="17"/>
          <w:szCs w:val="17"/>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ind w:right="280" w:firstLine="509"/>
        <w:spacing w:after="0" w:line="257"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Some jurisdictions outside of the United States also regulate the pricing of such products. The processes for obtaining marketing approvals in the United States and in other countries and jurisdictions, along with subsequent compliance with applicable statutes and regulations and other regulatory authorities, require the expenditure of substantial time and financial resources.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Licensure and Regulation of Biologics in the United States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the United States, our product candidates are regulated as biological products, or biologics, under the Public Health Service Act, or PHSA, and the Federal Food, Drug, and Cosmetic Act, or FDCA, and their implementing regulations. The failure to comply with the applicable U.S. requirements at any time during the product development process, including nonclinical testing, clinical testing, the approval process or post-approval process, may subject an applicant to delays in the conduct of a study,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untitled or warning letters, adverse publicity, product recalls, product seizures, total or partial suspension of production or distribution, injunctions, fines, and civil or criminal investigations and penalties brought by the FDA or the Department of Justice or other governmental entities.</w:t>
      </w:r>
    </w:p>
    <w:p>
      <w:pPr>
        <w:spacing w:after="0" w:line="194"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An applicant seeking approval to market and distribute a new biologic in the United States generally must satisfactorily complete each of the following steps:</w:t>
      </w:r>
    </w:p>
    <w:p>
      <w:pPr>
        <w:spacing w:after="0" w:line="63" w:lineRule="exact"/>
        <w:rPr>
          <w:sz w:val="20"/>
          <w:szCs w:val="20"/>
          <w:color w:val="auto"/>
        </w:rPr>
      </w:pPr>
    </w:p>
    <w:p>
      <w:pPr>
        <w:ind w:left="1020" w:right="8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all performed in accordance with the FDA’s Good Laboratory Practice, or GLP, regulations;</w:t>
      </w:r>
    </w:p>
    <w:p>
      <w:pPr>
        <w:spacing w:after="0" w:line="62"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submission to the FDA of an IND application for human clinical testing, which must become effective before human clinical trials may begin;</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each clinical trial may be initiated, or by a central IRB if appropriate;</w:t>
      </w:r>
    </w:p>
    <w:p>
      <w:pPr>
        <w:spacing w:after="0" w:line="62"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the FDA’s Good Clinical Practice, or GCP, regulations;</w:t>
      </w:r>
    </w:p>
    <w:p>
      <w:pPr>
        <w:spacing w:after="0" w:line="62" w:lineRule="exact"/>
        <w:rPr>
          <w:rFonts w:ascii="Arial" w:cs="Arial" w:eastAsia="Arial" w:hAnsi="Arial"/>
          <w:sz w:val="18"/>
          <w:szCs w:val="18"/>
          <w:color w:val="auto"/>
        </w:rPr>
      </w:pPr>
    </w:p>
    <w:p>
      <w:pPr>
        <w:jc w:val="both"/>
        <w:ind w:left="1020" w:right="180" w:hanging="503"/>
        <w:spacing w:after="0" w:line="248"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preparation and submission to the FDA of a Biologics License Application, or BLA, for a biologic product requesting marketing for one or more proposed indications, including submission of detailed information on the manufacture and composition of the product and proposed labeling;</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 of the product by an FDA advisory committee, where appropriate or if applicable;</w:t>
      </w:r>
    </w:p>
    <w:p>
      <w:pPr>
        <w:spacing w:after="0" w:line="103" w:lineRule="exact"/>
        <w:rPr>
          <w:rFonts w:ascii="Arial" w:cs="Arial" w:eastAsia="Arial" w:hAnsi="Arial"/>
          <w:sz w:val="18"/>
          <w:szCs w:val="18"/>
          <w:color w:val="auto"/>
        </w:rPr>
      </w:pPr>
    </w:p>
    <w:p>
      <w:pPr>
        <w:ind w:left="1020" w:right="160" w:hanging="503"/>
        <w:spacing w:after="0" w:line="24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 and, if applicable, the FDA’s current good tissue practice, or CGTP, for the use of human cellular and tissue products;</w:t>
      </w:r>
    </w:p>
    <w:p>
      <w:pPr>
        <w:spacing w:after="0" w:line="79"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study and clinical trial sites to assure compliance with GLPs and GCPs, respectively, and the integrity of clinical data in support of the BLA;</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and</w:t>
      </w:r>
    </w:p>
    <w:p>
      <w:pPr>
        <w:spacing w:after="0" w:line="103" w:lineRule="exact"/>
        <w:rPr>
          <w:rFonts w:ascii="Arial" w:cs="Arial" w:eastAsia="Arial" w:hAnsi="Arial"/>
          <w:sz w:val="18"/>
          <w:szCs w:val="18"/>
          <w:color w:val="auto"/>
        </w:rPr>
      </w:pPr>
    </w:p>
    <w:p>
      <w:pPr>
        <w:ind w:left="1020" w:right="620" w:hanging="503"/>
        <w:spacing w:after="0" w:line="291"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the potential requirement to implement a Risk Evaluation and Mitigation Strategy, or REMS, adverse event reporting, and compliance with any post-approval studies required by the FDA.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47" w:name="page48"/>
    <w:bookmarkEnd w:id="47"/>
    <w:p>
      <w:pPr>
        <w:ind w:left="260"/>
        <w:spacing w:after="0"/>
        <w:rPr>
          <w:sz w:val="20"/>
          <w:szCs w:val="20"/>
          <w:color w:val="auto"/>
        </w:rPr>
      </w:pPr>
      <w:r>
        <w:rPr>
          <w:rFonts w:ascii="Arial" w:cs="Arial" w:eastAsia="Arial" w:hAnsi="Arial"/>
          <w:sz w:val="18"/>
          <w:szCs w:val="18"/>
          <w:i w:val="1"/>
          <w:iCs w:val="1"/>
          <w:color w:val="auto"/>
        </w:rPr>
        <w:t>Preclinical Studies and Investigational New Drug Application</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Before testing any biologic product candidate in humans, including a gene therapy product candidate, the product candidate must undergo preclinical testing. Preclinical tests include laboratory evaluations of product chemistry, formulation and stability, as well as studies to evaluate the potential for efficacy and toxicity in animals.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The IND automatically becomes effective 30 days after receipt by the FDA, unless before that time the FDA imposes a clinical hold based on concerns or questions about the product or conduct of the proposed clinical trial, including concerns that human research subjects would be exposed to unreasonable and significant health risks. In that case, the IND sponsor and the FDA must resolve any outstanding FDA concerns before the clinical trials can begin.</w:t>
      </w:r>
    </w:p>
    <w:p>
      <w:pPr>
        <w:spacing w:after="0" w:line="19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As a result, submission of the IND may result in the FDA not allowing the trials to commence or not allowing the trial to commence on the terms originally specified by the sponsor in the IND. If the FDA raises concerns or questions either during this initial 30-day period, or at any time during the conduct of the IND study, including safety concerns or concerns due to non-compliance, it may impose a partial or complete clinical hold. This order issued by the FDA would either delay a proposed clinical study or cause suspension of an ongoing study, or in the case of a partial clinical hold limit a study, until all outstanding concerns have been adequately addressed and the FDA has notified the company that investigations may proceed or recommence but only under terms authorized by the FDA. This could cause significant delays or difficulties in completing planned clinical studies in a timely manner.</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Human Clinical Trials in Support of a BLA</w:t>
      </w:r>
    </w:p>
    <w:p>
      <w:pPr>
        <w:spacing w:after="0" w:line="104"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to be treated under the supervision of a qualified principal investigator in accordance with GCP requirements. Clinical trials are conducted under study protocols detailing, among other things, the objectives of the study, inclusion and exclusion criteria, the parameters to be used in monitoring safety, and the effectiveness criteria to be evaluated. A protocol for each clinical trial and subsequent protocol amendments must be submitted to the FDA as part of the IND.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48" w:name="page49"/>
    <w:bookmarkEnd w:id="48"/>
    <w:p>
      <w:pPr>
        <w:ind w:right="200" w:firstLine="509"/>
        <w:spacing w:after="0" w:line="243"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If a non-U.S. clinical trial is not conducted under an IND, the sponsor may submit data from a well-designed and well-conducted clinical trial to the FDA in support of the BLA so long as the clinical trial is conducted in compliance with GCP and the FDA is able to validate the data from the study through an onsite inspection if the FDA deems it necessary.</w:t>
      </w:r>
    </w:p>
    <w:p>
      <w:pPr>
        <w:spacing w:after="0" w:line="188"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Further, each clinical trial must be reviewed and approved by an IRB either centrally or individually at each institution at which the clinical trial will be conducted. The IRB will consider, among other things, clinical trial design, subject informed consent, ethical factors, and the safety of human subjects. An IRB must operate in compliance with FDA regulations. The FDA or the clinical trial sponsor may suspend or terminate a clinical trial at any time for various reasons, including a finding that the clinical trial is not being conducted in accordance with FDA requirements or the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Clinical testing also must satisfy extensive GCP rules and the requirements for informed consent. Additionally, some clinical trials are overseen by an independent group of qualified experts organized by the clinical trial sponsor, known as a data safety monitoring board or committee. This group may recommend continuation of the study as planned, changes in study conduct, or cessation of the study at designated check points based on access to certain data from the study.</w:t>
      </w:r>
    </w:p>
    <w:p>
      <w:pPr>
        <w:spacing w:after="0" w:line="169"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In addition to the submission of an IND to the FDA before initiation of a clinical trial in the United States, certain human clinical trials involving recombinant or synthetic nucleic acid molecules are subject to oversight of institutional biosafety committees, or IBCs, as set forth in the NIH Guidelines for Research Involving Recombinant or Synthetic Nucleic Acid Molecules, or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spacing w:after="0" w:line="183"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63" w:lineRule="exact"/>
        <w:rPr>
          <w:sz w:val="20"/>
          <w:szCs w:val="20"/>
          <w:color w:val="auto"/>
        </w:rPr>
      </w:pPr>
    </w:p>
    <w:p>
      <w:pPr>
        <w:ind w:left="1020" w:right="220" w:hanging="503"/>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tolerance, absorption, metabolism, distribution, excretion, and pharmacodynamics in healthy humans or, on occasion, in patients, such as cancer patients.</w:t>
      </w:r>
    </w:p>
    <w:p>
      <w:pPr>
        <w:spacing w:after="0" w:line="73" w:lineRule="exact"/>
        <w:rPr>
          <w:rFonts w:ascii="Arial" w:cs="Arial" w:eastAsia="Arial" w:hAnsi="Arial"/>
          <w:sz w:val="18"/>
          <w:szCs w:val="18"/>
          <w:color w:val="auto"/>
        </w:rPr>
      </w:pPr>
    </w:p>
    <w:p>
      <w:pPr>
        <w:jc w:val="both"/>
        <w:ind w:left="1020" w:right="20" w:hanging="503"/>
        <w:spacing w:after="0" w:line="294"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Phase 2 </w:t>
      </w:r>
      <w:r>
        <w:rPr>
          <w:rFonts w:ascii="Arial" w:cs="Arial" w:eastAsia="Arial" w:hAnsi="Arial"/>
          <w:sz w:val="16"/>
          <w:szCs w:val="16"/>
          <w:color w:val="auto"/>
        </w:rPr>
        <w:t>clinical trials are generally conducted in a limited patient population to identify possible adverse effects and safety risks, evaluate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efficacy of the product candidate for specific targeted indications and determine dose tolerance and optimal dosage. Multiple Phase 2 clinical trials may be conducted by the sponsor to obtain information prior to beginning larger and costlier Phase 3 clinical trials.</w:t>
      </w:r>
    </w:p>
    <w:p>
      <w:pPr>
        <w:spacing w:after="0" w:line="39" w:lineRule="exact"/>
        <w:rPr>
          <w:rFonts w:ascii="Arial" w:cs="Arial" w:eastAsia="Arial" w:hAnsi="Arial"/>
          <w:sz w:val="16"/>
          <w:szCs w:val="16"/>
          <w:color w:val="auto"/>
        </w:rPr>
      </w:pPr>
    </w:p>
    <w:p>
      <w:pPr>
        <w:jc w:val="both"/>
        <w:ind w:left="1020" w:right="100" w:hanging="503"/>
        <w:spacing w:after="0" w:line="24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Phase 3 </w:t>
      </w:r>
      <w:r>
        <w:rPr>
          <w:rFonts w:ascii="Arial" w:cs="Arial" w:eastAsia="Arial" w:hAnsi="Arial"/>
          <w:sz w:val="18"/>
          <w:szCs w:val="18"/>
          <w:color w:val="auto"/>
        </w:rPr>
        <w:t>clinical trials are undertaken within an expanded patient population to further evaluate dosage and gather the additional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about effectiveness and safety that is needed to evaluate the overall benefit-risk relationship of the drug and to provide an adequate basis for physician labeling.</w:t>
      </w:r>
    </w:p>
    <w:p>
      <w:pPr>
        <w:spacing w:after="0" w:line="182"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 xml:space="preserve">Progress reports detailing the results, if known, of the clinical trials must be submitted at least annually to the FDA. Written IND safety reports must be submitted to the FDA and the investigators within 15 calendar days of receipt by the sponsor or its agents after determining that the information qualifies for such expedited reporting. IND safety reports are required for serious and unexpected suspected adverse events,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to humans exposed to the drug, and any clinically important increase in the rate of a serious suspected adverse reaction over that listed in the protocol or investigator brochure. Additionally, a sponsor must notify FDA within 7 calendar days after receiving information concerning any unexpected fatal or life-threatening suspected adverse reaction.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9" w:name="page50"/>
    <w:bookmarkEnd w:id="49"/>
    <w:p>
      <w:pPr>
        <w:ind w:right="80" w:firstLine="509"/>
        <w:spacing w:after="0" w:line="241" w:lineRule="auto"/>
        <w:rPr>
          <w:sz w:val="20"/>
          <w:szCs w:val="20"/>
          <w:color w:val="auto"/>
        </w:rPr>
      </w:pPr>
      <w:r>
        <w:rPr>
          <w:rFonts w:ascii="Arial" w:cs="Arial" w:eastAsia="Arial" w:hAnsi="Arial"/>
          <w:sz w:val="18"/>
          <w:szCs w:val="18"/>
          <w:color w:val="auto"/>
        </w:rPr>
        <w:t>In some cases, the FDA may approve a BLA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Failure to exhibit due diligence with regard to conducting Phase 4 clinical trials could result in withdrawal of approval for products.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Guidance Governing Gene Therapy Products</w:t>
      </w:r>
    </w:p>
    <w:p>
      <w:pPr>
        <w:spacing w:after="0" w:line="104"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 xml:space="preserve">The FDA has defined a gene therapy product as one that mediates its effects by transcription and/or translation of transferred genetic material or by specifically altering host (human) genetic sequences. Examples of gene therapy products include nucleic acids (e.g., plasmids, in vitro transcribed ribonucleic acid), genetically modified microorganisms (e.g., viruses, bacteria, fungi), engineered site specific nucleases used for human genome editing and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genetically modified human cells. The products may be used to modify cells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transferred to cells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prior to administration to the recipient. Within the FDA, the Center for Biologics Evaluation and Research, or CBER, regulates gene therapy products. Within the CBER, the review of gene therapy and related products is consolidated in the Office of Tissues and Advanced Therapies, and the FDA has established the Cellular, Tissue and Gene Therapies Advisory Committee to advise CBER on its reviews. The FDA and the NIH have published guidance documents with respect to the development and submission of gene therapy protocols.</w:t>
      </w:r>
    </w:p>
    <w:p>
      <w:pPr>
        <w:spacing w:after="0" w:line="181"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Although the FDA has indicated that its guidance documents regarding gene therapies are not legally binding, we believe that our compliance with them is likely necessary to gain approval for any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the FDA usually recommends that sponsors observe subjects for potential gene therapy-related delayed adverse events. Depending on the product type, long term follow up can be up to 15 years or as little as five years.</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Compliance with cGMP and CGTP Requirements</w:t>
      </w:r>
    </w:p>
    <w:p>
      <w:pPr>
        <w:spacing w:after="0" w:line="104"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full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8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For a gene therapy product, the FDA also will not approve the product if the manufacturer is not in compliance with CGTP. These requirements are found in FDA regulations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CGTP requirements is to ensure that 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175"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Manufacturers and others involved in the manufacture and distribution of products must also register their establishments with the FDA and certain state agencies for products intended for the U.S. market, and with analogous health regulatory agencies for products intended for other markets globally. Both U.S. and non-U.S. manufacturing establishments must register and provide additional information to the FDA and/or other health regulatory agencies upon their initial participation in the manufacturing process. Any product manufactured by or imported from a facility that has not registered, whether U.S. or non-U.S., is deemed misbranded under the FDCA, and could be affected by similar as well as additional compliance issues in other jurisdictions. Establishments may be subject to periodic unannounced inspections by government authorities to ensure compliance with cGMPs and other laws. Manufacturers may also have to provide, on request, electronic or physical records regarding their establishments. Delaying, denying, limiting, or refusing inspection by the FDA or other governing health regulatory agency may lead to a product being deemed to be adulterated.</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Review and Approval of a BLA</w:t>
      </w:r>
    </w:p>
    <w:p>
      <w:pPr>
        <w:spacing w:after="0" w:line="104" w:lineRule="exact"/>
        <w:rPr>
          <w:sz w:val="20"/>
          <w:szCs w:val="20"/>
          <w:color w:val="auto"/>
        </w:rPr>
      </w:pPr>
    </w:p>
    <w:p>
      <w:pPr>
        <w:ind w:right="400" w:firstLine="509"/>
        <w:spacing w:after="0" w:line="270" w:lineRule="auto"/>
        <w:rPr>
          <w:sz w:val="20"/>
          <w:szCs w:val="20"/>
          <w:color w:val="auto"/>
        </w:rPr>
      </w:pPr>
      <w:r>
        <w:rPr>
          <w:rFonts w:ascii="Arial" w:cs="Arial" w:eastAsia="Arial" w:hAnsi="Arial"/>
          <w:sz w:val="17"/>
          <w:szCs w:val="17"/>
          <w:color w:val="auto"/>
        </w:rPr>
        <w:t>The results of product candidate development, preclinical testing, and clinical trials, including negative or ambiguous results as well as positive findings, are submitted to the FDA as part of a BLA requesting a license to market the product. The BLA must contain extensive manufacturing information and detailed information on the composition of the product and proposed labeling as well as payment of a user fee.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ind w:firstLine="509"/>
        <w:spacing w:after="0" w:line="254" w:lineRule="auto"/>
        <w:rPr>
          <w:sz w:val="20"/>
          <w:szCs w:val="20"/>
          <w:color w:val="auto"/>
        </w:rPr>
      </w:pPr>
      <w:r>
        <w:rPr>
          <w:rFonts w:ascii="Arial" w:cs="Arial" w:eastAsia="Arial" w:hAnsi="Arial"/>
          <w:sz w:val="17"/>
          <w:szCs w:val="17"/>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Prescription Drug User Fee Act, or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 The review process and the PDUFA goal date may be extended by three months if the FDA requests or if the applicant otherwise provides through the submission of a major amendment additional information or clarification regarding information already provided in the submission within the last three months before the PDUFA goal date.</w:t>
      </w:r>
    </w:p>
    <w:p>
      <w:pPr>
        <w:spacing w:after="0" w:line="181"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Under the PHSA, the FDA may approve a BLA if it determines that the product is safe, pure, and potent and the facility where the product will be manufactured meets standards designed to ensure that it continues to be safe, pure, and potent.</w:t>
      </w:r>
    </w:p>
    <w:p>
      <w:pPr>
        <w:spacing w:after="0" w:line="171" w:lineRule="exact"/>
        <w:rPr>
          <w:sz w:val="20"/>
          <w:szCs w:val="20"/>
          <w:color w:val="auto"/>
        </w:rPr>
      </w:pPr>
    </w:p>
    <w:p>
      <w:pPr>
        <w:ind w:right="100" w:firstLine="509"/>
        <w:spacing w:after="0" w:line="252"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and any FDA audits of nonclinical study and clinical trial sites to assure compliance with GLPs and GCPs, respectively,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Sponsors that receive a complete response letter may submit to the FDA information that represents a complete response to the issues identified by the FDA. Such resubmissions are classified under PDUFA as either Class 1 or Class 2. The classification of a resubmission is based on the information submitted by an applicant in response to an action letter. Under the goals and policies agreed to by the FDA under PDUFA, the FDA has two months to review a Class 1 resubmission and six months to review a Class 2 resubmission. The FDA will not approve an application until issues identified in the complete response letter have been addressed. Alternatively, sponsors that receive a complete response letter may either withdraw the application or request a hearing.</w:t>
      </w:r>
    </w:p>
    <w:p>
      <w:pPr>
        <w:spacing w:after="0" w:line="186"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The FDA may also refer the application to an advisory committee for review, evaluation, and recommendation as to whether the application should be approved. In particular, the FDA may refer applications for novel biologic products or biologic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59"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specific or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certain manufacturing changes and additional labeling claims, are subject to further testing requirements and FDA review and approval.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1" w:name="page52"/>
    <w:bookmarkEnd w:id="51"/>
    <w:p>
      <w:pPr>
        <w:ind w:left="260"/>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and regenerative advanced therapy designation.</w:t>
      </w:r>
    </w:p>
    <w:p>
      <w:pPr>
        <w:spacing w:after="0" w:line="182"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if the designated drug development program is no longer being pursued.</w:t>
      </w:r>
    </w:p>
    <w:p>
      <w:pPr>
        <w:spacing w:after="0" w:line="184"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Second, FDA has a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8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1" w:lineRule="exact"/>
        <w:rPr>
          <w:sz w:val="20"/>
          <w:szCs w:val="20"/>
          <w:color w:val="auto"/>
        </w:rPr>
      </w:pPr>
    </w:p>
    <w:p>
      <w:pPr>
        <w:ind w:right="280" w:firstLine="509"/>
        <w:spacing w:after="0" w:line="279" w:lineRule="auto"/>
        <w:rPr>
          <w:sz w:val="20"/>
          <w:szCs w:val="20"/>
          <w:color w:val="auto"/>
        </w:rPr>
      </w:pPr>
      <w:r>
        <w:rPr>
          <w:rFonts w:ascii="Arial" w:cs="Arial" w:eastAsia="Arial" w:hAnsi="Arial"/>
          <w:sz w:val="16"/>
          <w:szCs w:val="16"/>
          <w:color w:val="auto"/>
        </w:rPr>
        <w:t>Finally, the FDA can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Accelerated Approval Pathway</w:t>
      </w:r>
    </w:p>
    <w:p>
      <w:pPr>
        <w:spacing w:after="0" w:line="10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52" w:name="page53"/>
    <w:bookmarkEnd w:id="52"/>
    <w:p>
      <w:pPr>
        <w:ind w:firstLine="509"/>
        <w:spacing w:after="0" w:line="255"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limited experience with accelerated approvals based on intermediate clinical endpoints but has indicated that such endpoints generally could support accelerated approval where a study demonstrates a relatively short-term clinical benefit in a chronic disease setting in which assessing durability of the clinical benefit is essential for traditional approval, but the short-term benefit is considered reasonably likely to predict long-term benefit.</w:t>
      </w:r>
    </w:p>
    <w:p>
      <w:pPr>
        <w:spacing w:after="0" w:line="180"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8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Post-Approval Regulation</w:t>
      </w:r>
    </w:p>
    <w:p>
      <w:pPr>
        <w:spacing w:after="0" w:line="104"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If regulatory approval for marketing of a product or new indication for an existing product is obtained, the sponsor will be required to comply with all regular post-approval regulatory requirements as well as any post-approval requirements that the FDA has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are required to comply with applicable product tracking and tracing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1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7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of a failure to comply with regulatory requirements include, among other things:</w:t>
      </w:r>
    </w:p>
    <w:p>
      <w:pPr>
        <w:spacing w:after="0" w:line="38"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01" w:lineRule="exact"/>
        <w:rPr>
          <w:rFonts w:ascii="Arial" w:cs="Arial" w:eastAsia="Arial" w:hAnsi="Arial"/>
          <w:sz w:val="17"/>
          <w:szCs w:val="17"/>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fines, untitled or warning letters or holds on post-approval clinical trials;</w:t>
      </w:r>
    </w:p>
    <w:p>
      <w:pPr>
        <w:spacing w:after="0" w:line="90"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3" w:name="page54"/>
    <w:bookmarkEnd w:id="53"/>
    <w:p>
      <w:pPr>
        <w:ind w:right="300" w:firstLine="509"/>
        <w:spacing w:after="0" w:line="243" w:lineRule="auto"/>
        <w:rPr>
          <w:sz w:val="20"/>
          <w:szCs w:val="20"/>
          <w:color w:val="auto"/>
        </w:rPr>
      </w:pPr>
      <w:r>
        <w:rPr>
          <w:rFonts w:ascii="Arial" w:cs="Arial" w:eastAsia="Arial" w:hAnsi="Arial"/>
          <w:sz w:val="18"/>
          <w:szCs w:val="18"/>
          <w:color w:val="auto"/>
        </w:rPr>
        <w:t>The FDA strictly regulates marketing, labeling, advertising and promotion of licensed and approved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Orphan Drug Designation</w:t>
      </w:r>
    </w:p>
    <w:p>
      <w:pPr>
        <w:spacing w:after="0" w:line="104"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Orphan drug designation in the United States is designed to encourage sponsors to develop products intended for rare diseases or conditions. In the United States, a rare disease or condition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spacing w:after="0" w:line="17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Orphan drug designation qualifies a company for tax credits and market exclusivity for seven years following the date of the product’s marketing approval if granted by the FDA. An application for designation as an orphan product can be made any time prior to the filing of an application for approval to market the product. A product becomes an orphan when it receives orphan drug designation from the Office of Orphan Products Development, or OOPD, at the FDA based on acceptable confidential requests made under the regulatory provisions. The product must then go through the review and approval process for commercial distribution like any other product.</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189"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Pediatric Studies and Exclusivity</w:t>
      </w:r>
    </w:p>
    <w:p>
      <w:pPr>
        <w:spacing w:after="0" w:line="10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Under the Pediatric Research Equity Act of 2003 (PREA), as amended,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91"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The FDA may, on its own initiative or at the request of the applicant, grant deferrals for submission of some or all pediatric data until after approval of the product for use in adults, or full or partial waivers from the pediatric data requirements. Unless otherwise required by regulation, the pediatric data requirements do not apply to products with orphan designation; however, they will apply to a BLA for a new active ingredient that is orphan-designated if the biologic is a molecularly targeted cancer product intended for the treatment of an adult cancer and is directed at a molecular target that the FDA determines to be substantially relevant to the growth or progression of a pediatric cancer.</w:t>
      </w:r>
    </w:p>
    <w:p>
      <w:pPr>
        <w:spacing w:after="0" w:line="17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ind w:left="260"/>
        <w:spacing w:after="0"/>
        <w:rPr>
          <w:sz w:val="20"/>
          <w:szCs w:val="20"/>
          <w:color w:val="auto"/>
        </w:rPr>
      </w:pPr>
      <w:r>
        <w:rPr>
          <w:rFonts w:ascii="Arial" w:cs="Arial" w:eastAsia="Arial" w:hAnsi="Arial"/>
          <w:sz w:val="18"/>
          <w:szCs w:val="18"/>
          <w:i w:val="1"/>
          <w:iCs w:val="1"/>
          <w:color w:val="auto"/>
        </w:rPr>
        <w:t>Biosimilars and Exclusivity</w:t>
      </w:r>
    </w:p>
    <w:p>
      <w:pPr>
        <w:spacing w:after="0" w:line="104"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color w:val="auto"/>
        </w:rPr>
        <w:t>The Patient Protection and Affordable Care Act, or ACA, which was signed into law in March 2010, included a subtitle called the Biologics Price Competition and Innovation Act of 2009 or BPCIA. The BPCIA established a regulatory scheme authorizing the FDA to approve biosimilars and interchangeable biosimilars. The FDA has issued several guidance documents outlining an approach to review and approval of biosimilars.</w:t>
      </w:r>
    </w:p>
    <w:p>
      <w:pPr>
        <w:spacing w:after="0" w:line="16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62"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29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0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A patent claiming a new biologic product may be eligible for a limited patent term extension under the Drug Price Competition and Patent Term Restoration Act of 1984, or Hatch-Waxman Amendments, which permits a patent restoration of up to five years for patent term lost during product development and FDA regulatory review. The restoration period granted on a patent covering a product is typically one-half the time between the effective date of an IND and the submission date of a marketing application, plus the time between the submission date of the marketing application and the ultimate approval date, less any time the applicant failed to act with due diligence.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Regulation And Procedures Governing Approval Of Medicinal Products In Europe</w:t>
      </w:r>
    </w:p>
    <w:p>
      <w:pPr>
        <w:spacing w:after="0" w:line="10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health regulatory authorities before it can commence clinical trials or marketing of the product in those countries or jurisdictions. Specifically, the process governing approval of medicinal products in Europe generally follows the same lines as in the United States, although the approval of a medicinal product in the United States is no guarantee of approval of the same product in Europe, either at all or within the same timescale as approval may be granted in the United States. The process entails satisfactory completion of preclinical studies and adequate and well-controlled clinical trials to establish the safety and efficacy of the product for each proposed indication. It also requires the submission to the EMA, or the relevant competent authorities of a marketing authorization application, or MAA, and granting of a marketing authorization by the EMA or these authorities before the product can be marketed and sold in Europe.</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Clinical Trial Approval</w:t>
      </w:r>
    </w:p>
    <w:p>
      <w:pPr>
        <w:spacing w:after="0" w:line="10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An applicant for a clinical trial authorization in the EU must obtain approval from the national competent authority, or NCA, of an EU Member State in which the clinical trial is to be conducted, or in multiple Member States if the clinical trial is to be conducted in a number of Member States. Furthermore, the applicant may only start a clinical trial at a specific study site after the ethics committee, or EC, has issued a favorable opinion in relation to the clinical trial.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55" w:name="page56"/>
    <w:bookmarkEnd w:id="55"/>
    <w:p>
      <w:pPr>
        <w:ind w:right="180" w:firstLine="509"/>
        <w:spacing w:after="0" w:line="259" w:lineRule="auto"/>
        <w:rPr>
          <w:sz w:val="20"/>
          <w:szCs w:val="20"/>
          <w:color w:val="auto"/>
        </w:rPr>
      </w:pPr>
      <w:r>
        <w:rPr>
          <w:rFonts w:ascii="Arial" w:cs="Arial" w:eastAsia="Arial" w:hAnsi="Arial"/>
          <w:sz w:val="17"/>
          <w:szCs w:val="17"/>
          <w:color w:val="auto"/>
        </w:rPr>
        <w:t>In April 2014, the EU adopted a new Clinical Trials Regulation (EU) No 536/2014, which replace the Clinical Trials Directive 2001/20/EC on 31 January 2022. It overhauls the current system of approvals for clinical trials in the EU. Specifically, the new legislation, which is directly applicable in all EU Member States (meaning that no national implementing legislation in each EU Member State is required), aims at simplifying and streamlining the approval of clinical trials in the EU. For instance, the new Clinical Trials Regulation provides for a streamlined application procedure via a single-entry point and strictly defined deadlines for the assessment of clinical trial applications.</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Marketing Authorization</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To obtain a marketing authorization for a product in the EU, an applicant must submit an MAA, either under a centralized procedure administered by the EU or one of the procedures administered by competent authorities in the EU Member States (decentralized procedure, national procedure, or mutual recognition procedure). A marketing authorization may be granted only to an applicant established in the EEA (comprising the EU Member States plus Iceland, Norway and Liechtenstein). Regulation (EC) No 1901/2006 provides that prior to obtaining a marketing authorization in the EEA, an applicant must demonstrate compliance with all measures included in an EMA-approved pediatric investigation plan, or PIP, covering all subsets of the pediatric population, unless the EMA has granted a product-specific waiver, class waiver, or a deferral for one or more of the measures included in the PIP.</w:t>
      </w:r>
    </w:p>
    <w:p>
      <w:pPr>
        <w:spacing w:after="0" w:line="162" w:lineRule="exact"/>
        <w:rPr>
          <w:sz w:val="20"/>
          <w:szCs w:val="20"/>
          <w:color w:val="auto"/>
        </w:rPr>
      </w:pPr>
    </w:p>
    <w:p>
      <w:pPr>
        <w:ind w:right="80" w:firstLine="509"/>
        <w:spacing w:after="0" w:line="273"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medicinal products, or ATMPs, and products with a new active substance indicated for the treatment of certain diseases, including products for the treatment of cancer, HIV or AIDS, diabetes, neurodegenerative</w:t>
      </w:r>
    </w:p>
    <w:p>
      <w:pPr>
        <w:spacing w:after="0" w:line="1"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disorders, auto-immune and other immune dysfunctions and viral diseases. For those products for which the use of the centralized procedure is not mandatory, applicants may elect to use the centralized procedure where either the product contains a new active substance indicated for the treatment of other diseases, or where the applicant can show that the product constitutes a significant therapeutic, scientific or technical innovation or for which a centralized process is in the interest of patients at an EU level.</w:t>
      </w:r>
    </w:p>
    <w:p>
      <w:pPr>
        <w:spacing w:after="0" w:line="183"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Specifically, the grant of marketing authorization in the EU for products containing viable human tissues or cells such as gene therapy medicinal products is governed by Regulation (EC) No 1394/2007 on ATMPs, read in combination with Directive 2001/83/EC of the European Parliament and of the Council, commonly known as the Community code on medicinal products. Regulation (EC) No 1394/2007 lays down specific rules concerning the authorization, supervision, and pharmacovigilance of gene therapy medicinal products, somatic cell therapy medicinal products, and tissue engineered products. Manufacturers of advanced therapy medicinal products must demonstrate the quality, safety, and efficacy of their products to the Committee for Advanced Therapies, or CAT, at the EMA, which conducts a scientific assessment of the MAA and provides an opinion regarding the MAA for an ATMP. The European Commission grants or refuses marketing authorization in light of the opinion delivered by EMA.</w:t>
      </w:r>
    </w:p>
    <w:p>
      <w:pPr>
        <w:spacing w:after="0" w:line="16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The Committee for Medicinal Products for Human Use, or the CHMP, established at the EMA is responsible for issuing a final opinion on whether an ATMP meets the required quality, safety and efficacy requirements, and whether a product has a positive benefit/risk profile. Under the centralized procedure in the EU, the maximum timeframe for the evaluation of an MAA by the EMA is 210 days from receipt of a valid MAA,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evaluation may be granted by the CHMP in exceptional cases, when a medicinal product is expected to be of major interest from the point of view of public health and, in particular, from the viewpoint of therapeutic innovation. If the CHMP accepts such a request, the time 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ind w:firstLine="509"/>
        <w:spacing w:after="0" w:line="276" w:lineRule="auto"/>
        <w:rPr>
          <w:sz w:val="20"/>
          <w:szCs w:val="20"/>
          <w:color w:val="auto"/>
        </w:rPr>
      </w:pPr>
      <w:r>
        <w:rPr>
          <w:rFonts w:ascii="Arial" w:cs="Arial" w:eastAsia="Arial" w:hAnsi="Arial"/>
          <w:sz w:val="16"/>
          <w:szCs w:val="16"/>
          <w:color w:val="auto"/>
        </w:rPr>
        <w:t>Now that the UK (which comprises Great Britain and Northern Ireland) has left the EU, Great Britain will no longer be covered by centralized marketing authorizations (under the Northern Ireland Protocol, centralized marketing authorizations will continue to be recognized in Northern Ireland). All medicinal products with a current centralized marketing authorization were automatically converted to Great Britain marketing authorizations on January, 1 2021. For a period of two years from January 1, 2021, the Medicines and Healthcare products Regulatory Agency, or MHRA, the UK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PRIME scheme</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March 2016, the EMA launched an initiative to facilitate development of product candidates in indications, often rare, for which few or no therapies currently exist, by, amongst other things, offering early dialogue with, and regulatory support from, the EMA. The scheme is intended to stimulate innovation, optimize development and enable accelerated assessment of PRIority Medicines, or PRIME, by building upon the scientific advice scheme and accelerated assessment procedure offered by EMA. The scheme is voluntary and eligibility criteria must be met for a medicine to qualify for PRIME.</w:t>
      </w:r>
    </w:p>
    <w:p>
      <w:pPr>
        <w:spacing w:after="0" w:line="15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PRIME scheme is open to medicines under development and for which the applicant intends to apply for an initial marketing authorization application through the centralized procedure. Eligible products must target conditions for which there is an unmet medical need (meaning there is no satisfactory method of diagnosis, prevention or treatment in the EU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 medicine is selected for the PRIME scheme, the EMA:</w:t>
      </w:r>
    </w:p>
    <w:p>
      <w:pPr>
        <w:spacing w:after="0" w:line="104" w:lineRule="exact"/>
        <w:rPr>
          <w:sz w:val="20"/>
          <w:szCs w:val="20"/>
          <w:color w:val="auto"/>
        </w:rPr>
      </w:pPr>
    </w:p>
    <w:p>
      <w:pPr>
        <w:ind w:left="1020" w:right="8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appoints a rapporteur from the CHMP or from the CAT to provide continuous support and to build up knowledge of the medicine in advance of the filing of a marketing authorization application;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issues guidance on the applicant’s overall development plan and regulatory strategy;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organizes a kick-off meeting with the rapporteur and experts from relevant EMA committees and working groups;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provides a dedicated EMA contact person;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provides scientific advice at key development milestones, involving additional stakeholders, such as health technology assessment bodies and patients, as needed.</w:t>
      </w:r>
    </w:p>
    <w:p>
      <w:pPr>
        <w:spacing w:after="0" w:line="171"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Medicines that are selected for the PRIME scheme are also expected to benefit from the EMA’s accelerated assessment procedure at the time of application for marketing authorization. Where, during the course of development, a medicine no longer meets the eligibility criteria, support under the PRIME scheme may be withdrawn.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7" w:name="page58"/>
    <w:bookmarkEnd w:id="57"/>
    <w:p>
      <w:pPr>
        <w:ind w:left="260"/>
        <w:spacing w:after="0"/>
        <w:rPr>
          <w:sz w:val="20"/>
          <w:szCs w:val="20"/>
          <w:color w:val="auto"/>
        </w:rPr>
      </w:pPr>
      <w:r>
        <w:rPr>
          <w:rFonts w:ascii="Arial" w:cs="Arial" w:eastAsia="Arial" w:hAnsi="Arial"/>
          <w:sz w:val="18"/>
          <w:szCs w:val="18"/>
          <w:i w:val="1"/>
          <w:iCs w:val="1"/>
          <w:color w:val="auto"/>
        </w:rPr>
        <w:t>Data and Market Exclusivity</w:t>
      </w:r>
    </w:p>
    <w:p>
      <w:pPr>
        <w:spacing w:after="0" w:line="10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In the EU, innovate medicinal products approved on the basis of a complete independent data package qualify for eight years of data exclusivity upon grant of a marketing authorization and an additional two years of market exclusivity pursuant to Regulation (EC) No 726/2004, as amended, and Directive 2001/83/EC, as amended. Data exclusivity prevents applicants for authorizations of generics or biosimilars from referencing the innovator’s preclinical and clinical data contained in the dossier of the reference product when applying for a generic or biosimilar marketing authorization in the EU, during a period of eight years from the date on which the reference product was first authorized in the EU. During the additional two-year period of market exclusivity, a generic or biosimilar MAA can be submitted and the innovator’s data may be referenced, but no generic or biosimilar medicinal product can be marketed in the EU until the expiration of the market exclusivity period.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are held to bring a significant clinical benefit in comparison with existing therapies. There is no guarantee that a product will be considered by the EMA to be an innovative medicinal product, and products may qualify for data exclusivity. Even if a product is considered to be an innovative medicinal product so that the innovator gains the prescribed period of data exclusivity, another company nevertheless could also market another version of the product if such company obtained a marketing authorization based on an MAA with a completely independent data package of pharmaceutical tests, preclinical tests and clinical trials.</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 centralized marketing authorization is valid for five years, in principle, and it may be renewed after five years on the basis of a reevaluation of the risk-benefit balance by the EMA or by the competent authority of the authorizing EU Member State for a nationally authorized product.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actual placement of the drug on the EU market (in the case of the centralized procedure), or on the market of the authorizing EU Member State, within three years after authorization ceases, to be valid (the so-called sunset clause).</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04"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Regulation (EC) No 141/2000 and Regulation (EC) No 847/2000 provide that a product can be designated as an orphan drug by the European Commission if its sponsor can establish that: (1) the product is intended for the diagnosis, prevention or treatment of a life-threatening or chronically debilitating condition; (2) either (a) such condition affects no more than five (5) in ten thousand (10,000) persons in the EU when the application is made; or (b) it is unlikely that the product, without benefits derived from orphan status, would generate sufficient return in the EU to justify the necessary investment in its development; (3) there exists no satisfactory method of diagnosis, prevention, or treatment of such condition authorized for marketing in the EU or, if such method exists, the product will be of significant benefit to those affected by that condition.</w:t>
      </w:r>
    </w:p>
    <w:p>
      <w:pPr>
        <w:spacing w:after="0" w:line="175"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An orphan drug designation provides a number of benefits, including fee reductions, regulatory assistance, and the ability to apply for a centralized EEA-wide marketing authorization. The grant of a marketing authorization for an orphan drug leads to a ten-year period of market exclusivity. During this market exclusivity period, neither the European Commission nor the Member States can accept an application or grant a marketing authorization in respect of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 There are a few limited of derogations from the ten-year period of market exclusivity pursuant to which the European Commission may grant a marketing authorization for a similar medicinal product in the same therapeutic indication, which are:</w:t>
      </w:r>
    </w:p>
    <w:p>
      <w:pPr>
        <w:spacing w:after="0" w:line="184" w:lineRule="exact"/>
        <w:rPr>
          <w:sz w:val="20"/>
          <w:szCs w:val="20"/>
          <w:color w:val="auto"/>
        </w:rPr>
      </w:pPr>
    </w:p>
    <w:p>
      <w:pPr>
        <w:ind w:left="1260" w:right="300" w:hanging="368"/>
        <w:spacing w:after="0" w:line="261" w:lineRule="auto"/>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the second applicant can establish that although their product is similar to the orphan medicinal product already authorized, the second product is safer, more effective or otherwise clinically superior;</w:t>
      </w:r>
    </w:p>
    <w:p>
      <w:pPr>
        <w:spacing w:after="0" w:line="170"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the marketing authorization holder consent to the second orphan medicinal product application; or</w:t>
      </w:r>
    </w:p>
    <w:p>
      <w:pPr>
        <w:spacing w:after="0" w:line="211" w:lineRule="exact"/>
        <w:rPr>
          <w:rFonts w:ascii="Arial" w:cs="Arial" w:eastAsia="Arial" w:hAnsi="Arial"/>
          <w:sz w:val="18"/>
          <w:szCs w:val="18"/>
          <w:color w:val="auto"/>
        </w:rPr>
      </w:pPr>
    </w:p>
    <w:p>
      <w:pPr>
        <w:ind w:left="1260" w:hanging="368"/>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the marketing authorization holder cannot supply enough orphan medicinal product.</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58" w:name="page59"/>
    <w:bookmarkEnd w:id="58"/>
    <w:p>
      <w:pPr>
        <w:ind w:left="260"/>
        <w:spacing w:after="0"/>
        <w:rPr>
          <w:sz w:val="20"/>
          <w:szCs w:val="20"/>
          <w:color w:val="auto"/>
        </w:rPr>
      </w:pPr>
      <w:r>
        <w:rPr>
          <w:rFonts w:ascii="Arial" w:cs="Arial" w:eastAsia="Arial" w:hAnsi="Arial"/>
          <w:sz w:val="18"/>
          <w:szCs w:val="18"/>
          <w:i w:val="1"/>
          <w:iCs w:val="1"/>
          <w:color w:val="auto"/>
        </w:rPr>
        <w:t>Regulatory Requirements after Marketing Authorization has been obtained</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If an authorization for a medicinal product in the EU is obtained, the holder of the marketing authorization is required to comply with a range of requirements applicable to the manufacturing, marketing, promotion and sale of the medicinal product. These include compliance with the EU’s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 Finally, the marketing and promotion of authorized products, including industry-sponsored continuing medical education and advertising directed toward the prescribers of drugs and/or the general public, are strictly regulated in the EU. The advertising of prescription-only medicines to the general public is not permitted in the EU.</w:t>
      </w:r>
    </w:p>
    <w:p>
      <w:pPr>
        <w:spacing w:after="0" w:line="180"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The aforementioned EU rules are generally applicable in the EEA, which consists of the EU Member States, plus Norway, Liechtenstein and Iceland.</w:t>
      </w:r>
    </w:p>
    <w:p>
      <w:pPr>
        <w:spacing w:after="0" w:line="17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For other markets in which we might in the future seek to obtain marketing approval for the commercialization of products, there are other health regulatory regimes for seeking approval, and we would need to ensure ongoing compliance with applicable health regulatory procedures and standards, as well as other governing laws and regulations for each applicable jurisdiction.</w:t>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Data Protection Regulation</w:t>
      </w:r>
    </w:p>
    <w:p>
      <w:pPr>
        <w:spacing w:after="0" w:line="225"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The collection, use,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ensuring certain accountability measures are in place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Brexit and the Regulatory Framework in the United Kingdom</w:t>
      </w:r>
    </w:p>
    <w:p>
      <w:pPr>
        <w:spacing w:after="0" w:line="21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On June 23, 2016, the electorate in the UK voted in favor of leaving the EU (commonly referred to as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with EU regulations, however it is possible that these regimes will diverge in future now that Great Britain’s regulatory system is independent from the EU and the TCA does not provide for mutual recognition of UK and EU pharmaceutical legislation.</w:t>
      </w:r>
    </w:p>
    <w:p>
      <w:pPr>
        <w:spacing w:after="0" w:line="180"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Furthermore, the Data Protection Act of 2018 in the United Kingdom “implements” and complements the EU’s GDPR, and is effective in the United Kingdom, On June 28, 2021, the European Commission adopted an adequacy decision in respect of transfers of personal data to the United Kingdom for a four-year period (until 27 June 2025). Similarly, the United Kingdom has determined that it considers all of the EU and EEA Member States to be adequate for the purposes of data protection. This ensures data flows between the United Kingdom and the EU and EEA remain unaffected.</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59" w:name="page60"/>
    <w:bookmarkEnd w:id="59"/>
    <w:p>
      <w:pPr>
        <w:ind w:left="260"/>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seek regulatory approval by the FDA or other government authorities.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Even if any product candidates we may develop are approved,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Factors a payor considers in determining reimbursement are based on whether the product is:</w:t>
      </w:r>
    </w:p>
    <w:p>
      <w:pPr>
        <w:spacing w:after="0" w:line="73"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89" w:lineRule="exact"/>
        <w:rPr>
          <w:sz w:val="20"/>
          <w:szCs w:val="20"/>
          <w:color w:val="auto"/>
        </w:rPr>
      </w:pPr>
    </w:p>
    <w:p>
      <w:pPr>
        <w:ind w:right="200" w:firstLine="509"/>
        <w:spacing w:after="0" w:line="253"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0" w:name="page61"/>
    <w:bookmarkEnd w:id="60"/>
    <w:p>
      <w:pPr>
        <w:ind w:right="40" w:firstLine="509"/>
        <w:spacing w:after="0" w:line="274" w:lineRule="auto"/>
        <w:rPr>
          <w:sz w:val="20"/>
          <w:szCs w:val="20"/>
          <w:color w:val="auto"/>
        </w:rPr>
      </w:pPr>
      <w:r>
        <w:rPr>
          <w:rFonts w:ascii="Arial" w:cs="Arial" w:eastAsia="Arial" w:hAnsi="Arial"/>
          <w:sz w:val="16"/>
          <w:szCs w:val="16"/>
          <w:color w:val="auto"/>
        </w:rPr>
        <w:t>The containment of healthcare costs also has become a priority of various federal, state and/or local governments, as well as other payors, within the U.S. and in other countries globally, and the prices of pharmaceuticals have been a focus in these efforts. Governments and other payors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63"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Outside the United States, ensuring adequate coverage and payment for any product candidates we may develop will face challenges. Pricing of prescription pharmaceuticals is subject to governmental control in many countries. Pricing negotiations with governmental authorities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189" w:lineRule="exact"/>
        <w:rPr>
          <w:sz w:val="20"/>
          <w:szCs w:val="20"/>
          <w:color w:val="auto"/>
        </w:rPr>
      </w:pPr>
    </w:p>
    <w:p>
      <w:pPr>
        <w:ind w:right="20" w:firstLine="554"/>
        <w:spacing w:after="0" w:line="270" w:lineRule="auto"/>
        <w:rPr>
          <w:sz w:val="20"/>
          <w:szCs w:val="20"/>
          <w:color w:val="auto"/>
        </w:rPr>
      </w:pPr>
      <w:r>
        <w:rPr>
          <w:rFonts w:ascii="Arial" w:cs="Arial" w:eastAsia="Arial" w:hAnsi="Arial"/>
          <w:sz w:val="16"/>
          <w:szCs w:val="16"/>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(so called health technology assessments, or HTAs)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level of discounting required in relation to the pricing of pharmaceuticals and these efforts could continue as countries attempt to manage healthcare expenditures, especially in light of the severe fiscal and debt crises experienced by many countries in the EU. The downward pressure on health care costs in general, particularly prescription products, has become intense.</w:t>
      </w:r>
    </w:p>
    <w:p>
      <w:pPr>
        <w:spacing w:after="0" w:line="171"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Healthcare Law and Regulation</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our business and/or financial arrangements. Restrictions under applicable federal and state healthcare laws and regulations, include the following:</w:t>
      </w:r>
    </w:p>
    <w:p>
      <w:pPr>
        <w:spacing w:after="0" w:line="81" w:lineRule="exact"/>
        <w:rPr>
          <w:sz w:val="20"/>
          <w:szCs w:val="20"/>
          <w:color w:val="auto"/>
        </w:rPr>
      </w:pPr>
    </w:p>
    <w:p>
      <w:pPr>
        <w:ind w:left="1020" w:hanging="503"/>
        <w:spacing w:after="0" w:line="262"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and entities from knowingly and willfully soliciting, offering, paying, or receiving remuneration, directly or indirectly, overtly or covertly, in cash or in kind, in exchange for or intended to induce or reward either the referral of an individual for, or the purchase, order or recommendation of, any good or service, for which payment may be made, in whole or in part, under a federal healthcare program such as Medicare and Medicaid;</w:t>
      </w:r>
    </w:p>
    <w:p>
      <w:pPr>
        <w:spacing w:after="0" w:line="64" w:lineRule="exact"/>
        <w:rPr>
          <w:rFonts w:ascii="Arial" w:cs="Arial" w:eastAsia="Arial" w:hAnsi="Arial"/>
          <w:sz w:val="17"/>
          <w:szCs w:val="17"/>
          <w:color w:val="auto"/>
        </w:rPr>
      </w:pPr>
    </w:p>
    <w:p>
      <w:pPr>
        <w:ind w:left="1020" w:right="16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U.S.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U.S. federal Anti-Kickback Statute constitutes a false or fraudulent claim for purposes of the U.S. False Claims Act;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1" w:name="page62"/>
    <w:bookmarkEnd w:id="61"/>
    <w:p>
      <w:pPr>
        <w:ind w:left="503" w:right="20" w:hanging="503"/>
        <w:spacing w:after="0" w:line="243" w:lineRule="auto"/>
        <w:tabs>
          <w:tab w:leader="none" w:pos="5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503" w:hanging="503"/>
        <w:spacing w:after="0" w:line="243" w:lineRule="auto"/>
        <w:tabs>
          <w:tab w:leader="none" w:pos="5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79" w:lineRule="exact"/>
        <w:rPr>
          <w:rFonts w:ascii="Arial" w:cs="Arial" w:eastAsia="Arial" w:hAnsi="Arial"/>
          <w:sz w:val="18"/>
          <w:szCs w:val="18"/>
          <w:color w:val="auto"/>
        </w:rPr>
      </w:pPr>
    </w:p>
    <w:p>
      <w:pPr>
        <w:ind w:left="503" w:right="40" w:hanging="503"/>
        <w:spacing w:after="0" w:line="255" w:lineRule="auto"/>
        <w:tabs>
          <w:tab w:leader="none" w:pos="50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as amended by the Health Information Technology for Economic and Clinical Health Act of 2009, or HITECH, and their respective implementing regulations, collectively HIPAA, which imposes criminal and civil liability for knowingly and willfully executing, or attempting to execute, a scheme to defraud any healthcare benefit program (including private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w:t>
      </w:r>
    </w:p>
    <w:p>
      <w:pPr>
        <w:spacing w:after="0" w:line="71" w:lineRule="exact"/>
        <w:rPr>
          <w:rFonts w:ascii="Arial" w:cs="Arial" w:eastAsia="Arial" w:hAnsi="Arial"/>
          <w:sz w:val="17"/>
          <w:szCs w:val="17"/>
          <w:color w:val="auto"/>
        </w:rPr>
      </w:pPr>
    </w:p>
    <w:p>
      <w:pPr>
        <w:ind w:left="503" w:hanging="503"/>
        <w:spacing w:after="0" w:line="248" w:lineRule="auto"/>
        <w:tabs>
          <w:tab w:leader="none" w:pos="5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HIPAA, which impose obligations with respect to safeguarding the privacy, security, and transmission of individually identifiable information that constitutes protected health information, including mandatory contractual terms and restrictions on the use and/or disclosure of such information without proper authorization;</w:t>
      </w:r>
    </w:p>
    <w:p>
      <w:pPr>
        <w:spacing w:after="0" w:line="73" w:lineRule="exact"/>
        <w:rPr>
          <w:rFonts w:ascii="Arial" w:cs="Arial" w:eastAsia="Arial" w:hAnsi="Arial"/>
          <w:sz w:val="18"/>
          <w:szCs w:val="18"/>
          <w:color w:val="auto"/>
        </w:rPr>
      </w:pPr>
    </w:p>
    <w:p>
      <w:pPr>
        <w:ind w:left="503" w:right="20" w:hanging="503"/>
        <w:spacing w:after="0" w:line="255" w:lineRule="auto"/>
        <w:tabs>
          <w:tab w:leader="none" w:pos="50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transparency requirements known as the federal Physician Payments Sunshine Act, under the ACA, which requires certain manufacturers of drugs, devices, biologics and medical supplies to report annually to the Centers for Medicare &amp; Medicaid Services, or CMS, within the U.S. Department of Health and Human Services, or HHS, information related to payments and other transfers of value made by that entity to physicians (currently defined to include doctors, dentists, optometrists, podiatrists and chiropractors) and teaching hospitals, and requires certain manufacturers and applicable group purchasing organizations to report ownership and investment interests held by physicians or their immediate family members, effective January 1, 2022, these reporting obligations will extend to include transfers of value made to certain non-physician providers such as physician assistants and nurse practitioners;</w:t>
      </w:r>
    </w:p>
    <w:p>
      <w:pPr>
        <w:spacing w:after="0" w:line="71" w:lineRule="exact"/>
        <w:rPr>
          <w:rFonts w:ascii="Arial" w:cs="Arial" w:eastAsia="Arial" w:hAnsi="Arial"/>
          <w:sz w:val="17"/>
          <w:szCs w:val="17"/>
          <w:color w:val="auto"/>
        </w:rPr>
      </w:pPr>
    </w:p>
    <w:p>
      <w:pPr>
        <w:ind w:left="503" w:right="160" w:hanging="503"/>
        <w:spacing w:after="0" w:line="261" w:lineRule="auto"/>
        <w:tabs>
          <w:tab w:leader="none" w:pos="5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62" w:lineRule="exact"/>
        <w:rPr>
          <w:rFonts w:ascii="Arial" w:cs="Arial" w:eastAsia="Arial" w:hAnsi="Arial"/>
          <w:sz w:val="18"/>
          <w:szCs w:val="18"/>
          <w:color w:val="auto"/>
        </w:rPr>
      </w:pPr>
    </w:p>
    <w:p>
      <w:pPr>
        <w:ind w:left="503" w:right="220" w:hanging="503"/>
        <w:spacing w:after="0" w:line="261" w:lineRule="auto"/>
        <w:tabs>
          <w:tab w:leader="none" w:pos="5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62" w:lineRule="exact"/>
        <w:rPr>
          <w:rFonts w:ascii="Arial" w:cs="Arial" w:eastAsia="Arial" w:hAnsi="Arial"/>
          <w:sz w:val="18"/>
          <w:szCs w:val="18"/>
          <w:color w:val="auto"/>
        </w:rPr>
      </w:pPr>
    </w:p>
    <w:p>
      <w:pPr>
        <w:ind w:left="503" w:right="340" w:hanging="503"/>
        <w:spacing w:after="0" w:line="324" w:lineRule="auto"/>
        <w:tabs>
          <w:tab w:leader="none" w:pos="50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Foreign Corrupt Practices Act prohibits companies and their intermediaries from making, or offering or promising to make improper payments to non-U.S. officials for the purpose of obtaining or retaining business or otherwise seeking favorable treatment; and</w:t>
      </w:r>
    </w:p>
    <w:p>
      <w:pPr>
        <w:spacing w:after="0" w:line="16" w:lineRule="exact"/>
        <w:rPr>
          <w:rFonts w:ascii="Arial" w:cs="Arial" w:eastAsia="Arial" w:hAnsi="Arial"/>
          <w:sz w:val="16"/>
          <w:szCs w:val="16"/>
          <w:color w:val="auto"/>
        </w:rPr>
      </w:pPr>
    </w:p>
    <w:p>
      <w:pPr>
        <w:ind w:left="503" w:right="120" w:hanging="503"/>
        <w:spacing w:after="0" w:line="291" w:lineRule="auto"/>
        <w:tabs>
          <w:tab w:leader="none" w:pos="503"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analogous laws and regulations in other national jurisdictions and states, such as state anti-kickback and false claims laws, which may apply to healthcare items or services that are reimbursed by non-governmental third-party payors, including private insurers.</w:t>
      </w:r>
    </w:p>
    <w:p>
      <w:pPr>
        <w:spacing w:after="0" w:line="147"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36" w:right="339" w:bottom="1440" w:gutter="0" w:footer="0" w:header="0"/>
        </w:sectPr>
      </w:pPr>
    </w:p>
    <w:bookmarkStart w:id="62" w:name="page63"/>
    <w:bookmarkEnd w:id="62"/>
    <w:p>
      <w:pPr>
        <w:ind w:right="20" w:firstLine="509"/>
        <w:spacing w:after="0" w:line="268" w:lineRule="auto"/>
        <w:rPr>
          <w:sz w:val="20"/>
          <w:szCs w:val="20"/>
          <w:color w:val="auto"/>
        </w:rPr>
      </w:pPr>
      <w:r>
        <w:rPr>
          <w:rFonts w:ascii="Arial" w:cs="Arial" w:eastAsia="Arial" w:hAnsi="Arial"/>
          <w:sz w:val="16"/>
          <w:szCs w:val="16"/>
          <w:color w:val="auto"/>
        </w:rPr>
        <w:t>Some state and other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State and other laws also govern the privacy and security of health information in some circumstances, many of which differ from each other in significant ways and often are not preempted by HIPAA, thus complicating compliance efforts. For example, in California, the California Consumer Protection Act, or CCPA, which went into effect on January 1, 2020,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While clinical trial data and information governed by HIPAA are currently exempt from the current version of the CCPA, other personal information may be applicable and possible changes to the CCPA may broaden its scope. In addition, a new California ballot initiative, the California Privacy Rights Act, or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Further data privacy and security laws and regulations in foreign jurisdictions that may be more stringent than those in the U.S. (such as the European Union, which adopted the GDPR, which became effective in May 2018). Analogous state laws may additionally govern the privacy and security of health information in certain circumstances, many of which differ from each other in significant ways and may not have the same effect.</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A primary trend in the U.S.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82" w:lineRule="exact"/>
        <w:rPr>
          <w:sz w:val="20"/>
          <w:szCs w:val="20"/>
          <w:color w:val="auto"/>
        </w:rPr>
      </w:pPr>
    </w:p>
    <w:p>
      <w:pPr>
        <w:jc w:val="both"/>
        <w:ind w:right="200" w:firstLine="509"/>
        <w:spacing w:after="0" w:line="294" w:lineRule="auto"/>
        <w:rPr>
          <w:sz w:val="20"/>
          <w:szCs w:val="20"/>
          <w:color w:val="auto"/>
        </w:rPr>
      </w:pPr>
      <w:r>
        <w:rPr>
          <w:rFonts w:ascii="Arial" w:cs="Arial" w:eastAsia="Arial" w:hAnsi="Arial"/>
          <w:sz w:val="16"/>
          <w:szCs w:val="16"/>
          <w:color w:val="auto"/>
        </w:rPr>
        <w:t>By way of example, the United States and state governments continue to propose and pass legislation designed to reduce the cost of healthcare. In March 2010, the United States Congress enacted the ACA, which, among other things, includes changes to the coverage and payment for products under government health care programs. Among the provisions of the ACA of importance to our potential product candidates are:</w:t>
      </w:r>
    </w:p>
    <w:p>
      <w:pPr>
        <w:spacing w:after="0" w:line="39" w:lineRule="exact"/>
        <w:rPr>
          <w:sz w:val="20"/>
          <w:szCs w:val="20"/>
          <w:color w:val="auto"/>
        </w:rPr>
      </w:pPr>
    </w:p>
    <w:p>
      <w:pPr>
        <w:ind w:left="1020" w:right="34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 apportioned among these entities according to their market share in certain government healthcare programs, although this fee would not apply to sales of certain products approved exclusively for orphan indications;</w:t>
      </w:r>
    </w:p>
    <w:p>
      <w:pPr>
        <w:spacing w:after="0" w:line="73" w:lineRule="exact"/>
        <w:rPr>
          <w:rFonts w:ascii="Arial" w:cs="Arial" w:eastAsia="Arial" w:hAnsi="Arial"/>
          <w:sz w:val="18"/>
          <w:szCs w:val="18"/>
          <w:color w:val="auto"/>
        </w:rPr>
      </w:pPr>
    </w:p>
    <w:p>
      <w:pPr>
        <w:ind w:left="1020" w:right="440" w:hanging="503"/>
        <w:spacing w:after="0" w:line="248"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3" w:lineRule="exact"/>
        <w:rPr>
          <w:rFonts w:ascii="Arial" w:cs="Arial" w:eastAsia="Arial" w:hAnsi="Arial"/>
          <w:sz w:val="18"/>
          <w:szCs w:val="18"/>
          <w:color w:val="auto"/>
        </w:rPr>
      </w:pPr>
    </w:p>
    <w:p>
      <w:pPr>
        <w:ind w:left="1020" w:right="160" w:hanging="503"/>
        <w:spacing w:after="0" w:line="294" w:lineRule="auto"/>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39"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products that are inhaled, infused, instilled, implanted or injected;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03" w:lineRule="exact"/>
        <w:rPr>
          <w:rFonts w:ascii="Arial" w:cs="Arial" w:eastAsia="Arial" w:hAnsi="Arial"/>
          <w:sz w:val="18"/>
          <w:szCs w:val="18"/>
          <w:color w:val="auto"/>
        </w:rPr>
      </w:pPr>
    </w:p>
    <w:p>
      <w:pPr>
        <w:ind w:left="1020" w:right="20" w:hanging="503"/>
        <w:spacing w:after="0" w:line="24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products to eligible beneficiaries during their coverage gap period as a condition for the manufacturers’ outpatient products to be covered under Medicare Part D, increased pursuant to the Bipartisan Budget Act of 2018 which became effective as of 2019;</w:t>
      </w:r>
    </w:p>
    <w:p>
      <w:pPr>
        <w:spacing w:after="0" w:line="79" w:lineRule="exact"/>
        <w:rPr>
          <w:rFonts w:ascii="Arial" w:cs="Arial" w:eastAsia="Arial" w:hAnsi="Arial"/>
          <w:sz w:val="18"/>
          <w:szCs w:val="18"/>
          <w:color w:val="auto"/>
        </w:rPr>
      </w:pPr>
    </w:p>
    <w:p>
      <w:pPr>
        <w:ind w:left="1020" w:right="64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62"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the Center for Medicare and Medicaid Innovation within CMS to test innovative payment and service delivery models to lower Medicare and Medicaid spending, potentially including prescription product spending.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3" w:name="page64"/>
    <w:bookmarkEnd w:id="63"/>
    <w:p>
      <w:pPr>
        <w:ind w:right="80" w:firstLine="509"/>
        <w:spacing w:after="0" w:line="270"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For example, in August 2011, the Budget Control Act of 2011, among other things, created measures for spending reductions by Congress. A Joint Select Committee on Deficit Reduction, tasked with recommending a targeted deficit reduction of at least $1.2 trillion for the years 2012 through 2021, was unable to reach required goals, thereby triggering the legislation’s automatic reduction to several government programs. This includes aggregate reductions of Medicare payments to providers of up to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will resume on July 1, 2022.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71"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and we expect there will be additional challenges and amendments to the ACA in the future.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84"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be calculated for certain drugs and biologicals based on the lowest price drug manufacturers receive in Organization for Economic Cooperation and Development countries with a similar gross domestic product per capita. However, on December 29, 2021 CMS rescinded the Most Favored 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Further, CMS recently finalized regulations that give states greater flexibility in setting benchmarks for insurers in the individual and small group marketplaces, which may have the effect of relaxing the essential health benefits required under the ACA for plans sold through such marketplaces. For example, in May 2019, CMS issued a final rule to allow Medicare Advantage Plans the option of using step therapy, a type of prior authorization, for Part B drugs beginning January 1, 2020. It is unclear what type of impact, if any, efforts such as this will have on our business.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4" w:name="page65"/>
    <w:bookmarkEnd w:id="64"/>
    <w:p>
      <w:pPr>
        <w:ind w:right="120" w:firstLine="509"/>
        <w:spacing w:after="0" w:line="268" w:lineRule="auto"/>
        <w:rPr>
          <w:sz w:val="20"/>
          <w:szCs w:val="20"/>
          <w:color w:val="auto"/>
        </w:rPr>
      </w:pPr>
      <w:r>
        <w:rPr>
          <w:rFonts w:ascii="Arial" w:cs="Arial" w:eastAsia="Arial" w:hAnsi="Arial"/>
          <w:sz w:val="16"/>
          <w:szCs w:val="16"/>
          <w:color w:val="auto"/>
        </w:rPr>
        <w:t>There has also been heightened governmental scrutiny over the manner in which manufacturers set prices for their marketed products, which has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enacting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Beyond challenges to the ACA, other legislative measures have also been enacted that may impose additional pricing and product development pressures on our business. For example,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172"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There have been, and likely will continue to be, legislative and regulatory proposals at the national level in the U.S. and other jurisdictions globally, as well as at some regional, state and/or local levels within the U.S. or other jurisdictions,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third countries that impose similar obligations.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0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of December 31, 2021, we had 473 full-time employees. No employees were represented by labor unions or subject to collective bargaining agreements. The majority of employees were based in Cambridge, Massachusetts with additional employees based in Framingham, Massachusetts, Mission Bay, California, Switzerland and the United Kingdom. 169 employees held Ph.D., Pharm. D., or M.D. degrees. 399 engaged primarily in research and development or technical operations, and 74 engaged in business development, finance, information systems, facilities, human resources, legal functions, or administrative support. We consider our employee relations to be good.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5" w:name="page66"/>
    <w:bookmarkEnd w:id="65"/>
    <w:p>
      <w:pPr>
        <w:ind w:right="240" w:firstLine="509"/>
        <w:spacing w:after="0" w:line="254" w:lineRule="auto"/>
        <w:rPr>
          <w:sz w:val="20"/>
          <w:szCs w:val="20"/>
          <w:color w:val="auto"/>
        </w:rPr>
      </w:pPr>
      <w:r>
        <w:rPr>
          <w:rFonts w:ascii="Arial" w:cs="Arial" w:eastAsia="Arial" w:hAnsi="Arial"/>
          <w:sz w:val="17"/>
          <w:szCs w:val="17"/>
          <w:color w:val="auto"/>
        </w:rPr>
        <w:t>We are dedicated to conducting business with the highest standards of corporate responsibility. Our goal is to build a culture of diverse and passionate people striving to positively impact patients, our communities, and broader society. Our human capital resource priorities include attracting, recruiting, retaining, incentivizing and integrating our existing and new employees. We believe that a diverse, equitable, and inclusive workplace allows our company to best fulfill our mission. We are committed to continuing our efforts to increase diversity throughout our company and foster an inclusive work environment that supports our employees and the communities we serve. We have established a Diversity, Equity and Inclusion Committee that is working to amplify this focus at the company. In all the countries in which we operate, it is our policy to fully comply with all applicable laws regarding discrimination in the workplace. We are committed to recruiting the best people for the job regardless of gender, race, ethnicity, age, disability, sexual orientation, gender identity, cultural background, or religious belief.</w:t>
      </w:r>
    </w:p>
    <w:p>
      <w:pPr>
        <w:spacing w:after="0" w:line="167"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principal purposes of our comprehensive equity and cash compensation and benefits programs are to attract, motivate, retain, and reward new and existing employees. We do this by using a mix of compensation elements that balance achievement of our short-term goals with our long-term performance. In addition, employees are eligible to participate in our standard employee benefit plans, such as our retirement, health and welfare benefits plans, including medical, dental, and life and disability insurance plans. We also offer our employees the opportunity to participate in a tax-qualified retirement plan, or the 401(k) Plan, and have the ability to make matching contributions under the 401(k) Plan, which is competitive with other companies in our industry.</w:t>
      </w:r>
    </w:p>
    <w:p>
      <w:pPr>
        <w:spacing w:after="0" w:line="176"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consider our human capital resources strategy to be comprehensive and is built around our core way of working: collaborative, undaunted, entrepreneurial, and results-oriented. We foster a strong relationship with and among our employees with ongoing efforts such as employee surveys, training and development programs, and other programs, including skill development courses, manager training, leadership development opportunities, tuition reimbursement and robust online course training libraries for reference on a myriad of development topics. We also support cross-functional career development pathways, in addition to traditional promotions within functions in the organization. We plan to continue to evolve and add to our suite of human capital resources as we grow.</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Available on the Internet</w:t>
      </w:r>
    </w:p>
    <w:p>
      <w:pPr>
        <w:spacing w:after="0" w:line="10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Investors and others should note that we announce material information to our investors using our investor relations website (https://crisprtx.gcs-web.com/), SEC filings, press releases, public conference calls and webcasts. We use these channels as well as social media to communicate with the public about our company, our business, our product candidates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 Our Annual Reports on Form 10-K, Quarterly Reports on Form 10-Q, Current Reports on Form 8-K, including exhibits, proxy and information statements and amendments to those reports filed or furnished pursuant to Sections 13(a) and 15(d) of the Exchange Act are available on our website free of charge as soon as reasonably practicable after we electronically file such material with, or furnish it to, the SEC at its website (https://www.sec.gov).</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8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i w:val="1"/>
          <w:iCs w:val="1"/>
          <w:color w:val="auto"/>
        </w:rPr>
        <w:t>You should carefully consider the following risk factors, together with all other information in this report, including our financial statements and notes thereto, and in our other filings with the Securities and Exchange Commission.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shares could decline, and shareholders may lose all or part of their investment.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i w:val="1"/>
          <w:iCs w:val="1"/>
          <w:color w:val="auto"/>
        </w:rPr>
        <w:t>We Have Incurred Significant Operating Losses Since Our Inception And Anticipate That We Will Incur Continued Losses For The Foreseeable Future.</w:t>
      </w:r>
    </w:p>
    <w:p>
      <w:pPr>
        <w:spacing w:after="0" w:line="171"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We have funded our operations through public and private offerings of our equity securities, private placements of our preferred shares, convertible loans and collaboration agreements with strategic partners. While we were profitable for the years ended December 31, 2019 and December 31, 2021 due to upfront payments associated with our collaboration with Vertex, we do not expect to be profitable in future years. Our prior losses, combined with expected future losses, have had and will continue to have an adverse effect on our shareholders’ deficit and working capital. We anticipate that our expenses will increase substantially if and as we:</w:t>
      </w:r>
    </w:p>
    <w:p>
      <w:pPr>
        <w:spacing w:after="0" w:line="81"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clinical trials for our various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and clinical development of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IND supporting preclinical studies and initiate clinical trials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other product candidates we identify and choose to develop;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maintain, enforce and/or defend our intellectual property estate;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develop our gene-editing technology;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expand or contract for manufacturing capabilities;</w:t>
      </w:r>
    </w:p>
    <w:p>
      <w:pPr>
        <w:spacing w:after="0" w:line="103" w:lineRule="exact"/>
        <w:rPr>
          <w:rFonts w:ascii="Arial" w:cs="Arial" w:eastAsia="Arial" w:hAnsi="Arial"/>
          <w:sz w:val="18"/>
          <w:szCs w:val="18"/>
          <w:color w:val="auto"/>
        </w:rPr>
      </w:pPr>
    </w:p>
    <w:p>
      <w:pPr>
        <w:ind w:left="1020" w:right="6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development;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or in-license other technologies; and,</w:t>
      </w:r>
    </w:p>
    <w:p>
      <w:pPr>
        <w:spacing w:after="0" w:line="103"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products for which we may obtain marketing approval.</w:t>
      </w:r>
    </w:p>
    <w:p>
      <w:pPr>
        <w:spacing w:after="0" w:line="171"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As a result, we expect to continue to incur significant and increasing operating losses for the foreseeable future. Because of the numerous risks and uncertainties associated with developing gene-editing product candidates, we are unable to predict the extent of any future losses or when we will become profitable, if at all. Even if we do become profitable, we may not be able to sustain or increase our profitability on a quarterly or annual basis.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67" w:name="page68"/>
    <w:bookmarkEnd w:id="67"/>
    <w:p>
      <w:pPr>
        <w:ind w:right="100" w:firstLine="509"/>
        <w:spacing w:after="0" w:line="291" w:lineRule="auto"/>
        <w:rPr>
          <w:sz w:val="20"/>
          <w:szCs w:val="20"/>
          <w:color w:val="auto"/>
        </w:rPr>
      </w:pPr>
      <w:r>
        <w:rPr>
          <w:rFonts w:ascii="Arial" w:cs="Arial" w:eastAsia="Arial" w:hAnsi="Arial"/>
          <w:sz w:val="17"/>
          <w:szCs w:val="17"/>
          <w:i w:val="1"/>
          <w:iCs w:val="1"/>
          <w:color w:val="auto"/>
        </w:rPr>
        <w:t>We Will Need To Raise Substantial Additional Funding, Which Will Dilute Our Shareholders. If We Are Unable To Raise Capital When Needed, We Would Be Forced To Delay, Reduce Or Eliminate Some Of Our Product Development Programs Or Commercialization Efforts.</w:t>
      </w:r>
    </w:p>
    <w:p>
      <w:pPr>
        <w:spacing w:after="0" w:line="147"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The development of gene-editing product candidates is capital intensive. We expect our expenses to increase in connection with our ongoing activities, particularly as we continue the research and development of, initiate preclinical studies and clinical trials for and seek marketing approval for our product candidates. In addition, if we obtain marketing approval for any of our product candidates, we expect to incur significant commercialization expenses related to product sales, marketing, manufacturing and distribution to the extent that such sales, marketing, manufacturing and distribution are not the responsibility of Bayer, Vertex or other future collaborators. We may also need to raise additional funds sooner if we choose to pursue additional indications or geographies for our product candidates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68"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As of December 31, 2021 and 2020, we had cash, cash equivalents and marketable securities of approximately $2,379.1 million and $1,690.3 million, respectively. With our cash, cash equivalents and marketable securities on hand as of December 31, 2021, we expect cash, cash equivalents and marketable securities to be sufficient to fund our current operating plan through at least the next 24 months.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104" w:lineRule="exact"/>
        <w:rPr>
          <w:sz w:val="20"/>
          <w:szCs w:val="20"/>
          <w:color w:val="auto"/>
        </w:rPr>
      </w:pPr>
    </w:p>
    <w:p>
      <w:pPr>
        <w:ind w:left="1020" w:right="12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clinical trials, drug discovery, preclinical development, and laboratory testing for our wholly owned and partnered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establishing and maintaining a supply chain for the development and manufacture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collaborations with Vertex and ViaCyte;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additional collaboration agreements we obtain;</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020" w:right="340" w:hanging="503"/>
        <w:spacing w:after="0" w:line="324"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costs of fulfilling our obligations under the Consent to Assignments, Licensing and Common Ownership and Invention Management Agreement to reimburse other parties for costs incurred in connection with the prosecution and maintenance of associated patent rights;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03"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establishing or contracting for manufacturing capabilities if we obtain regulatory approvals to manufacture our product candidates;</w:t>
      </w:r>
    </w:p>
    <w:p>
      <w:pPr>
        <w:spacing w:after="0" w:line="62"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maintain healthcare coverage and adequate reimbursement.</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8" w:name="page69"/>
    <w:bookmarkEnd w:id="68"/>
    <w:p>
      <w:pPr>
        <w:ind w:firstLine="509"/>
        <w:spacing w:after="0" w:line="252"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We cannot guarantee that future financing will be available in sufficient amounts or on terms acceptable to us, if at all. For example, the trading prices for our common shares and other biopharmaceutical companies have been highly volatile as a result of the coronavirus pandemic. Moreover, the terms of any financing may adversely affect the holdings or the rights of our shareholders and the issuance of additional securities, whether equity or debt, by us, or the possibility of such issuance, may cause the market price of our shares to decline. The sale of additional equity or convertible securities would dilute all of our shareholders and the terms of these securities may include liquidation or other preferences that adversely affect your rights as a shareholder.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83"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164"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i w:val="1"/>
          <w:iCs w:val="1"/>
          <w:color w:val="auto"/>
        </w:rPr>
        <w:t>We Have A Limited Operating History, Which May Make It Difficult To Evaluate Our Technology And Product Development Capabilities And Predict Our Future Performance.</w:t>
      </w:r>
    </w:p>
    <w:p>
      <w:pPr>
        <w:spacing w:after="0" w:line="171" w:lineRule="exact"/>
        <w:rPr>
          <w:sz w:val="20"/>
          <w:szCs w:val="20"/>
          <w:color w:val="auto"/>
        </w:rPr>
      </w:pPr>
    </w:p>
    <w:p>
      <w:pPr>
        <w:ind w:right="400" w:firstLine="509"/>
        <w:spacing w:after="0" w:line="243" w:lineRule="auto"/>
        <w:rPr>
          <w:sz w:val="20"/>
          <w:szCs w:val="20"/>
          <w:color w:val="auto"/>
        </w:rPr>
      </w:pPr>
      <w:r>
        <w:rPr>
          <w:rFonts w:ascii="Arial" w:cs="Arial" w:eastAsia="Arial" w:hAnsi="Arial"/>
          <w:sz w:val="18"/>
          <w:szCs w:val="18"/>
          <w:color w:val="auto"/>
        </w:rPr>
        <w:t>We were formed in October 2013, have no products approved for commercial sale and have not generated any revenue from product sales. Our ability to generate product revenue or profits, which we do not expect will occur for several years, if ever, will depend heavily on the successful development and eventual commercialization of our product candidates, which may never occur. We may never be able to develop or commercialize a marketable product.</w:t>
      </w:r>
    </w:p>
    <w:p>
      <w:pPr>
        <w:spacing w:after="0" w:line="188"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We are early in our overall development efforts and the first clinical trial for any of our product candidates was initiated at the end of 2018. Our programs require preclinical and clinical development; regulatory and marketing approval in multiple jurisdictions; obtaining manufacturing supply, capacity, and expertise; building of a commercial organization; substantial investment and significant marketing efforts before we generate any revenue from product sales. Our product candidates must be approved for marketing by the FDA or certain other health regulatory agencies, including the EMA, before we may commercialize any product.</w:t>
      </w:r>
    </w:p>
    <w:p>
      <w:pPr>
        <w:spacing w:after="0" w:line="189"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Our limited operating history, particularly in light of the rapidly evolving gene-editing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early stage companies in rapidly evolving fields. If we do not address these risks successfully, our business will suffer. Similarly, we expect that our financial condition and operating results will fluctuate significantly from quarter to quarter and year to year due to a variety of factors, many of which are beyond our control. As a result, our shareholders should not rely upon the results of any quarterly or annual period as an indicator of future operating performance.</w:t>
      </w:r>
    </w:p>
    <w:p>
      <w:pPr>
        <w:spacing w:after="0" w:line="175"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addition, as an early stage company, we have encountered unforeseen expenses, difficulties, complications, delays and other known and unknown circumstances. As we advance our product candidates, we will need to continue to transition from a company with a research focus to a company capable of supporting clinical development and if successful, commercial activities. We may not be successful in such a transition.</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Our Ability To Use Tax Loss Carryforwards In Switzerland May Be Limited.</w:t>
      </w:r>
    </w:p>
    <w:p>
      <w:pPr>
        <w:spacing w:after="0" w:line="117" w:lineRule="exact"/>
        <w:rPr>
          <w:sz w:val="20"/>
          <w:szCs w:val="20"/>
          <w:color w:val="auto"/>
        </w:rPr>
      </w:pPr>
    </w:p>
    <w:p>
      <w:pPr>
        <w:jc w:val="both"/>
        <w:ind w:right="220" w:firstLine="509"/>
        <w:spacing w:after="0" w:line="262" w:lineRule="auto"/>
        <w:rPr>
          <w:sz w:val="20"/>
          <w:szCs w:val="20"/>
          <w:color w:val="auto"/>
        </w:rPr>
      </w:pPr>
      <w:r>
        <w:rPr>
          <w:rFonts w:ascii="Arial" w:cs="Arial" w:eastAsia="Arial" w:hAnsi="Arial"/>
          <w:sz w:val="17"/>
          <w:szCs w:val="17"/>
          <w:color w:val="auto"/>
        </w:rPr>
        <w:t>Under Swiss law, we are entitled to carry forward losses we incur for a period of seven years and we can offset future profits, if any, against such losses. Tax losses are only finally assessed by the tax authorities when offset with taxable profit (which will not be the case if we are loss making). If not used, these tax losses will expire seven years after the year in which they occurred. Due to our limited income, there is a high risk that the tax loss carry forwards will expire partly or entirely and as a result they would not be applied to reduce future cash tax payments.</w:t>
      </w:r>
    </w:p>
    <w:p>
      <w:pPr>
        <w:spacing w:after="0" w:line="172"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As of January 1, 2020, the Canton of Zug introduced its new law on the Swiss corporate tax reform. According to this new law, the ordinary effective corporate income tax rate amount was reduced to 11.91% (federal, cantonal and communal) in 2020 and was subsequently reduced to 11.85% in 2021.</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9" w:name="page70"/>
    <w:bookmarkEnd w:id="69"/>
    <w:p>
      <w:pPr>
        <w:ind w:left="520"/>
        <w:spacing w:after="0"/>
        <w:rPr>
          <w:sz w:val="20"/>
          <w:szCs w:val="20"/>
          <w:color w:val="auto"/>
        </w:rPr>
      </w:pPr>
      <w:r>
        <w:rPr>
          <w:rFonts w:ascii="Arial" w:cs="Arial" w:eastAsia="Arial" w:hAnsi="Arial"/>
          <w:sz w:val="18"/>
          <w:szCs w:val="18"/>
          <w:b w:val="1"/>
          <w:bCs w:val="1"/>
          <w:i w:val="1"/>
          <w:iCs w:val="1"/>
          <w:color w:val="auto"/>
        </w:rPr>
        <w:t>Risks Related to Our Business, Technology and Industry</w:t>
      </w:r>
    </w:p>
    <w:p>
      <w:pPr>
        <w:spacing w:after="0" w:line="10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i w:val="1"/>
          <w:iCs w:val="1"/>
          <w:color w:val="auto"/>
        </w:rPr>
        <w:t>We Are Early In Our Overall Development Efforts. It Will Be Many Years Before We Or Our Collaborators Commercialize A Product Candidate, If Ever. If We Are Unable To Advance Our Product Candidates To Clinical Development, Obtain Regulatory Approval And Ultimately Commercialize Our Product Candidates, Or Experience Significant Delays In Doing So, Our Business Will Be Materially Harmed.</w:t>
      </w:r>
    </w:p>
    <w:p>
      <w:pPr>
        <w:spacing w:after="0" w:line="182"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We are early in our overall development efforts and have focused our research and development efforts to date on CRISPR/Cas9, gene-editing technology, identifying our initial targeted disease indications and our initial product candidates. Our future success depends heavily on the successful development of our CRISPR/Cas9 gene-editing product candidates. We have invested substantially all of our efforts and financial resources in the identification and development of our current product candidates. Our ability to generate product revenue, which we do not expect will occur for several years, if ever, will depend heavily on the successful development and eventual commercialization of our product candidates, which may never occur. For example, our research programs, including those subject to our collaboration agreements with Vertex and ViaCyte and option agreement with Bayer, may fail to identify potential product candidates for clinical development for a number of reasons or may fail to successfully advance any product candidates through clinical development. Our research methodology may be unsuccessful in identifying potential product candidates, or our potential product candidates may be shown to have harmful side effects or may have other characteristics that may make the product candidates impractical to manufacture, unmarketable, or unlikely to receive marketing approval. We currently generate no revenue from sales of any product and we may never be able to develop or commercialize a marketable product.</w:t>
      </w:r>
    </w:p>
    <w:p>
      <w:pPr>
        <w:spacing w:after="0" w:line="18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must file U.S. investigational new drug applications, or INDs, clinical trial applications, or CTAs, or their equivalents with regulatory authorities to commence clinical trials. The filing of future CTAs or INDs for any other product candidate we develop is subject to the identification and selection of one or more guide RNAs with acceptable efficiency, among other activities. In addition, commencing any of our clinical trials is also subject to acceptance by the European regulatory authorities, or its equivalent, of our CTAs, or the FDA of our INDs, and finalizing the trial design based on discussions with the applicable regulatory authorities. In the event that the European regulatory authorities, FDA or their equivalent requires us to complete additional preclinical studies or we are required to satisfy other requests, our clinical trials may be delayed. Even after we receive and incorporate guidance from these regulatory authorities, they could disagree that we have satisfied their requirements to commence our clinical trial or change their position on the acceptability of our trial design or the clinical endpoints selected, which may require us to complete additional preclinical studies or clinical trials or impose stricter approval conditions than we currently expect.</w:t>
      </w:r>
    </w:p>
    <w:p>
      <w:pPr>
        <w:spacing w:after="0" w:line="184" w:lineRule="exact"/>
        <w:rPr>
          <w:sz w:val="20"/>
          <w:szCs w:val="20"/>
          <w:color w:val="auto"/>
        </w:rPr>
      </w:pPr>
    </w:p>
    <w:p>
      <w:pPr>
        <w:ind w:right="140" w:firstLine="509"/>
        <w:spacing w:after="0" w:line="271" w:lineRule="auto"/>
        <w:rPr>
          <w:sz w:val="20"/>
          <w:szCs w:val="20"/>
          <w:color w:val="auto"/>
        </w:rPr>
      </w:pPr>
      <w:r>
        <w:rPr>
          <w:rFonts w:ascii="Arial" w:cs="Arial" w:eastAsia="Arial" w:hAnsi="Arial"/>
          <w:sz w:val="16"/>
          <w:szCs w:val="16"/>
          <w:color w:val="auto"/>
        </w:rPr>
        <w:t>To become and remain profitable, we must develop and eventually commercialize product candidates with significant market potential, which will require us to be successful in a range of challenging activities. Our product candidates will require additional preclinical and clinical development; regulatory and marketing approval in multiple jurisdictions; obtaining manufacturing supply, capacity, and expertise; building of a commercial organization; substantial investment and significant marketing efforts before we generate any revenue from product sales. In addition, our product development programs must be approved for marketing by the FDA, EMA or certain other health regulatory agencies, before we may commercialize our product candidates.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also could cause shareholders to lose all or part of their investment.</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success of our product candidates will depend on several factors, including the following:</w:t>
      </w:r>
    </w:p>
    <w:p>
      <w:pPr>
        <w:spacing w:after="0" w:line="104"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completion of clinical trials and preclinical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clinical trials and preclinical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ability to develop safe and effective delivery mechanisms for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therapeutic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identify optimal RNA sequences to guide genomic editing;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0" w:name="page71"/>
    <w:bookmarkEnd w:id="70"/>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of CTAs or INDs for our product candidates to commence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and preclinical studies;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data from our clinical program that supports an acceptable risk-benefit profile of our product candidates for the intended patient populations;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regulatory and marketing approvals from applicable regulatory authorities;</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for clinical supply and commercial manufacturing and, where applicable, commercial manufacturing capabilities;</w:t>
      </w:r>
    </w:p>
    <w:p>
      <w:pPr>
        <w:spacing w:after="0" w:line="62" w:lineRule="exact"/>
        <w:rPr>
          <w:rFonts w:ascii="Arial" w:cs="Arial" w:eastAsia="Arial" w:hAnsi="Arial"/>
          <w:sz w:val="18"/>
          <w:szCs w:val="18"/>
          <w:color w:val="auto"/>
        </w:rPr>
      </w:pPr>
    </w:p>
    <w:p>
      <w:pPr>
        <w:ind w:left="1020" w:right="78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development of our internal manufacturing processes and transfer to larger-scale facilities operated by either a contract manufacturing organization or by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establishment and maintenance of patent and trade secret protection or regulatory exclusivity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 launch of our product candidates, if and when approved, whether alone or in collaboration with others;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the product candidates, if and when approved, by patients, the medical community and third-party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 competition with other therapies and treatment options;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establishment and maintenance of healthcare coverage and adequate reimbursement;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enforcement and defense of intellectual property rights and claims;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of a continued acceptable safety profile of the product candidates following approval;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desirable medicinal properties for the intended indications.</w:t>
      </w:r>
    </w:p>
    <w:p>
      <w:pPr>
        <w:spacing w:after="0" w:line="212"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Additionally, because our technology involves gene editing across multiple cell and tissue types, we are subject to many of the challenges and risks that gene therapies face, including:</w:t>
      </w:r>
    </w:p>
    <w:p>
      <w:pPr>
        <w:spacing w:after="0" w:line="63" w:lineRule="exact"/>
        <w:rPr>
          <w:sz w:val="20"/>
          <w:szCs w:val="20"/>
          <w:color w:val="auto"/>
        </w:rPr>
      </w:pPr>
    </w:p>
    <w:p>
      <w:pPr>
        <w:ind w:left="1020" w:hanging="503"/>
        <w:spacing w:after="0" w:line="324"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requirements governing gene and cell therapy products have changed frequently and may continue to change in the future; to date a limited number of products that involve the genetic modification of patient cells have been approved in the United States and the EU;</w:t>
      </w:r>
    </w:p>
    <w:p>
      <w:pPr>
        <w:spacing w:after="0" w:line="16" w:lineRule="exact"/>
        <w:rPr>
          <w:rFonts w:ascii="Arial" w:cs="Arial" w:eastAsia="Arial" w:hAnsi="Arial"/>
          <w:sz w:val="16"/>
          <w:szCs w:val="16"/>
          <w:color w:val="auto"/>
        </w:rPr>
      </w:pPr>
    </w:p>
    <w:p>
      <w:pPr>
        <w:ind w:left="1020" w:hanging="503"/>
        <w:spacing w:after="0" w:line="324"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administration processes or related procedures for our product candidates (e.g., treatment with myeloablative busulfan conditioning prior to receiving CTX001 or undergoing a lymphodepletion regimen prior to receiving our immunotherapy product candidates);</w:t>
      </w:r>
    </w:p>
    <w:p>
      <w:pPr>
        <w:spacing w:after="0" w:line="16" w:lineRule="exact"/>
        <w:rPr>
          <w:rFonts w:ascii="Arial" w:cs="Arial" w:eastAsia="Arial" w:hAnsi="Arial"/>
          <w:sz w:val="16"/>
          <w:szCs w:val="16"/>
          <w:color w:val="auto"/>
        </w:rPr>
      </w:pPr>
    </w:p>
    <w:p>
      <w:pPr>
        <w:ind w:left="1020" w:right="140" w:hanging="503"/>
        <w:spacing w:after="0" w:line="26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improper insertion of a gene sequence into a patient’s chromosome could lead to lymphoma, leukemia or other cancers, or other aberrantly functioning cells; and</w:t>
      </w:r>
    </w:p>
    <w:p>
      <w:pPr>
        <w:spacing w:after="0" w:line="62" w:lineRule="exact"/>
        <w:rPr>
          <w:rFonts w:ascii="Arial" w:cs="Arial" w:eastAsia="Arial" w:hAnsi="Arial"/>
          <w:sz w:val="18"/>
          <w:szCs w:val="18"/>
          <w:color w:val="auto"/>
        </w:rPr>
      </w:pPr>
    </w:p>
    <w:p>
      <w:pPr>
        <w:jc w:val="both"/>
        <w:ind w:left="1020" w:right="80" w:hanging="503"/>
        <w:spacing w:after="0" w:line="248"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recommends a follow-up observation period of 15 years or longer for all patients who receive treatment using gene therapies, and we may need to adopt and support, and have adopted and are supporting for certain of our trials, such an observation period for our product candidates.</w:t>
      </w:r>
    </w:p>
    <w:p>
      <w:pPr>
        <w:spacing w:after="0" w:line="182"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71" w:name="page72"/>
    <w:bookmarkEnd w:id="71"/>
    <w:p>
      <w:pPr>
        <w:ind w:right="60" w:firstLine="509"/>
        <w:spacing w:after="0" w:line="294" w:lineRule="auto"/>
        <w:rPr>
          <w:sz w:val="20"/>
          <w:szCs w:val="20"/>
          <w:color w:val="auto"/>
        </w:rPr>
      </w:pPr>
      <w:r>
        <w:rPr>
          <w:rFonts w:ascii="Arial" w:cs="Arial" w:eastAsia="Arial" w:hAnsi="Arial"/>
          <w:sz w:val="16"/>
          <w:szCs w:val="16"/>
          <w:i w:val="1"/>
          <w:iCs w:val="1"/>
          <w:color w:val="auto"/>
        </w:rPr>
        <w:t>Our CRISPR/Cas9 Gene-Editing Product Candidates Are Based On A New Gene-Editing Technology, Which Makes It Difficult To Predict The Time And Cost Of Development And Of Subsequently Obtaining Regulatory Approval, If At All. There Have Only Been A Limited Number Of Clinical Trials Of Product Candidates Based On Gene-Editing Technology And No Gene-Editing Products Have Been Approved In The United States Or In The EU.</w:t>
      </w:r>
    </w:p>
    <w:p>
      <w:pPr>
        <w:spacing w:after="0" w:line="147"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CRISPR/Cas9 gene-editing technology is relatively new, and no products based on CRISPR/Cas9 or other similar gene-editing technologies have been approved in the United States or the EU and only a limited number of clinical trials of product candidates based on gene-editing technologies have been commenced. As such it is difficult to accurately predict the developmental challenges we may incur for our product candidates as they proceed through product discovery or identification, preclinical studies and clinical trials. For example, because we have only limited data from clinical trials in CTX001 and CTX110, we have not yet been able to fully assess safety in humans. In addition, because we have only recently commenced clinical trials for certain of our other product candidates, we have not yet been able to assess safety in humans. There may be long-term effects from treatment with any product candidates that we develop that we cannot predict at this time. Any product candidates we may develop will act at the level of DNA, and, because animal DNA differs from human DNA, testing of our product candidates in animal models may not be predictive of the results we observe in human clinical trials of our product candidates for either safety or efficacy. Also, animal models may not exist for some of the diseases we choose to pursue in our programs. As a result of these factors, it is more difficult for us to predict the time and cost of product candidate development, and we cannot predict whether the application of our gene-editing technology, or any similar or competitive gene-editing technologies, will result in the identification, development, and regulatory approval of any products. There can be no assurance that any development problems we experience in the future related to our gene-editing technology or any of our research programs will not cause significant delays or unanticipated costs, or that such development problems can be solved. Any of these factors may prevent us from completing our preclinical studies or any clinical trials that we may initiate or commercializing any product candidates we may develop on a timely or profitable basis, if at all.</w:t>
      </w:r>
    </w:p>
    <w:p>
      <w:pPr>
        <w:spacing w:after="0" w:line="187"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No products based on gene-editing technologies have been approved by regulators. As a result, the regulatory approval process for product candidates such as ours is uncertain and may be more expensive and take longer than the approval process for product candidates based on other, better known or more extensively studied technologies. It is difficult to determine how long it will take or how much it will cost to obtain regulatory approvals for our product candidates in either the United States or the EU or how long it will take to commercialize our product candidates.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6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i w:val="1"/>
          <w:iCs w:val="1"/>
          <w:color w:val="auto"/>
        </w:rPr>
        <w:t>The FDA, The NIH And The EMA Have Demonstrated Caution In Their Regulation Of Gene Therapy Treatments, And Ethical And Legal Concerns About Gene Therapy And Genetic Testing May Result In Additional Regulations Or Restrictions On The Development And Commercialization Of Our Product Candidates, Which May Be Difficult To Predict.</w:t>
      </w:r>
    </w:p>
    <w:p>
      <w:pPr>
        <w:spacing w:after="0" w:line="182"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FDA, NIH and the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2" w:name="page73"/>
    <w:bookmarkEnd w:id="72"/>
    <w:p>
      <w:pPr>
        <w:ind w:right="60" w:firstLine="509"/>
        <w:spacing w:after="0" w:line="268" w:lineRule="auto"/>
        <w:rPr>
          <w:sz w:val="20"/>
          <w:szCs w:val="20"/>
          <w:color w:val="auto"/>
        </w:rPr>
      </w:pPr>
      <w:r>
        <w:rPr>
          <w:rFonts w:ascii="Arial" w:cs="Arial" w:eastAsia="Arial" w:hAnsi="Arial"/>
          <w:sz w:val="16"/>
          <w:szCs w:val="16"/>
          <w:color w:val="auto"/>
        </w:rPr>
        <w:t>Regulatory requirements in the United States and in other jurisdictions governing gene therapy products have changed frequently and may continue to change in the future. The FDA has issued several guidance documents on gene therapy products. The FDA established the Office of Tissues and Advanced Therapies within its Center for Biologics Evaluation and Research to consolidate the review of gene therapy and related products, and established the Cellular, Tissue and Gene Therapies Advisory Committee to advise this review. In addition to the government regulators, the IBC and IRB of each institution at which we conduct clinical trials of our product candidates, or a central IRB if appropriate, would need to review the proposed clinical trial to assess the safety of the trial. In addition, adverse developments in clinical trials of gene therapy product candidates conducted by others may cause the FDA or other oversight bodies to change the requirements for approval of any of our product candidates. Similarly, the EMA governs the development of gene therapies in the EU and may issue new guidelines concerning the development and marketing authorization for gene therapy products and require that we comply with these new guidelines.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committees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or our collaborators’ ability to complete clinical trials and commercialize our current and future product candidates in a timely manner, if at all.</w:t>
      </w:r>
    </w:p>
    <w:p>
      <w:pPr>
        <w:spacing w:after="0" w:line="169"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i w:val="1"/>
          <w:iCs w:val="1"/>
          <w:color w:val="auto"/>
        </w:rPr>
        <w:t>If Any Of The Product Candidates We May Develop Or Administration Processes We Rely On Causes Undesirable Side Effects, It Could Delay Or Prevent Their Regulatory Approval, Limit The Commercial Potential Or Result In Significant Negative Consequences Following Any Potential Marketing Approval.</w:t>
      </w:r>
    </w:p>
    <w:p>
      <w:pPr>
        <w:spacing w:after="0" w:line="182"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Product candidates we may develop may be associated with undesirable or unacceptable side effects, unexpected characteristics or other serious adverse events, including death or off-target cuts of DNA, or the introduction of cuts in DNA at locations other than the target sequence. These off-target cuts could lead to disruption of a gene or a genetic regulatory sequence at an unintended site in the DNA, or, in those instances where we also provide a segment of DNA to serve as a repair template, it is possible that following off-target cut events, DNA from such repair template could be integrated into the genome at an unintended site, potentially disrupting another important gene or genomic element.</w:t>
      </w:r>
    </w:p>
    <w:p>
      <w:pPr>
        <w:spacing w:after="0" w:line="174" w:lineRule="exact"/>
        <w:rPr>
          <w:sz w:val="20"/>
          <w:szCs w:val="20"/>
          <w:color w:val="auto"/>
        </w:rPr>
      </w:pPr>
    </w:p>
    <w:p>
      <w:pPr>
        <w:jc w:val="both"/>
        <w:ind w:right="20" w:firstLine="509"/>
        <w:spacing w:after="0" w:line="270" w:lineRule="auto"/>
        <w:rPr>
          <w:sz w:val="20"/>
          <w:szCs w:val="20"/>
          <w:color w:val="auto"/>
        </w:rPr>
      </w:pPr>
      <w:r>
        <w:rPr>
          <w:rFonts w:ascii="Arial" w:cs="Arial" w:eastAsia="Arial" w:hAnsi="Arial"/>
          <w:sz w:val="17"/>
          <w:szCs w:val="17"/>
          <w:color w:val="auto"/>
        </w:rPr>
        <w:t>There also is the potential risk of delayed adverse events following exposure to gene-editing therapy due to persistent biologic activity of the genetic material or other components of products used to carry the genetic material. Possible adverse side effects that could occur with treatment with gene-editing products include an immunologic reaction after administration which could substantially limit the effectiveness of the treatment.</w:t>
      </w:r>
    </w:p>
    <w:p>
      <w:pPr>
        <w:spacing w:after="0" w:line="16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Immunotherapy, and its method of action of harnessing the body’s immune system, is powerful and could lead to serious side effects that we only discover in clinical trials. Unforeseen side effects could arise either during clinical development or, if such side effects are rare, after our product candidates have been approved by regulatory authorities and the approved product has been marketed, resulting in the exposure of additional patients. If our CRISPR/Cas9 gene-editing technology demonstrates a similar effect, we may decide or be required to halt or delay preclinical development or clinical development of our product candidates.</w:t>
      </w:r>
    </w:p>
    <w:p>
      <w:pPr>
        <w:spacing w:after="0" w:line="189" w:lineRule="exact"/>
        <w:rPr>
          <w:sz w:val="20"/>
          <w:szCs w:val="20"/>
          <w:color w:val="auto"/>
        </w:rPr>
      </w:pPr>
    </w:p>
    <w:p>
      <w:pPr>
        <w:ind w:right="80" w:firstLine="509"/>
        <w:spacing w:after="0" w:line="252" w:lineRule="auto"/>
        <w:rPr>
          <w:sz w:val="20"/>
          <w:szCs w:val="20"/>
          <w:color w:val="auto"/>
        </w:rPr>
      </w:pPr>
      <w:r>
        <w:rPr>
          <w:rFonts w:ascii="Arial" w:cs="Arial" w:eastAsia="Arial" w:hAnsi="Arial"/>
          <w:sz w:val="17"/>
          <w:szCs w:val="17"/>
          <w:color w:val="auto"/>
        </w:rPr>
        <w:t>In addition to serious adverse events or side effects caused by any product candidate we may develop, the administration process or related procedures also can cause undesirable side effects. Patients who enroll in our CTX001 clinical trials have their own CRISPR/Cas9 edited-hematopoietic stem and progenitor cells, CTX001, infused back into the patient as part of a stem cell transplant, a process which involves, among other things, a patient being treated with myeloablative busulfan conditioning. Patients undergoing stem cell transplants may also encounter side effects (ranging from mild to severe) that are unrelated to the administration of CTX001. Patients who enroll in our immunotherapy trials undergo a lymphodepletion regimen, which generally includes fludarabine and cyclophosphamide that may cause serious adverse events. Because these regimens will cause a transient and sometimes prolonged immune suppression, patients will have an increased risk of certain infections that may be unable to be cleared by the patient and could ultimately lead to death. Any side effects may not be appropriately recognized or managed by the treating medical staff. We or our collaborators expect to have to educate medical personnel using any product candidates we may develop to understand the side effect profiles for our clinical trials and upon any commercialization of such product candidates. Inadequate recognition or management of the potential side effects of such product candidates could result in patient injury or death.</w:t>
      </w:r>
    </w:p>
    <w:p>
      <w:pPr>
        <w:spacing w:after="0" w:line="186"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If any undesirable or unacceptable side effects, unexpected characteristics or other serious adverse events occur, our clinical trials or commercial distribution of any product candidates or products we develop alone or with collaborators could be suspended or terminated, and our business and reputation could suffer substantial harm.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3" w:name="page74"/>
    <w:bookmarkEnd w:id="73"/>
    <w:p>
      <w:pPr>
        <w:ind w:right="40" w:firstLine="509"/>
        <w:spacing w:after="0" w:line="274" w:lineRule="auto"/>
        <w:rPr>
          <w:sz w:val="20"/>
          <w:szCs w:val="20"/>
          <w:color w:val="auto"/>
        </w:rPr>
      </w:pPr>
      <w:r>
        <w:rPr>
          <w:rFonts w:ascii="Arial" w:cs="Arial" w:eastAsia="Arial" w:hAnsi="Arial"/>
          <w:sz w:val="16"/>
          <w:szCs w:val="16"/>
          <w:color w:val="auto"/>
        </w:rPr>
        <w:t>If in the future we are unable to demonstrate that such adverse events were caused by factors other than our product candidate, the FDA, EMA or other comparable health regulatory authorities could order us to cease further clinical studies of, or deny approval of, any product candidates we are able to develop for any or all targeted indications. Even if we are able to demonstrate that all future serious adverse events are not product-related, such occurrences could affect patient recruitment or the ability of enrolled patients to complete the trial. 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spacing w:after="0" w:line="163"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Additionally, if we successfully develop a product candidate and it receives marketing approval, the FDA could require us to adopt a Risk Evaluation and Mitigation Strategy, or REMS, to ensure that the benefits of treatment with such product candidate outweighs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develop, several potentially significant negative consequences could result, including:</w:t>
      </w:r>
    </w:p>
    <w:p>
      <w:pPr>
        <w:spacing w:after="0" w:line="81"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revoke licenses or suspend, vary or withdraw approvals of such product candidate;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a product candidate is administered or conduct additional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Moreover, gene therapy product candidates investigated by other parties have resulted in serious adverse events, including deaths, and it is possible that the FDA or other regulatory authorities could impose a clinical hold on clinical trials of our product candidates after becoming aware of adverse events with products or product candidates in the same class as our product candidates.</w:t>
      </w:r>
    </w:p>
    <w:p>
      <w:pPr>
        <w:spacing w:after="0" w:line="182"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Any of these events could prevent us from achieving or maintaining market acceptance of our gene-editing technology and any product candidates we may identify and develop and could have a material adverse effect on our business, financial condition, results of operations and prospects.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Our Engineered Allogeneic T cell Product Candidates Represent A Novel Approach To Cancer Treatment That Creates Significant Challenges For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96"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For our immuno-oncology programs, we are developing a pipeline of allogeneic T cell product candidates (which currently includes CTX110, CTX120 and CTX130) that are engineered from healthy donor T cells to express chimeric antigen receptors, or CARs, and are intended for use in any patient with certain cancers. Unlike for autologous CAR-T therapies, for allogeneic CAR-T therapies, we are reliant on receiving healthy donor material to manufacture our product candidates. Healthy donor T cells vary in type and quality, and this variation makes producing standardized allogeneic CAR-T product candidates challenging and makes the development and commercialization pathway of those product candidates uncertain.</w:t>
      </w:r>
    </w:p>
    <w:p>
      <w:pPr>
        <w:spacing w:after="0" w:line="15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have developed screening processes designed to enhance the quality and consistency of T cells used in the manufacture of our CAR-T cell product candidates, but our screening processes may fail to identify suitable donor material and we may discover failures with the material after production. We may also have to update our specifications for new risks that may emerge, such as to screen for new viruses.</w:t>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have strict specifications for donor material, which include specifications required by regulatory authorities. If we are unable to identify and obtain donor material that satisfy specifications, agree with regulatory authorities on appropriate specifications, or address variability in donor T cells, there may be inconsistencies in the product candidates we produce or we may be unable to initiate or continue ongoing clinical trials on the timelines we expect, which could harm our reputation and adversely impact our business and prospects.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4" w:name="page75"/>
    <w:bookmarkEnd w:id="74"/>
    <w:p>
      <w:pPr>
        <w:ind w:right="40" w:firstLine="509"/>
        <w:spacing w:after="0" w:line="239" w:lineRule="auto"/>
        <w:rPr>
          <w:sz w:val="20"/>
          <w:szCs w:val="20"/>
          <w:color w:val="auto"/>
        </w:rPr>
      </w:pPr>
      <w:r>
        <w:rPr>
          <w:rFonts w:ascii="Arial" w:cs="Arial" w:eastAsia="Arial" w:hAnsi="Arial"/>
          <w:sz w:val="18"/>
          <w:szCs w:val="18"/>
          <w:color w:val="auto"/>
        </w:rPr>
        <w:t>In addition, approved autologous CAR-T therapies and those under development have shown frequent rates of cytokine release syndrome, neurotoxicity, serious infections, prolonged cytopenia and hypogammaglobulinemia, and other serious adverse events that have resulted in patient deaths. We expect similar adverse events for our allogeneic CAR-T product candidates. Moreover, patients eligible for allogeneic CAR-T cell therapies but ineligible for autologous CAR-T cell therapies due to aggressive cancer and inability to wait for autologous CAR-T cell therapies may be at greater risk for complications and death from therapy. Our allogeneic CAR-T cell product candidates may also cause unique adverse events related to the differences between the donor and patients, such as Graft versus Host Disease, or GvHD, or infusion reactions. GvHD results when allogeneic T cells start recognizing the patient’s normal tissue as foreign.</w:t>
      </w:r>
    </w:p>
    <w:p>
      <w:pPr>
        <w:spacing w:after="0" w:line="191" w:lineRule="exact"/>
        <w:rPr>
          <w:sz w:val="20"/>
          <w:szCs w:val="20"/>
          <w:color w:val="auto"/>
        </w:rPr>
      </w:pPr>
    </w:p>
    <w:p>
      <w:pPr>
        <w:ind w:right="220" w:firstLine="509"/>
        <w:spacing w:after="0" w:line="259" w:lineRule="auto"/>
        <w:rPr>
          <w:sz w:val="20"/>
          <w:szCs w:val="20"/>
          <w:color w:val="auto"/>
        </w:rPr>
      </w:pPr>
      <w:r>
        <w:rPr>
          <w:rFonts w:ascii="Arial" w:cs="Arial" w:eastAsia="Arial" w:hAnsi="Arial"/>
          <w:sz w:val="17"/>
          <w:szCs w:val="17"/>
          <w:color w:val="auto"/>
        </w:rPr>
        <w:t>We have designed our CRISPR/Cas9 gene-editing technology to eliminate the T-cell receptor from the healthy donor T cells to reduce the risk of GvHD from our product candidates, as well as to remove the class I major histocompatibility complex from the cell surface in order to limit the patient’s immune system from attacking the allogeneic T cells and to improve the persistence of the CAR-T cells. However, the gene-editing of our product candidates may not be successful in limiting the risk of GvHD or premature rejection by the patient. In addition, results of our immuno-oncology clinical trials could reveal a high and unacceptable severity and prevalence of side effects or unexpected characteristics.</w:t>
      </w:r>
    </w:p>
    <w:p>
      <w:pPr>
        <w:spacing w:after="0" w:line="174"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color w:val="auto"/>
        </w:rPr>
        <w:t>If significant GvHD or other adverse events are observed with the administration of our product candidates, or if any of the product candidates is viewed as less safe or effective than autologous therapies or other allogenic therapies, our ability to develop allogeneic therapies may be adversely affected.</w:t>
      </w:r>
    </w:p>
    <w:p>
      <w:pPr>
        <w:spacing w:after="0" w:line="12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i w:val="1"/>
          <w:iCs w:val="1"/>
          <w:color w:val="auto"/>
        </w:rPr>
        <w:t>If We Experience Delays Or Difficulties In The Enrollment Of Patients In Clinical Trials, Our Receipt Of Necessary Regulatory Approvals Could Be Delayed Or Prevented.</w:t>
      </w:r>
    </w:p>
    <w:p>
      <w:pPr>
        <w:spacing w:after="0" w:line="17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or our collaborators may not be able to initiate or continue clinical trials for any product candidates we identify or develop if we are unable to locate and enroll a sufficient number of eligible patients to participate in these trials as required by the FDA or analogous regulatory authorities outside the United States, or as needed to provide appropriate statistical power for a given trial. Enrollment may be particularly challenging for any rare genetically defined diseases we may target in the future. In addition, if patients are unwilling to participate in our gene-editing trials because of negative publicity from adverse events related to the biotechnology, gene therapy or gene-editing fields, competitive clinical trials for similar patient populations, clinical trials with competing products, or for other reasons, the timeline for recruiting patients, conducting studies and obtaining regulatory approval of any product candidates we may develop may be delayed. Moreover, some of our competitors may have ongoing clinical trials for product candidates that would treat the same indications as any product candidates we may develop, and patients who would otherwise be eligible for our clinical trials may instead enroll in clinical trials of our competitors’ product candidates.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also affected by other factors, including:</w:t>
      </w:r>
    </w:p>
    <w:p>
      <w:pPr>
        <w:spacing w:after="0" w:line="104"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eligible prospective patients that are otherwise eligible patients for competitive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eligibility and exclusion criteria for the trial in question;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perceived risks and benefits of gene editing and cellular therapies as therapeutic approaches;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5" w:name="page76"/>
    <w:bookmarkEnd w:id="75"/>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coronavirus pandemic.</w:t>
      </w:r>
    </w:p>
    <w:p>
      <w:pPr>
        <w:spacing w:after="0" w:line="21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Enrollment delays in our clinical trials may result in increased development costs for any product candidates we may develop, which would cause our value to decline and limit our ability to obtain additional financing. If we or our collaborators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Our Business May Be Adversely Affected By The Ongoing Coronavirus Pandemic, Including The Emergence of Additional Variants.</w:t>
      </w:r>
    </w:p>
    <w:p>
      <w:pPr>
        <w:spacing w:after="0" w:line="104" w:lineRule="exact"/>
        <w:rPr>
          <w:sz w:val="20"/>
          <w:szCs w:val="20"/>
          <w:color w:val="auto"/>
        </w:rPr>
      </w:pPr>
    </w:p>
    <w:p>
      <w:pPr>
        <w:ind w:right="220" w:firstLine="849"/>
        <w:spacing w:after="0"/>
        <w:rPr>
          <w:sz w:val="20"/>
          <w:szCs w:val="20"/>
          <w:color w:val="auto"/>
        </w:rPr>
      </w:pPr>
      <w:r>
        <w:rPr>
          <w:rFonts w:ascii="Arial" w:cs="Arial" w:eastAsia="Arial" w:hAnsi="Arial"/>
          <w:sz w:val="18"/>
          <w:szCs w:val="18"/>
          <w:color w:val="auto"/>
        </w:rPr>
        <w:t>Our business could be adversely affected by health epidemics in regions where we have concentrations of clinical trial sites or other business activities and could cause significant disruption in the operations of third-party manufacturers and CROs upon whom we rely, as well as our ability to recruit patients for our clinical trials. For example, beginning in late 2019, the outbreak of coronavirus has evolved into a global pandemic. As of late March 2020, the coronavirus had spread to most regions of the world, and the coronavirus pandemic has persisted as a result of the spread of additional variants of the virus leading to additional "waves" and resurgence of infections. Since March 2020, we have been evaluating the actual and potential business impacts related to the coronavirus pandemic.</w:t>
      </w:r>
    </w:p>
    <w:p>
      <w:pPr>
        <w:spacing w:after="0" w:line="189" w:lineRule="exact"/>
        <w:rPr>
          <w:sz w:val="20"/>
          <w:szCs w:val="20"/>
          <w:color w:val="auto"/>
        </w:rPr>
      </w:pPr>
    </w:p>
    <w:p>
      <w:pPr>
        <w:ind w:right="360" w:firstLine="849"/>
        <w:spacing w:after="0" w:line="261" w:lineRule="auto"/>
        <w:rPr>
          <w:sz w:val="20"/>
          <w:szCs w:val="20"/>
          <w:color w:val="auto"/>
        </w:rPr>
      </w:pPr>
      <w:r>
        <w:rPr>
          <w:rFonts w:ascii="Arial" w:cs="Arial" w:eastAsia="Arial" w:hAnsi="Arial"/>
          <w:sz w:val="18"/>
          <w:szCs w:val="18"/>
          <w:color w:val="auto"/>
        </w:rPr>
        <w:t>As a result of the coronavirus pandemic, we have experienced, and may further experience, disruptions, pauses and/or delays that have and could further adversely impact our business, operations, and/or associated timelines, including:</w:t>
      </w:r>
    </w:p>
    <w:p>
      <w:pPr>
        <w:spacing w:after="0" w:line="63" w:lineRule="exact"/>
        <w:rPr>
          <w:sz w:val="20"/>
          <w:szCs w:val="20"/>
          <w:color w:val="auto"/>
        </w:rPr>
      </w:pPr>
    </w:p>
    <w:p>
      <w:pPr>
        <w:ind w:left="1020" w:right="20" w:hanging="503"/>
        <w:spacing w:after="0" w:line="266"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We are conducting a number of clinical trials for product candidates in the fields of severe hemoglobinopathies and immuno-oncology in geographies which are affected by the coronavirus pandemic. We believe that the coronavirus pandemic has had, and will likely continue to have, an impact on various aspects of our clinical trials. For example, with respect to our CTX001 clinical trials for severe hemoglobinopathies (specifically, transfusion-dependent beta thalassemia and severe sickle cell disease), since ICU beds and related healthcare resources were significantly constrained, we elected to pause patient dosing in the early stages of the pandemic and may elect to pause patient dosing in certain of our trials again if </w:t>
      </w:r>
      <w:r>
        <w:rPr>
          <w:rFonts w:ascii="Arial" w:cs="Arial" w:eastAsia="Arial" w:hAnsi="Arial"/>
          <w:sz w:val="16"/>
          <w:szCs w:val="16"/>
          <w:color w:val="212529"/>
        </w:rPr>
        <w:t>ICU beds and related healthcare resources become significantly constrained</w:t>
      </w:r>
      <w:r>
        <w:rPr>
          <w:rFonts w:ascii="Arial" w:cs="Arial" w:eastAsia="Arial" w:hAnsi="Arial"/>
          <w:sz w:val="16"/>
          <w:szCs w:val="16"/>
          <w:color w:val="auto"/>
        </w:rPr>
        <w:t xml:space="preserve"> again or governmental authorities impose additional business or travel restrictions. And, for example, with respect to our immuno-oncology clinical trials, investigators participating in our clinical trials may not want to take the risk of exposing cancer patients to the coronavirus since the dosing of patients is conducted within an in-patient setting. Other potential impacts of the coronavirus pandemic on our various clinical trials include patient dosing and study monitoring, which may be paused or delayed due to changes in policies at various clinical sites, federal, state, local or foreign laws, rules and regulations, including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FDA, or other reasons related to the coronavirus pandemic. In addition, the FDA published guidance on manufacturing investigational cellular and gene therapy products during the coronavirus pandemic and provided risk-based recommendations to minimize potential transmission of the coronavirus to patients and facility personnel. The FDA expects manufacturers to evaluate whether the coronavirus poses new risks in the context of their specific products, facilities, processes, and manufacturing controls, and identify and mitigate factors that may allow for transmission of the coronavirus to patients and facility personnel and include a description of the risk assessment and mitigation strategies in any IND and any Biologics License Application, or BLA. If the coronavirus pandemic continues, other aspects of our clinical trials may be adversely affected, delayed or interrupted, including, for example, site initiation, patient recruitment and enrollment, availability of clinical trial materials, and data analysis. Some patients and clinical investigators may not be able to comply with clinical trial protocols and patients may choose to withdraw from our studies or we may have to pause enrollment or we may choose to or be required to pause enrollment and or patient dosing in our ongoing clinical trials in order to preserve health resources and protect trial participants. It is unknown how long these pauses or disruptions could continue.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6" w:name="page77"/>
    <w:bookmarkEnd w:id="76"/>
    <w:p>
      <w:pPr>
        <w:ind w:left="503" w:right="80" w:hanging="503"/>
        <w:spacing w:after="0" w:line="253" w:lineRule="auto"/>
        <w:tabs>
          <w:tab w:leader="none" w:pos="503"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currently rely on third parties to, among other things, manufacture raw materials, manufacture our product candidates for our clinical trials, ship investigational drugs and clinical trial samples, perform quality testing and supply other goods and services to run our business. Certain of our third-party manufacturers and suppliers paused their operations in the early stages of the pandemic, and some have paused their operations again as additional waves of the coronavirus pandemic have impacted local communities and/or as a result of national and local regulations. Other of our third-party manufacturers and suppliers have otherwise encountered delays in providing their services. As a result, we may not be able to manufacture our product candidates for our clinical trials and conduct other research and development operations and maintain current clinical and pre-clinical timelines. In addition, if additional third parties in our supply chain for materials are adversely impacted by restrictions resulting from the coronavirus pandemic, including staffing shortages, production slowdowns and disruptions in delivery systems, our supply chain may be disrupted in other ways, further limiting our ability to manufacture our product candidates for our clinical trials and conduct our research and development operations.</w:t>
      </w:r>
    </w:p>
    <w:p>
      <w:pPr>
        <w:spacing w:after="0" w:line="72" w:lineRule="exact"/>
        <w:rPr>
          <w:rFonts w:ascii="Arial" w:cs="Arial" w:eastAsia="Arial" w:hAnsi="Arial"/>
          <w:sz w:val="17"/>
          <w:szCs w:val="17"/>
          <w:color w:val="auto"/>
        </w:rPr>
      </w:pPr>
    </w:p>
    <w:p>
      <w:pPr>
        <w:ind w:left="503" w:hanging="503"/>
        <w:spacing w:after="0" w:line="252" w:lineRule="auto"/>
        <w:tabs>
          <w:tab w:leader="none" w:pos="503"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maintain temporary work-from-home procedures for all employees other than for those personnel and contractors who perform essential activities that must be completed on-site. If negative developments relating to the coronavirus pandemic continue, including periodic resurgence and additional “waves”, we may be required to restrict on-site staff at our offices and laboratories again. For example, in March 2020, we closed our offices and requested that most of our personnel, including all of our administrative employees, work remotely, restricted on-site staff to only those personnel and contractors who must perform essential activities that must be completed on-site and limited the number of staff in any given research and development laboratory. Our increased reliance on personnel working from home may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other important agencies and contractors. We will continue to evaluate our return to work protocols in accordance with state and local regulations.</w:t>
      </w:r>
    </w:p>
    <w:p>
      <w:pPr>
        <w:spacing w:after="0" w:line="77" w:lineRule="exact"/>
        <w:rPr>
          <w:rFonts w:ascii="Arial" w:cs="Arial" w:eastAsia="Arial" w:hAnsi="Arial"/>
          <w:sz w:val="17"/>
          <w:szCs w:val="17"/>
          <w:color w:val="auto"/>
        </w:rPr>
      </w:pPr>
    </w:p>
    <w:p>
      <w:pPr>
        <w:ind w:left="503" w:hanging="503"/>
        <w:spacing w:after="0" w:line="253" w:lineRule="auto"/>
        <w:tabs>
          <w:tab w:leader="none" w:pos="503"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employees and contractors conducting research and development activities may not be able to access our laboratory for an extended period of time or as frequently as needed as a result of restrictions for on-site staff and reduced access to our offices and the possibility that governmental authorities further modify current restrictions now, or in the future, if additional waves of coronavirus infections (including as a result of new coronavirus variants) were to occur. As a result, this could delay timely completion of preclinical activities, including completing IND/CTA-enabling studies or our ability to select future development candidates, and initiation of additional clinical trials for other of our development programs. In addition, when we re-open our facilities, we could encounter delays in connection with implementing precautionary measures to mitigate the risk of exposing our facilities and employees to the coronavirus (for example, implementing screening procedures or procuring appropriate non-medical personal protective equipment for use while in our facilities) or otherwise in connection with addressing an actual or potential exposure to the coronavirus (for example, temporarily closing all or a portion of a facility or disinfecting all or a portion of a facility that may have been exposed to the coronavirus).</w:t>
      </w:r>
    </w:p>
    <w:p>
      <w:pPr>
        <w:spacing w:after="0" w:line="72" w:lineRule="exact"/>
        <w:rPr>
          <w:rFonts w:ascii="Arial" w:cs="Arial" w:eastAsia="Arial" w:hAnsi="Arial"/>
          <w:sz w:val="17"/>
          <w:szCs w:val="17"/>
          <w:color w:val="auto"/>
        </w:rPr>
      </w:pPr>
    </w:p>
    <w:p>
      <w:pPr>
        <w:ind w:left="503" w:right="20" w:hanging="503"/>
        <w:spacing w:after="0" w:line="267" w:lineRule="auto"/>
        <w:tabs>
          <w:tab w:leader="none" w:pos="503" w:val="left"/>
        </w:tabs>
        <w:numPr>
          <w:ilvl w:val="0"/>
          <w:numId w:val="23"/>
        </w:numPr>
        <w:rPr>
          <w:rFonts w:ascii="Arial" w:cs="Arial" w:eastAsia="Arial" w:hAnsi="Arial"/>
          <w:sz w:val="16"/>
          <w:szCs w:val="16"/>
          <w:color w:val="auto"/>
        </w:rPr>
      </w:pPr>
      <w:r>
        <w:rPr>
          <w:rFonts w:ascii="Arial" w:cs="Arial" w:eastAsia="Arial" w:hAnsi="Arial"/>
          <w:sz w:val="16"/>
          <w:szCs w:val="16"/>
          <w:color w:val="auto"/>
        </w:rPr>
        <w:t>Health regulatory agencies globally may experience disruptions in their operations as a result of the coronavirus pandemic. The FDA and comparable foreign regulatory agencies may have slower response times or be under-resourced and, as a result, review, inspection, and other timelines may be materially delayed. Since March 2020, when foreign and domestic inspections by the FDA were largely placed on hold,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the FDA determine that an inspection is necessary for approval of a marketing application and an inspection cannot be completed during the review cycle due to restrictions on travel, the FDA has stated that it generally intends to issue, depending on the circumstances, a complete response letter or defer action on the application until an inspection can be completed. In 2020 and 2021, several companies announced receipt of complete response letters due to the FDA's inability to complete required inspections for their applications. Regulatory authorities outside the United States may adopt similar restrictions or other policy measures in response to the coronavirus pandemic and may experience delays in their regulatory activities. It is unknown how long these disruptions could continue, were they to occur. Any elongation or de-prioritization of our clinical trials or delay in regulatory review resulting from such disruptions could materially affect the development and study of our product candidates. For example, regulatory authorities may require that we not distribute a product candidate lot until the relevant agency authorizes its release. Such release authorization may be delayed as a result of the coronavirus pandemic and could result in delays to our clinical trials.</w:t>
      </w:r>
    </w:p>
    <w:p>
      <w:pPr>
        <w:spacing w:after="0" w:line="177"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36" w:right="339" w:bottom="1440" w:gutter="0" w:footer="0" w:header="0"/>
        </w:sectPr>
      </w:pPr>
    </w:p>
    <w:bookmarkStart w:id="77" w:name="page78"/>
    <w:bookmarkEnd w:id="77"/>
    <w:p>
      <w:pPr>
        <w:ind w:left="1020" w:right="260" w:hanging="503"/>
        <w:spacing w:after="0" w:line="24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trading prices for our common shares and other biopharmaceutical companies have been highly volatile as a result of the coronavirus pandemic. As a result, we may face difficulties raising capital through sales of our common shares or such sales may be on unfavorable terms. In addition, a recession, depression or other sustained adverse market event resulting from the spread of the coronavirus could materially and adversely affect our business and the value of our common shares.</w:t>
      </w:r>
    </w:p>
    <w:p>
      <w:pPr>
        <w:spacing w:after="0" w:line="18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coronavirus pandemic continues to rapidly evolve. The ultimate impact of the coronavirus pandemic on our business operations is highly uncertain and subject to change and will depend on future developments, which cannot be accurately predicted, including the duration of the pandemic, the emergence of additional variants of the coronavirus, additional or modified government actions, new information that will emerge concerning the severity and impact of COVID-19 and the coronavirus and the actions taken to contain coronavirus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89"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i w:val="1"/>
          <w:iCs w:val="1"/>
          <w:color w:val="auto"/>
        </w:rPr>
        <w:t>Positive Results From Early Preclinical Studies Or Preliminary Results from Clinical Trials Of Our Product Candidates Are Not Necessarily Predictive Of The Results Of Later Preclinical Studies And Any Future Clinical Trials Of Our Product Candidates. If We Cannot Replicate The Positive Results From Our Earlier Preclinical Studies Of Our Product Candidates In Our Later Preclinical Studies, Clinical Trials And Future Clinical Trials, We May Be Unable To Successfully Develop, Obtain Regulatory Approval For And Commercialize Our Product Candidates.</w:t>
      </w:r>
    </w:p>
    <w:p>
      <w:pPr>
        <w:spacing w:after="0" w:line="172"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Any positive results from our preclinical studies or preliminary results from our clinical trials of our product candidates may not necessarily be predictive of the results from required later preclinical studies and clinical trials. Preliminary, interim and top-line data from our clinical trials may change as more patient data become available. Preliminary, interim or top-line data from our clinical trials are not necessarily predictive of final results. Interim, top-line and preliminary data remain subject to audit and verification procedures that may result in the final data being materially different from the preliminary data we previously announced. As a result, preliminary, interim and top-line data should be viewed with caution until the final data are available. Material adverse changes in the final data compared to the interim data could significantly harm our business prospects. Moreover, preliminary, interim and top-line data are subject to the risk that one or more of the clinical outcomes may materially change as more patient data become available when patients mature on study, patient enrollment continues or as other ongoing or future clinical trials with a product candidate further develop. Past results of clinical trials may not be predictive of future results. In addition, the information we choose to publicly disclose regarding a particular study or clinical trial is based on what is typically more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candidate or our business. Similarly, even if we are able to complete our planned preclinical studies or any future clinical trials of our product candidates according to our current development timeline, the positive results from such preclinical studies and clinical trials of our product candidates may not be replicated in subsequent preclinical studies or clinical trial results.</w:t>
      </w:r>
    </w:p>
    <w:p>
      <w:pPr>
        <w:spacing w:after="0" w:line="18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EMA approval.</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78" w:name="page79"/>
    <w:bookmarkEnd w:id="78"/>
    <w:p>
      <w:pPr>
        <w:ind w:right="180" w:firstLine="509"/>
        <w:spacing w:after="0" w:line="284" w:lineRule="auto"/>
        <w:rPr>
          <w:sz w:val="20"/>
          <w:szCs w:val="20"/>
          <w:color w:val="auto"/>
        </w:rPr>
      </w:pPr>
      <w:r>
        <w:rPr>
          <w:rFonts w:ascii="Arial" w:cs="Arial" w:eastAsia="Arial" w:hAnsi="Arial"/>
          <w:sz w:val="16"/>
          <w:szCs w:val="16"/>
          <w:i w:val="1"/>
          <w:iCs w:val="1"/>
          <w:color w:val="auto"/>
        </w:rPr>
        <w:t>Even If We Complete The Necessary Preclinical Studies And Clinical Trials, The Marketing Approval Process Is Expensive, Time-Consuming, And Uncertain And May Prevent Us From Obtaining Approvals For The Commercialization Of Any Product Candidates We May Develop. If We Are Not Able To Obtain, Or If There Are Delays In Obtaining, Required Regulatory Approvals, We Will Not Be Able To Commercialize, Or Will Be Delayed In Commercializing, Product Candidates We May Develop, And Our Ability To Generate Revenue Will Be Materially Impaired.</w:t>
      </w:r>
    </w:p>
    <w:p>
      <w:pPr>
        <w:spacing w:after="0" w:line="155"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by EMA in the EU and by comparable authorities in other countries. Failure to obtain marketing approval for a product candidate will prevent us from commercializing the product candidate in a given jurisdiction. We have not received approval or clearance to market any product candidates from regulatory authorities in any jurisdiction and it is possible that none of our product candidates or any product candidates we may seek to develop in the future will ever obtain regulatory approval or clearance. We have only limited experience in filing and supporting the applications necessary to gain marketing approvals and expect to rely on third-party contract research organizations, or CROs, or regulatory consultants to assist us in this process.</w:t>
      </w:r>
    </w:p>
    <w:p>
      <w:pPr>
        <w:spacing w:after="0" w:line="181"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While we have multiple product candidates in clinical development and advanced pre-clinical development for a range of diseases, we have not yet submitted BLAs for any of our wholly-owned allogeneic CAR-T product candidates or our hemoglobinopathies product candidates in conjunction with Vertex to the FDA, or similar marketing applications to comparable foreign authorities. We have limited experience in submitting and supporting the applications necessary to gain regulatory approvals and expect to rely on third-party CROs and/or regulatory consultants to assist us in this process. Submission of a BLA or other similar marketing applications to comparable foreign authorities and securing regulatory approval requires the submission of extensive preclinical and clinical data and supporting information to the various regulatory authorities for each therapeutic indication to establish the biologic product candidate’s safety, purity, efficacy and potency, also known as safety and effectiveness, for each desired therapeutic indication. A BLA must also include significant information regarding the chemistry, manufacturing and controls for the product candidate. Securing regulatory approval also requires the submission of information about the product manufacturing process to, and inspection of manufacturing facilities by, the relevant regulatory authority. Should the FDA determine that an inspection is necessary for approval of a marketing application and an inspection cannot be completed during the review cycle due to restrictions on travel as a result of the coronavirus pandemic, the FDA has stated that it generally intends to issue a complete response letter. Further, if there is inadequate information to make a determination on the acceptability of a facility, the FDA may defer action on the application until an inspection can be completed.</w:t>
      </w:r>
    </w:p>
    <w:p>
      <w:pPr>
        <w:spacing w:after="0" w:line="180"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general, the FDA requires the successful completion of two pivotal trials to support approval of a BLA, but in certain circumstances, will approve a BLA based on only one pivotal trial. Our ability to submit and obtain approval of a BLA is ultimately an FDA review decision, which will be dependent upon the data available at such time, and the available data may not be sufficiently robust from a safety and/or efficacy perspective to support the submission or approval of a BLA. For example, there is no assurance that data obtained at the completion of any of our clinical trials, including the ongoing CARBON clinical trial or ongoing CLIMB THAL-111 and CLIMB SCD-121 clinical trials will indicate clinically meaningful benefit or support submission of a BLA, or will be sufficiently robust from a safety and/or efficacy perspective to support either conditional approval or full approval. Depending on the outcome of these ongoing clinical trials, the FDA may require that we conduct additional or larger pivotal trials before we can submit or obtain approval of a BLA. Furthermore, if any undesirable or unacceptable side effects, unexpected characteristics or other serious adverse events occur, and if we are unable to demonstrate such adverse events were caused by factors other than our product candidate, the FDA, EMA or other comparable health regulatory authorities could suspend our clinical trial until we are able to gather sufficient information or order us to cease further clinical studies of our product candidate. If this were to occur this would likely result in delays in our ability to submit a BLA for regulatory approval.</w:t>
      </w:r>
    </w:p>
    <w:p>
      <w:pPr>
        <w:spacing w:after="0" w:line="36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Furthermore, failure of one or more clinical trials can occur at any stage in the clinical trial process. Any product candidates we develop may not be effective, may be only moderately effective, or may prove to have undesirable or unintended side effects, toxicities or other characteristics that may preclude our obtaining marketing approval or prevent or limit commercial use. Accordingly, the regulatory pathway for our product candidates is still uncertain, complex, and lengthy, and ultimately, approval may not be obtained. Even if our product candidates demonstrate safety and efficacy in clinical studies, regulatory delays or rejections may be encountered as a result of many factors, including changes in regulatory policy during the period of product development.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p>
      <w:pPr>
        <w:ind w:right="160" w:firstLine="509"/>
        <w:spacing w:after="0" w:line="238" w:lineRule="auto"/>
        <w:rPr>
          <w:sz w:val="20"/>
          <w:szCs w:val="20"/>
          <w:color w:val="auto"/>
        </w:rPr>
      </w:pPr>
      <w:r>
        <w:rPr>
          <w:rFonts w:ascii="Arial" w:cs="Arial" w:eastAsia="Arial" w:hAnsi="Arial"/>
          <w:sz w:val="18"/>
          <w:szCs w:val="18"/>
          <w:color w:val="auto"/>
        </w:rPr>
        <w:t>The process of obtaining marketing approvals, both in the United States and in other jurisdictions,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9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If we experience delays in obtaining approval or if we fail to obtain approval of any product candidates we may develop, the commercial prospects for those product candidates may be harmed, and our ability to generate revenues will be materially impaired.</w:t>
      </w:r>
    </w:p>
    <w:p>
      <w:pPr>
        <w:spacing w:after="0" w:line="171"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i w:val="1"/>
          <w:iCs w:val="1"/>
          <w:color w:val="auto"/>
        </w:rPr>
        <w:t>We May Never Obtain FDA Approval For Any Of Our Product Candidates In The United States, And Even If We Do, We May Never Obtain Approval For Or Commercialize Any Of Our Product Candidates In Any Other Jurisdiction, Which Would Limit Our Ability To Realize Their Full Market Potential.</w:t>
      </w:r>
    </w:p>
    <w:p>
      <w:pPr>
        <w:spacing w:after="0" w:line="18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In order to eventually market any of our product candidates in any particular jurisdiction, we must establish and comply with numerous and varying regulatory requirements on a jurisdiction-by-jurisdiction basis regarding safety and efficacy.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 Seeking regulatory approval in multiple jurisdictions could result in difficulties and costs for us and require additional preclinical studies or clinical trials which could be costly and time-consuming. Regulatory requirements can vary widely from country to country and could delay or prevent the introduction of our products in certain countries. Regulatory approval processes outside the United States involve all of the risks associated with FDA approval. We do not have any product candidates approved for sale in any jurisdiction, including international markets, and, as a company,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unrealized.</w:t>
      </w:r>
    </w:p>
    <w:p>
      <w:pPr>
        <w:spacing w:after="0" w:line="183"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i w:val="1"/>
          <w:iCs w:val="1"/>
          <w:color w:val="auto"/>
        </w:rPr>
        <w:t>Breakthrough Therapy Designation, Fast Track Designation, Regenerative Medicine Advanced Therapy Designation or Priority Review by the FDA, or PRIME Scheme by the EMA, Even If Granted for Any of Our Product Candidates, May Not Lead to a Faster Development, Regulatory Review or Approval Process, and It May Not Increase the Likelihood That Any of Our Product Candidates Will Receive Marking Approval.</w:t>
      </w:r>
    </w:p>
    <w:p>
      <w:pPr>
        <w:spacing w:after="0" w:line="164"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p>
      <w:pPr>
        <w:ind w:firstLine="509"/>
        <w:spacing w:after="0" w:line="252" w:lineRule="auto"/>
        <w:rPr>
          <w:sz w:val="20"/>
          <w:szCs w:val="20"/>
          <w:color w:val="auto"/>
        </w:rPr>
      </w:pPr>
      <w:r>
        <w:rPr>
          <w:rFonts w:ascii="Arial" w:cs="Arial" w:eastAsia="Arial" w:hAnsi="Arial"/>
          <w:sz w:val="17"/>
          <w:szCs w:val="17"/>
          <w:color w:val="auto"/>
        </w:rPr>
        <w:t>We have obtained and may seek Fast Track Designation for some of our product candidates. For instance, CTX001 has been granted Fast Track Designation by the FDA for the treatment of TDT and SCD.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For Fast Track products, sponsors may have greater interactions with the FDA and the FDA may initiate review of sections of a Fast Track product's marketing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an application does not begin until the last section of the application is submitted.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3"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We have obtained and may seek RMAT designation for some of our product candidates. For instance, CTX001 has been granted RMAT designation by the FDA for the treatment of TDT and SCD, as well as CTX110 for the treatment of relapsed or refractory B-cell lymphoma. In 2017, the FDA established the RMAT designation as part of its implementation of the 21st Century Cures Act to expedite review of any drug that meets the following criteria: it qualifies as a RMAT, which is defined as a cell therapy, therapeutic tissue engineering product, human cell and tissue product, or any combination product using such therapies or products, with limited exceptions; it is intended to treat, modify, reverse, or cure a serious or life-threatening disease or condition; and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RMAT-designated products that receive accelerated approval may, as appropriate, fulfill their post-approval requirements through the submission of clinical evidence, clinical trials, patient registries, or other sources of real world evidence, such as electronic health records; through the collection of larger confirmatory data sets; or via post-approval monitoring of all patients treated with such therapy prior to approval of the therapy. There is no assurance that we will be able to obtain RMAT designation for other of our product candidates. RMAT designation does not change the FDA's standards for product approval, and there is no assurance that such designation will result in expedited review or approval or that the approved indication will not be narrower than the indication covered by the designation. Additionally, RMAT designation can be revoked if the criteria for eligibility cease to be met as clinical data emerges.</w:t>
      </w:r>
    </w:p>
    <w:p>
      <w:pPr>
        <w:spacing w:after="0" w:line="169"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80"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Finally, we have obtained and may seek to qualify our product candidates under the PRIME scheme from the EMA. For instance, CTX001 has been granted PRIME designation for the treatment of TDT and SCD. The PRIME scheme is open to medicines under development and for which the applicant intends to apply for an initial MAA through the centralized procedure. Eligible products must target conditions for which where is an unmet medical need (there is no satisfactory method of diagnosis, prevention or treatment in the EU or, if there is, the new medicine will bring a major therapeutic advantage) and they must demonstrate the potential to address the unmet medical need by introducing new methods or therapy or improving existing ones. There is no assurance that we will be able to obtain PRIME qualification for other of our product candidates. PRIME does not change the standards for product approval, and there is no assurance that such qualification will result in expedited review or approval. Moreover, where, during the course of development, a medicine no longer meets the eligibility criteria, support under the PRIME scheme may be withdrawn.</w:t>
      </w:r>
    </w:p>
    <w:p>
      <w:pPr>
        <w:spacing w:after="0" w:line="16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i w:val="1"/>
          <w:iCs w:val="1"/>
          <w:color w:val="auto"/>
        </w:rPr>
        <w:t>We May Be Unable To Obtain Orphan Drug Designation Or Exclusivity.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1" w:name="page82"/>
    <w:bookmarkEnd w:id="81"/>
    <w:p>
      <w:pPr>
        <w:ind w:firstLine="509"/>
        <w:spacing w:after="0" w:line="268" w:lineRule="auto"/>
        <w:rPr>
          <w:sz w:val="20"/>
          <w:szCs w:val="20"/>
          <w:color w:val="auto"/>
        </w:rPr>
      </w:pPr>
      <w:r>
        <w:rPr>
          <w:rFonts w:ascii="Arial" w:cs="Arial" w:eastAsia="Arial" w:hAnsi="Arial"/>
          <w:sz w:val="16"/>
          <w:szCs w:val="16"/>
          <w:color w:val="auto"/>
        </w:rPr>
        <w:t>We have received orphan drug designation in the United States from the FDA for certain of our programs, including for CTX120 for the treatment of multiple myeloma and for CTX130 for the treatment of T-cell lymphomas. We also have received orphan drug designation from the FDA and the European Commission for CTX001 for the treatment of TDT and SCD. We may in the future seek orphan drug designation for certain of our other product candidates, but we may be unable to maintain orphan drug designation or obtain any benefits associated with orphan drug designation, including market exclusivity. Regulatory authorities in some jurisdictions, including the United States and the European Union, may designate drugs and biologics intended to treat relatively small patient populations as orphan drugs. Under the Orphan Drug Act of 1983, FDA may designate a product candidate as an orphan drug if it is intended to treat a rare disease or condition, which is defined as a disease or condition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European Commission after recommendation from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 An orphan drug designation provides a number of benefits, including fee reductions, regulatory assistance, and in the European Union the ability to apply for a centralized EU marketing authorization.</w:t>
      </w:r>
    </w:p>
    <w:p>
      <w:pPr>
        <w:spacing w:after="0" w:line="17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Certain of our current product candidates and our future product candidates may target patient populations that are smaller than the numbers described above. If we request orphan drug designation for our product candidates, there can be no assurances that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89" w:lineRule="exact"/>
        <w:rPr>
          <w:sz w:val="20"/>
          <w:szCs w:val="20"/>
          <w:color w:val="auto"/>
        </w:rPr>
      </w:pPr>
    </w:p>
    <w:p>
      <w:pPr>
        <w:ind w:right="100" w:firstLine="509"/>
        <w:spacing w:after="0" w:line="252"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The exclusivity period in the European Union can be reduced to six years if, at the end of the fifth year, it is established that the product no longer meets the criteria for orphan drug designation, because, for example,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6"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including if it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81" w:lineRule="exact"/>
        <w:rPr>
          <w:sz w:val="20"/>
          <w:szCs w:val="20"/>
          <w:color w:val="auto"/>
        </w:rPr>
      </w:pPr>
    </w:p>
    <w:p>
      <w:pPr>
        <w:ind w:left="1020" w:right="48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62" w:lineRule="exact"/>
        <w:rPr>
          <w:rFonts w:ascii="Arial" w:cs="Arial" w:eastAsia="Arial" w:hAnsi="Arial"/>
          <w:sz w:val="18"/>
          <w:szCs w:val="18"/>
          <w:color w:val="auto"/>
        </w:rPr>
      </w:pPr>
    </w:p>
    <w:p>
      <w:pPr>
        <w:ind w:left="1020" w:right="84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171" w:lineRule="exact"/>
        <w:rPr>
          <w:sz w:val="20"/>
          <w:szCs w:val="20"/>
          <w:color w:val="auto"/>
        </w:rPr>
      </w:pPr>
    </w:p>
    <w:p>
      <w:pPr>
        <w:ind w:right="20" w:firstLine="509"/>
        <w:spacing w:after="0" w:line="324" w:lineRule="auto"/>
        <w:rPr>
          <w:sz w:val="20"/>
          <w:szCs w:val="20"/>
          <w:color w:val="auto"/>
        </w:rPr>
      </w:pPr>
      <w:r>
        <w:rPr>
          <w:rFonts w:ascii="Arial" w:cs="Arial" w:eastAsia="Arial" w:hAnsi="Arial"/>
          <w:sz w:val="16"/>
          <w:szCs w:val="16"/>
          <w:color w:val="auto"/>
        </w:rPr>
        <w:t>There is no assurance that we will be able to obtain orphan drug designation for other of our other product candidates. Orphan drug designation does not change the standards for product approval, and there is no assurance that such designation will result in expedited review or approval.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2" w:name="page83"/>
    <w:bookmarkEnd w:id="82"/>
    <w:p>
      <w:pPr>
        <w:ind w:right="100" w:firstLine="509"/>
        <w:spacing w:after="0" w:line="261" w:lineRule="auto"/>
        <w:rPr>
          <w:sz w:val="20"/>
          <w:szCs w:val="20"/>
          <w:color w:val="auto"/>
        </w:rPr>
      </w:pPr>
      <w:r>
        <w:rPr>
          <w:rFonts w:ascii="Arial" w:cs="Arial" w:eastAsia="Arial" w:hAnsi="Arial"/>
          <w:sz w:val="18"/>
          <w:szCs w:val="18"/>
          <w:i w:val="1"/>
          <w:iCs w:val="1"/>
          <w:color w:val="auto"/>
        </w:rPr>
        <w:t>Adverse Public Perception Of Gene Editing And Cellular Therapy Products May Negatively Impact Demand For, Or Regulatory Approval Of, Our Product Candidates.</w:t>
      </w:r>
    </w:p>
    <w:p>
      <w:pPr>
        <w:spacing w:after="0" w:line="171"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Our product candidates involve editing the human genome. The clinical and commercial success of our product candidates will depend in part on public acceptance of the use of gene-editing therapies for the prevention or treatment of human diseases. Public attitudes may be influenced by claims that gene editing is unsafe, unethical, or immoral, and, consequently, our products may not gain the acceptance of the public or the medical community. Negative public reaction to gene therapy in general could result in greater government regulation and stricter labeling requirements of gene-editing products, including any of our product candidates, and could cause a decrease in the demand for any products we may develop. Adverse public attitudes may adversely impact our ability to enroll clinical trials. Moreover, our success will depend upon physicians prescribing, and their patients being willing to receive, treatments that involve the use of product candidates we may develop in lieu of, or in addition to, existing treatments with which they are already familiar and for which greater clinical data may be available.</w:t>
      </w:r>
    </w:p>
    <w:p>
      <w:pPr>
        <w:spacing w:after="0" w:line="18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In particular, gene-editing technology is subject to public debate and heightened regulatory scrutiny due to ethical concerns relating to the application of gene-editing technology to human embryos or the human germline. For example, in April 2016, a group of scientists reported on their attempts to edit the genome of human embryos to modify the gene for hemoglobin beta. This is the gene in which a mutation occurs in patients with the inherited blood disorder beta thalassemia. Although this research was purposefully conducted in embryos that were not viable, the work prompted calls for a moratorium or other types of restrictions on gene editing of human eggs, sperm, and embryos. Additionally, in November 2018, Dr. Jiankui He, a biophysics researcher who was an associate professor in the Department of Biology of the Southern University of Science and Technology in Shenzhen, China, reportedly claimed he had created the first human genetically edited babies, twin girls. This claim, and another that Dr. He had helped create a second gene-edited pregnancy, was subsequently confirmed by Chinese authorities and was negatively received by the public, in particular by those in the scientific community. News reports indicate that Dr. He was sentenced to three years in prison and fined $430,000 in December 2019 by the Chinese government for illegal medical practice in connection with such activities. In the wake of the claim, the World Health Organization established a new advisory committee to create global governance and oversight standards for human gene editing. The Alliance for Regenerative Medicine in Washington, D.C. has called for a voluntary moratorium on the use of gene-editing technologies, including CRISPR/Cas9, in research that involves altering human embryos or human germline cells and has also released principles for the use of gene editing in therapeutic applications endorsed by a number of companies that use gene-editing technologies. Similarly, the NIH has announced that it would not fund any use of gene-editing technologies in human embryos, noting that there are multiple existing legislative and regulatory prohibitions against such work, including the Dickey-Wicker Amendment, which prohibits the use of appropriated funds for the creation of human embryos for research purposes or for research in which human embryos are destroyed. Laws in the United Kingdom prohibit genetically modified embryos from being implanted into women, but embryos can be altered in research labs under license from the Human Fertilisation and Embryology Authority. Research on embryos is more tightly controlled in many other European countries.</w:t>
      </w:r>
    </w:p>
    <w:p>
      <w:pPr>
        <w:spacing w:after="0" w:line="177" w:lineRule="exact"/>
        <w:rPr>
          <w:sz w:val="20"/>
          <w:szCs w:val="20"/>
          <w:color w:val="auto"/>
        </w:rPr>
      </w:pPr>
    </w:p>
    <w:p>
      <w:pPr>
        <w:ind w:right="140" w:firstLine="509"/>
        <w:spacing w:after="0" w:line="254" w:lineRule="auto"/>
        <w:rPr>
          <w:sz w:val="20"/>
          <w:szCs w:val="20"/>
          <w:color w:val="auto"/>
        </w:rPr>
      </w:pPr>
      <w:r>
        <w:rPr>
          <w:rFonts w:ascii="Arial" w:cs="Arial" w:eastAsia="Arial" w:hAnsi="Arial"/>
          <w:sz w:val="17"/>
          <w:szCs w:val="17"/>
          <w:color w:val="auto"/>
        </w:rPr>
        <w:t>Although we do not use our technologies to edit human embryos or the human germline, such public debate about the use of gene-editing technologies in human embryos and heightened regulatory scrutiny could prevent or delay our development of product candidates. More restrictive government regulations or negative public opinion would have a negative effect on our business or financial condition and may delay or impair our development and commercialization of product candidates or demand for any products we may develop. Adverse events in our preclinical studies or clinical trials or those of our competitors or of academic researchers utilizing gene-editing technologies, even if not ultimately attributable to product candidates we may identify and develop, and the resulting publicity could result in increased governmental regulation, unfavorable public perception, potential regulatory delays in the testing or approval of potential product candidates we may identify and develop, stricter labeling requirements for those product candidates that are approved, and a decrease in demand for any such product candidates.</w:t>
      </w:r>
    </w:p>
    <w:p>
      <w:pPr>
        <w:spacing w:after="0" w:line="181"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i w:val="1"/>
          <w:iCs w:val="1"/>
          <w:color w:val="auto"/>
        </w:rPr>
        <w:t>If, In The Future, We Are Unable To Establish Sales And Marketing Capabilities Or Enter Into Agreements With Third Parties To Sell And Market Products Based On Our Technologies, We May Not Be Successful In Commercializing Our Products If And When Any Products Candidates Are Approved And We May Not Be Able To Generate Any Revenue.</w:t>
      </w:r>
    </w:p>
    <w:p>
      <w:pPr>
        <w:spacing w:after="0" w:line="18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do not currently have a sales or marketing infrastructure and, as a company, have no experience in the sale, marketing or distribution of therapeutic products. To achieve commercial success for any approved product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product candidates if any are approved.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3" w:name="page84"/>
    <w:bookmarkEnd w:id="83"/>
    <w:p>
      <w:pPr>
        <w:ind w:firstLine="509"/>
        <w:spacing w:after="0" w:line="241"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104"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03"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 that we may develop;</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treatments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Further, our business, results of operations, financial condition and prospects will be materially adversely affected.</w:t>
      </w:r>
    </w:p>
    <w:p>
      <w:pPr>
        <w:spacing w:after="0" w:line="191"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i w:val="1"/>
          <w:iCs w:val="1"/>
          <w:color w:val="auto"/>
        </w:rPr>
        <w:t>Even If We, Or Any Collaborators We May Have, Obtain Marketing Approvals For Any Product Candidates We Develop, The Terms Of Approvals And Ongoing Regulation Of Our Products Could Require The Substantial Expenditure Of Resources And May Limit How We, Or They, Manufacture And Market Our Products, Which Could Materially Impair Our Ability To Generate Revenue.</w:t>
      </w:r>
    </w:p>
    <w:p>
      <w:pPr>
        <w:spacing w:after="0" w:line="182"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current Good Manufacturing Practice, or cGMP, requirements relating to quality control, quality assurance and corresponding maintenance of records and documents and requirements regarding recordkeeping. Even if marketing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 The FDA also may place other conditions on approvals including the requirement for a REMS to assure the safe use of the product. If the FDA concludes a REMS is needed, the sponsor of the BLA, must submit a proposed REMS before it can obtain approval. A REMS could include medication guides, physician communication plans, or elements to assure safe use, such as restricted distribution methods, patient registries and other risk minimization tools.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4" w:name="page85"/>
    <w:bookmarkEnd w:id="84"/>
    <w:p>
      <w:pPr>
        <w:ind w:right="120" w:firstLine="509"/>
        <w:spacing w:after="0" w:line="276" w:lineRule="auto"/>
        <w:rPr>
          <w:sz w:val="20"/>
          <w:szCs w:val="20"/>
          <w:color w:val="auto"/>
        </w:rPr>
      </w:pPr>
      <w:r>
        <w:rPr>
          <w:rFonts w:ascii="Arial" w:cs="Arial" w:eastAsia="Arial" w:hAnsi="Arial"/>
          <w:sz w:val="16"/>
          <w:szCs w:val="16"/>
          <w:color w:val="auto"/>
        </w:rPr>
        <w:t>Accordingly, assuming we, or any collaborators we may have, receive marketing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In addition, the holder of an approved BLA is obligated to monitor and report adverse events and any failure of a product to meet the specifications in the BLA. The holder of an approved BLA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If we and such collaborators are not able to comply with post-approval regulatory requirements, we and such collaborators could have the marketing approvals for our products withdrawn by regulatory authorities and our, or such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88"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i w:val="1"/>
          <w:iCs w:val="1"/>
          <w:color w:val="auto"/>
        </w:rPr>
        <w:t>Any Product Candidate For Which We, Or Any Collaborators We May Have, Obtain Marketing Approval Could Be Subject To Restrictions Or Withdrawal From The Market, And We Or They May Be Subject To Substantial Penalties If We Or They Fail To Comply With Regulatory Requirements Or If We Or They Experience Unanticipated Problems With Our Products, When And If Any Of Them Are Approved.</w:t>
      </w:r>
    </w:p>
    <w:p>
      <w:pPr>
        <w:spacing w:after="0" w:line="164"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The FDA and other regulatory agencies closely regulate the post-approval marketing and promotion of biologics to ensure that they are marketed only for the approved indications and in accordance with the provisions of the approved labeling. The FDA and other regulatory agencies impose stringent restrictions on manufacturers’ communications regarding off-label use, and if we, or any collaborators we may have, do not market our products for their approved indications, we or they may be subject to enforcement action for off-label marketing by the FDA and other federal and state enforcement agencies, including the United States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 care fraud and abuse laws and state consumer protection laws.</w:t>
      </w:r>
    </w:p>
    <w:p>
      <w:pPr>
        <w:spacing w:after="0" w:line="180" w:lineRule="exact"/>
        <w:rPr>
          <w:sz w:val="20"/>
          <w:szCs w:val="20"/>
          <w:color w:val="auto"/>
        </w:rPr>
      </w:pPr>
    </w:p>
    <w:p>
      <w:pPr>
        <w:ind w:right="460" w:firstLine="509"/>
        <w:spacing w:after="0" w:line="248" w:lineRule="auto"/>
        <w:rPr>
          <w:sz w:val="20"/>
          <w:szCs w:val="20"/>
          <w:color w:val="auto"/>
        </w:rPr>
      </w:pPr>
      <w:r>
        <w:rPr>
          <w:rFonts w:ascii="Arial" w:cs="Arial" w:eastAsia="Arial" w:hAnsi="Arial"/>
          <w:sz w:val="18"/>
          <w:szCs w:val="18"/>
          <w:color w:val="auto"/>
        </w:rPr>
        <w:t>In addition, later discovery of previously unknown problems with a product candidate, including adverse events of unanticipated severity or frequency, or with our or other collaborators’ manufacturing processes, or failure to comply with regulatory requirements, may result in, among other things:</w:t>
      </w:r>
    </w:p>
    <w:p>
      <w:pPr>
        <w:spacing w:after="0" w:line="74"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distribution or use of a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conduct post-marketing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receipt of warning or untitled letters;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biologic recalls;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collaborators submit;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marketing approvals or revocation of biologics licenses;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seizure or detention;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If we or our collaborators are slow or unable to adapt to changes in existing requirements or the adoption of new requirements or policies, or if we or our collaborators are not able to maintain regulatory compliance, we or our collaborators may lose any marketing approval that we or our collaborators may have obtained, which would adversely affect our business, prospects and ability to achieve or sustain profitability.</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5" w:name="page86"/>
    <w:bookmarkEnd w:id="85"/>
    <w:p>
      <w:pPr>
        <w:ind w:right="20" w:firstLine="509"/>
        <w:spacing w:after="0" w:line="243" w:lineRule="auto"/>
        <w:rPr>
          <w:sz w:val="20"/>
          <w:szCs w:val="20"/>
          <w:color w:val="auto"/>
        </w:rPr>
      </w:pPr>
      <w:r>
        <w:rPr>
          <w:rFonts w:ascii="Arial" w:cs="Arial" w:eastAsia="Arial" w:hAnsi="Arial"/>
          <w:sz w:val="18"/>
          <w:szCs w:val="18"/>
          <w:color w:val="auto"/>
        </w:rPr>
        <w:t>Any government investigation of alleged violations of law, including investigations of any of our vendors, could require us to expend significant time and resources in response and could generate negative publicity. The occurrence of any event or penalty described above may also inhibit our or our collaborators’ ability to commercialize any product candidates we may develop and adversely affect our business, financial condition, results of operations, and prospects.</w:t>
      </w:r>
    </w:p>
    <w:p>
      <w:pPr>
        <w:spacing w:after="0" w:line="18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i w:val="1"/>
          <w:iCs w:val="1"/>
          <w:color w:val="auto"/>
        </w:rPr>
        <w:t>The Commercial Success Of Any Of Our Product Candidates Will Depend Upon Its Degree Of Market Acceptance By Physicians, Patients, Third-party Payors And Others In The Medical Community.</w:t>
      </w:r>
    </w:p>
    <w:p>
      <w:pPr>
        <w:spacing w:after="0" w:line="17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Ethical, social and legal concerns about gene therapy could result in additional regulations restricting or prohibiting our products. Even with the requisite approvals from FDA in the United States, the EMA in the EU and other regulatory authorities internationally, the commercial success of our product candidates will depend, in significant part, on the acceptance of physicians, patients and health care payors of gene therapy products in general, and our product candidates in particular, as medically necessary, cost-effective and safe. Any product that we commercialize may not gain acceptance by physicians, patients, health care payors and others in the medical community. The degree of market acceptance of gene therapy products and, in particular, our product candidates, if approved for commercial sale, will depend on several factors, including:</w:t>
      </w:r>
    </w:p>
    <w:p>
      <w:pPr>
        <w:spacing w:after="0" w:line="67"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durability and safety of such product candidates as demonstrated in any future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treatment relative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the EMA or other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patient awareness of, and willingness to seek, genotyping;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physicians to prescribe new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03" w:lineRule="exact"/>
        <w:rPr>
          <w:rFonts w:ascii="Arial" w:cs="Arial" w:eastAsia="Arial" w:hAnsi="Arial"/>
          <w:sz w:val="18"/>
          <w:szCs w:val="18"/>
          <w:color w:val="auto"/>
        </w:rPr>
      </w:pPr>
    </w:p>
    <w:p>
      <w:pPr>
        <w:ind w:left="1020" w:right="4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FDA, the EMA or other regulatory authorities, including any limitations or warnings contained in a product’s approved labeling;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sufficient third-party payor coverage and reimbursement.</w:t>
      </w:r>
    </w:p>
    <w:p>
      <w:pPr>
        <w:spacing w:after="0" w:line="212"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Even if a potential product displays a favorable efficacy and safety profile in preclinical studies and future clinical trials, market acceptance of the product will not be fully known until after it is launched. If our product candidates do not achieve an adequate level of acceptance following regulatory approval, if ever, we may not generate significant product revenue and may not become profitable.</w:t>
      </w:r>
    </w:p>
    <w:p>
      <w:pPr>
        <w:spacing w:after="0" w:line="18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1"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We have limited financial and managerial resources.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6" w:name="page87"/>
    <w:bookmarkEnd w:id="86"/>
    <w:p>
      <w:pPr>
        <w:ind w:right="220" w:firstLine="509"/>
        <w:spacing w:after="0" w:line="248" w:lineRule="auto"/>
        <w:rPr>
          <w:sz w:val="20"/>
          <w:szCs w:val="20"/>
          <w:color w:val="auto"/>
        </w:rPr>
      </w:pPr>
      <w:r>
        <w:rPr>
          <w:rFonts w:ascii="Arial" w:cs="Arial" w:eastAsia="Arial" w:hAnsi="Arial"/>
          <w:sz w:val="18"/>
          <w:szCs w:val="18"/>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182"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biotechnology and pharmaceutical industries, including in the gene-editing, gene therapy and cell therapy fields, are characterized by rapidly advancing technologies, intense competition and a strong emphasis on intellectual property and proprietary products. While we believe that our technology, development experience and scientific knowledge provide us with competitive advantages, we currently face, and will continue to face, substantial competition from many different sources, including large pharmaceutical, specialty pharmaceutical and biotechnology companies; academic institutions and governmental agencies; and public and private research institutions, some or all of which may have greater access to capital or resources than we do. For any products that we may ultimately commercialize, not only will we compete with any existing therapies and those therapies currently in development, but we will also have to compete with new therapies that may become available in the future.</w:t>
      </w:r>
    </w:p>
    <w:p>
      <w:pPr>
        <w:spacing w:after="0" w:line="180"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We compete in the segments of the pharmaceutical, biotechnology and other related markets that utilize technologies encompassing genomic medicines to create therapies, including gene editing, gene therapy and cell therapy. In addition, we compete with companies working to develop therapies in areas related to our specific research and development programs.</w:t>
      </w:r>
    </w:p>
    <w:p>
      <w:pPr>
        <w:spacing w:after="0" w:line="182"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Our platform and product focus is on the development of therapies using CRISPR/Cas9 gene-editing technology. We are aware of several companies focused on developing therapies in various indications using CRISPR/Cas9 gene-editing technology, including Intellia Therapeutics and Editas Medicine. In addition, several academic groups have developed new gene-editing technologies based on CRISPR/Cas9, such as base editing and prime editing, that may have utility in therapeutic development. Companies seeking to develop therapies based on these technologies include Beam Therapeutics and Prime Medicine</w:t>
      </w:r>
    </w:p>
    <w:p>
      <w:pPr>
        <w:spacing w:after="0" w:line="189" w:lineRule="exact"/>
        <w:rPr>
          <w:sz w:val="20"/>
          <w:szCs w:val="20"/>
          <w:color w:val="auto"/>
        </w:rPr>
      </w:pPr>
    </w:p>
    <w:p>
      <w:pPr>
        <w:ind w:right="480" w:firstLine="509"/>
        <w:spacing w:after="0" w:line="324" w:lineRule="auto"/>
        <w:rPr>
          <w:sz w:val="20"/>
          <w:szCs w:val="20"/>
          <w:color w:val="auto"/>
        </w:rPr>
      </w:pPr>
      <w:r>
        <w:rPr>
          <w:rFonts w:ascii="Arial" w:cs="Arial" w:eastAsia="Arial" w:hAnsi="Arial"/>
          <w:sz w:val="17"/>
          <w:szCs w:val="17"/>
          <w:color w:val="auto"/>
        </w:rPr>
        <w:t>There are also companies developing therapies using additional gene-editing technologies, such as TALENs, meganucleases and ZFNs. These companies include 2seventy bio, Allogene Therapeutics, Cellectis, Precision BioSciences and Sangamo Therapeutics.</w:t>
      </w:r>
    </w:p>
    <w:p>
      <w:pPr>
        <w:spacing w:after="0" w:line="13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 xml:space="preserve">We are also aware of companies developing therapies in various areas related to our specific research and development programs. In hemoglobinopathies, these companies include Acceleron Pharma, Aruvant Therapeutics, Beam Therapeutics, bluebird bio, Editas Medicine, Global Blood Therapeutics, Novartis Pharmaceuticals and Sangamo Therapeutics. In immuno-oncology, these companies include 2seventy bio, Allogene Therapeutics, Bristol Myers Squibb, Caribou Biosciences, Cellectis, Fate Therapeutics, Gilead Sciences, Legend Biotech, Novartis Pharmaceuticals, Poseida Therapeutics and Precision BioSciences. In regenerative medicine, these companies include BlueRock Therapeutics (acquired by Bayer in 2019), Sana Biotechnology and Semma Therapeutics (acquired by Vertex in 2019). In </w:t>
      </w:r>
      <w:r>
        <w:rPr>
          <w:rFonts w:ascii="Arial" w:cs="Arial" w:eastAsia="Arial" w:hAnsi="Arial"/>
          <w:sz w:val="18"/>
          <w:szCs w:val="18"/>
          <w:i w:val="1"/>
          <w:iCs w:val="1"/>
          <w:color w:val="auto"/>
        </w:rPr>
        <w:t>in vivo</w:t>
      </w:r>
      <w:r>
        <w:rPr>
          <w:rFonts w:ascii="Arial" w:cs="Arial" w:eastAsia="Arial" w:hAnsi="Arial"/>
          <w:sz w:val="18"/>
          <w:szCs w:val="18"/>
          <w:color w:val="auto"/>
        </w:rPr>
        <w:t>, these companies include Editas Medicine, Intellia Therapeutics, Sarepta Therapeutics, Ultragenyx and Verve Therapeutics.</w:t>
      </w:r>
    </w:p>
    <w:p>
      <w:pPr>
        <w:spacing w:after="0" w:line="191"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Gene editing is a highly active field of research and new technologies, related or unrelated to CRISPR, may be discovered and create new competition. These new technologies could have advantages over CRISPR/Cas9 gene editing in some applications and there can be no certainty that other gene-editing technologies will not be considered better or more attractive than our technology for the development of products. For example, Cas9 may be determined to be less attractive than other CRISPR proteins, such as Cas12a or novel Cas enzymes that have yet to be discovered, or other CRISPR-associated nuclease variants that can edit human DNA, such as base editors and prime editors.</w:t>
      </w:r>
    </w:p>
    <w:p>
      <w:pPr>
        <w:spacing w:after="0" w:line="174"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In addition to competition from other gene-editing therapies or gene or cell therapies, any product we may develop may also face competition from other types of therapies, such as small molecule, antibody or protein therapies. In addition, new scientific discoveries may cause CRISPR/Cas9 technology, or gene editing as a whole, to be considered an inferior form of therapy.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7" w:name="page88"/>
    <w:bookmarkEnd w:id="87"/>
    <w:p>
      <w:pPr>
        <w:ind w:firstLine="509"/>
        <w:spacing w:after="0" w:line="269" w:lineRule="auto"/>
        <w:rPr>
          <w:sz w:val="20"/>
          <w:szCs w:val="20"/>
          <w:color w:val="auto"/>
        </w:rPr>
      </w:pPr>
      <w:r>
        <w:rPr>
          <w:rFonts w:ascii="Arial" w:cs="Arial" w:eastAsia="Arial" w:hAnsi="Arial"/>
          <w:sz w:val="16"/>
          <w:szCs w:val="16"/>
          <w:color w:val="auto"/>
        </w:rPr>
        <w:t>In addition, 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gene and cell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have broader acceptance and higher rates of reimbursement by third-party payors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 The key competitive factors affecting the success of all of our programs are likely to be their efficacy, safety, convenience, and availability of reimbursement.</w:t>
      </w:r>
    </w:p>
    <w:p>
      <w:pPr>
        <w:spacing w:after="0" w:line="168" w:lineRule="exact"/>
        <w:rPr>
          <w:sz w:val="20"/>
          <w:szCs w:val="20"/>
          <w:color w:val="auto"/>
        </w:rPr>
      </w:pPr>
    </w:p>
    <w:p>
      <w:pPr>
        <w:ind w:right="200" w:firstLine="509"/>
        <w:spacing w:after="0" w:line="254" w:lineRule="auto"/>
        <w:rPr>
          <w:sz w:val="20"/>
          <w:szCs w:val="20"/>
          <w:color w:val="auto"/>
        </w:rPr>
      </w:pPr>
      <w:r>
        <w:rPr>
          <w:rFonts w:ascii="Arial" w:cs="Arial" w:eastAsia="Arial" w:hAnsi="Arial"/>
          <w:sz w:val="17"/>
          <w:szCs w:val="17"/>
          <w:color w:val="auto"/>
        </w:rPr>
        <w:t>If our current programs are approved for the indications for which we are currently planning clinical trials, they may compete with other products currently under development, including gene-editing, gene therapy, and cell therapy products. Competition with other related products currently under development may include competition for clinical trial sites, patient recruitment, and product sales. In addition, due to the intense research and development taking place in the gene-editing field, including by us and our competitors, the intellectual property landscape is in flux and highly competitive. There may be significant intellectual property related litigation and proceedings relating to our owned and in-licensed, and other third-party, intellectual property and proprietary rights in the future. For example, see our discussion of the ‘048 interference, the ‘115 interference and European opposition proceedings in “</w:t>
      </w:r>
      <w:r>
        <w:rPr>
          <w:rFonts w:ascii="Arial" w:cs="Arial" w:eastAsia="Arial" w:hAnsi="Arial"/>
          <w:sz w:val="17"/>
          <w:szCs w:val="17"/>
          <w:i w:val="1"/>
          <w:iCs w:val="1"/>
          <w:color w:val="auto"/>
        </w:rPr>
        <w:t>Risk Factors – Risks Related to Intellectual Property - Third-party Claims Of Intellectual Property Infringement Against Us,</w:t>
      </w:r>
      <w:r>
        <w:rPr>
          <w:rFonts w:ascii="Arial" w:cs="Arial" w:eastAsia="Arial" w:hAnsi="Arial"/>
          <w:sz w:val="17"/>
          <w:szCs w:val="17"/>
          <w:color w:val="auto"/>
        </w:rPr>
        <w:t xml:space="preserve"> </w:t>
      </w:r>
      <w:r>
        <w:rPr>
          <w:rFonts w:ascii="Arial" w:cs="Arial" w:eastAsia="Arial" w:hAnsi="Arial"/>
          <w:sz w:val="17"/>
          <w:szCs w:val="17"/>
          <w:i w:val="1"/>
          <w:iCs w:val="1"/>
          <w:color w:val="auto"/>
        </w:rPr>
        <w:t>Our Licensors Or Our Collaborators May Prevent Or Delay Our Product Discovery and Development Efforts.</w:t>
      </w:r>
      <w:r>
        <w:rPr>
          <w:rFonts w:ascii="Arial" w:cs="Arial" w:eastAsia="Arial" w:hAnsi="Arial"/>
          <w:sz w:val="17"/>
          <w:szCs w:val="17"/>
          <w:color w:val="auto"/>
        </w:rPr>
        <w:t>”</w:t>
      </w:r>
    </w:p>
    <w:p>
      <w:pPr>
        <w:spacing w:after="0" w:line="181"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Moreover, as a result of the expiration or successful challenge of our patent rights, we could face more litigation with respect to the validity and/or scope of patents relating to our competitors’ products and our patents may not be sufficient to prevent our competitors from commercializing competing products. The availability of our competitors’ products could limit the demand, and the price we are able to charge, for any products that we may develop and commercialize.</w:t>
      </w:r>
    </w:p>
    <w:p>
      <w:pPr>
        <w:spacing w:after="0" w:line="18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171"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regulations that govern marketing approvals, pricing, and reimbursement for new biologic products vary widely from country to country. Some countries require approval of the sale price of a product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0"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reimbursement for these products and related treatments will be available from government health administration authorities, private health insurers, and other organizations. Third-party payors, such as private health insurers, health maintenance organizations, and governmental programs such as Medicare and Medicaid, decide which medications they will pay for and establish reimbursement levels. A primary trend in the U.S. healthcare industry and elsewhere is cost containment. Governmental and private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 See the sections entitled “</w:t>
      </w:r>
      <w:r>
        <w:rPr>
          <w:rFonts w:ascii="Arial" w:cs="Arial" w:eastAsia="Arial" w:hAnsi="Arial"/>
          <w:sz w:val="16"/>
          <w:szCs w:val="16"/>
          <w:i w:val="1"/>
          <w:iCs w:val="1"/>
          <w:color w:val="auto"/>
        </w:rPr>
        <w:t>Business – Coverage, Pricing and Reimbursement</w:t>
      </w:r>
      <w:r>
        <w:rPr>
          <w:rFonts w:ascii="Arial" w:cs="Arial" w:eastAsia="Arial" w:hAnsi="Arial"/>
          <w:sz w:val="16"/>
          <w:szCs w:val="16"/>
          <w:color w:val="auto"/>
        </w:rPr>
        <w:t>” and “</w:t>
      </w:r>
      <w:r>
        <w:rPr>
          <w:rFonts w:ascii="Arial" w:cs="Arial" w:eastAsia="Arial" w:hAnsi="Arial"/>
          <w:sz w:val="16"/>
          <w:szCs w:val="16"/>
          <w:i w:val="1"/>
          <w:iCs w:val="1"/>
          <w:color w:val="auto"/>
        </w:rPr>
        <w:t>Business – Healthcare Reform</w:t>
      </w:r>
      <w:r>
        <w:rPr>
          <w:rFonts w:ascii="Arial" w:cs="Arial" w:eastAsia="Arial" w:hAnsi="Arial"/>
          <w:sz w:val="16"/>
          <w:szCs w:val="16"/>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8" w:name="page89"/>
    <w:bookmarkEnd w:id="88"/>
    <w:p>
      <w:pPr>
        <w:ind w:right="20" w:firstLine="509"/>
        <w:spacing w:after="0" w:line="270" w:lineRule="auto"/>
        <w:rPr>
          <w:sz w:val="20"/>
          <w:szCs w:val="20"/>
          <w:color w:val="auto"/>
        </w:rPr>
      </w:pPr>
      <w:r>
        <w:rPr>
          <w:rFonts w:ascii="Arial" w:cs="Arial" w:eastAsia="Arial" w:hAnsi="Arial"/>
          <w:sz w:val="16"/>
          <w:szCs w:val="16"/>
          <w:color w:val="auto"/>
        </w:rPr>
        <w:t>There may be significant delays in obtaining reimbursement for newly approved products, and reimbursement coverage may be more limited than the purposes for which the product is approved by the FDA or similar regulatory authorities outside the United States. Moreover, eligibility for reimbursement does not imply that any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products, and our overall financial condition.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16" w:lineRule="exact"/>
        <w:rPr>
          <w:sz w:val="20"/>
          <w:szCs w:val="20"/>
          <w:color w:val="auto"/>
        </w:rPr>
      </w:pPr>
    </w:p>
    <w:p>
      <w:pPr>
        <w:ind w:right="440" w:firstLine="509"/>
        <w:spacing w:after="0" w:line="291" w:lineRule="auto"/>
        <w:rPr>
          <w:sz w:val="20"/>
          <w:szCs w:val="20"/>
          <w:color w:val="auto"/>
        </w:rPr>
      </w:pPr>
      <w:r>
        <w:rPr>
          <w:rFonts w:ascii="Arial" w:cs="Arial" w:eastAsia="Arial" w:hAnsi="Arial"/>
          <w:sz w:val="17"/>
          <w:szCs w:val="17"/>
          <w:i w:val="1"/>
          <w:iCs w:val="1"/>
          <w:color w:val="auto"/>
        </w:rPr>
        <w:t>Our Collaborators And Strategic Partners May Control Aspects Of Our Clinical Trials and Commercialization Efforts, Which Could Result In Delays And Other Obstacles In The Commercialization Of Our Proposed Products And Materially Harm Our Results Of Operations.</w:t>
      </w:r>
    </w:p>
    <w:p>
      <w:pPr>
        <w:spacing w:after="0" w:line="14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entered into strategic collaborations and licenses, including with Vertex, Bayer, ViaCyte, Nkarta and Capsida, and may enter into additional collaborations and licenses with other third parties in the future. For some programs, we also depend on, or may in the future depend on, third-party collaborators and strategic partners to design and conduct our clinical trials, and for any approved products, the commercialization of such products. Some of these collaborations provide us with important technologies in order to more fully develop our product candidates and we may enter into collaborations with other companies to provide us with important technologies or funding for our programs. The success of these arrangements will depend heavily on the efforts and activities of our collaborators and licensing partners.</w:t>
      </w:r>
    </w:p>
    <w:p>
      <w:pPr>
        <w:spacing w:after="0" w:line="18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Collaborators generally have significant discretion in determining the efforts and resources that they will apply to these collaborations and collaborators may not perform their obligations as expected. In some situations, we may not be able to influence our collaboration partners’ decisions regarding the development and commercialization of our partnered product candidates, and as a result, our collaboration partners may not pursue or prioritize the development and commercialization of those partnered product candidates in a manner that is in our best interest. In addition, collaborators could independently develop, or develop with third parties, products that compete directly or indirectly with our product candidates if the collaborators believe that the competitive products are more likely to be successfully developed or can be commercialized under terms that are more economically attractive than ours.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or result in litigation or arbitration, which would be time-consuming and expensive. Collaborators may also fail to comply with applicable regulatory requirements regarding the development, manufacture, distribution or marketing of a product candidate or product. Licensors generally have sole discretion in determining the efforts and resources that they will apply to the licensed products.</w:t>
      </w:r>
    </w:p>
    <w:p>
      <w:pPr>
        <w:spacing w:after="0" w:line="186"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As a result, we may not be able to conduct any of our partnered programs in the manner or on the time schedule we currently contemplate, which may negatively impact our business operations. In addition, if any of these collaborators or strategic partners withdraw support for our programs or proposed products or otherwise impair their development or commercialization, our business could be negatively affected. Additionally, if one of our collaborators terminates its agreement with us, we may find it more difficult to attract new collaborators and our perception in the business and financial communities could be adversely affected.</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We Have Partnered With Vertex On Our Lead Program CTX001; Vertex Has Significant Control Over The CTX001 Program.</w:t>
      </w:r>
    </w:p>
    <w:p>
      <w:pPr>
        <w:spacing w:after="0" w:line="212"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We have entered into a series of agreements with Vertex that contemplate certain research, development, manufacturing and commercialization activities involving various targets. Pursuant to these agreements, Vertex has sole authority to conduct certain activities. For example, under our 2015 Collaboration Agreement with Vertex to research, develop and commercialize new treatments aimed at the underlying genetic causes of human diseases, Vertex had sole authority to select genetic targets to pursue and we do not have control over the development of any product candidates for the selected genetic targets. In addition, under our 2019 Collaboration Agreement with Vertex, Vertex has sole authority to develop and commercialize products for the treatment of DMD and DM1 under the agreement (subject to our option to co-develop and co-commercialize products for the treatment of DM1).</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9" w:name="page90"/>
    <w:bookmarkEnd w:id="89"/>
    <w:p>
      <w:pPr>
        <w:ind w:right="100" w:firstLine="509"/>
        <w:spacing w:after="0" w:line="255" w:lineRule="auto"/>
        <w:rPr>
          <w:sz w:val="20"/>
          <w:szCs w:val="20"/>
          <w:color w:val="auto"/>
        </w:rPr>
      </w:pPr>
      <w:r>
        <w:rPr>
          <w:rFonts w:ascii="Arial" w:cs="Arial" w:eastAsia="Arial" w:hAnsi="Arial"/>
          <w:sz w:val="17"/>
          <w:szCs w:val="17"/>
          <w:color w:val="auto"/>
        </w:rPr>
        <w:t>Additionally, we are developing and preparing to commercialize CTX001 for TDT and SCD in partnership with Vertex under a joint development and commercialization agreement, which we amended in the second quarter of 2021. Under the A&amp;R Vertex JDCA, subject to the terms and conditions of such agreement, Vertex will have the right to conduct all research, development, manufacturing and commercialization activities relating to the specified product candidates and products (including CTX001) throughout the world subject to our reserved right to conduct certain activities. While we will continue to participate in certain aspects of such activities in an observer capacity unless and to the extent otherwise agreed to by the parties, and we and Vertex have an equal number of representatives on the joint oversight committee and transition committee, Vertex controls the development of CTX001 or any future product candidates subject to the A&amp;R Vertex JDCA.</w:t>
      </w:r>
    </w:p>
    <w:p>
      <w:pPr>
        <w:spacing w:after="0" w:line="38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lack of control over the clinical development, manufacturing, regulatory submission and commercialization activities in certain of our agreements with Vertex could cause delays or other difficulties in the development and commercialization of product candidates, which may prevent among other things, completion of intended IND filings in a timely fashion, if at all, or the completion or delay in BLA filings. For example, there is no assurance that data obtained from our partnered CTX001 programs will indicate clinically meaningful benefit or support submission of a BLA, and we cannot be certain that data from CLIMB THAL-111 and CLIMB SCD-121 clinical trials will be sufficiently robust from a safety and/or efficacy perspective to support either conditional approval or full approval. The FDA may require that we and Vertex conduct additional or larger pivotal trials before we and Vertex can submit or obtain approval of a BLA. Furthermore, we are required to submit data relating to certain release assays designed to confirm the quality, purity and strength (including potency) of CTX001 as a condition for completing the BLA submission. Under the A&amp;R Vertex JDCA, Vertex is responsible for such clinical trials and manufacturing. If Vertex is unable to submit the required data in a timely manner, there is the potential for further delaying the completion of our BLA submission, with the potential consequence of delaying any approval and commercial launch of CTX001 in the United States.</w:t>
      </w:r>
    </w:p>
    <w:p>
      <w:pPr>
        <w:spacing w:after="0" w:line="398"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In addition, the termination of our agreements with Vertex would prevent us from receiving any milestone, royalty payments and other benefits under that agreement, which may have a materially adverse effect on our results of operations.</w:t>
      </w:r>
    </w:p>
    <w:p>
      <w:pPr>
        <w:spacing w:after="0" w:line="265"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i w:val="1"/>
          <w:iCs w:val="1"/>
          <w:color w:val="auto"/>
        </w:rPr>
        <w:t>If Conflicts Arise Between Us And Our Collaborators Or Strategic Partners, These Parties May Act In A Manner Adverse To Us And Could Limit Our Ability To Implement Our Strategies.</w:t>
      </w:r>
    </w:p>
    <w:p>
      <w:pPr>
        <w:spacing w:after="0" w:line="171"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If conflicts arise between our corporate or academic collaborators or strategic partners and us, the other party may act in a manner adverse to us and could limit our ability to implement our strategies. Some of our academic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product candidates.</w:t>
      </w:r>
    </w:p>
    <w:p>
      <w:pPr>
        <w:spacing w:after="0" w:line="17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0" w:name="page91"/>
    <w:bookmarkEnd w:id="90"/>
    <w:p>
      <w:pPr>
        <w:ind w:right="440" w:firstLine="509"/>
        <w:spacing w:after="0" w:line="291" w:lineRule="auto"/>
        <w:rPr>
          <w:sz w:val="20"/>
          <w:szCs w:val="20"/>
          <w:color w:val="auto"/>
        </w:rPr>
      </w:pPr>
      <w:r>
        <w:rPr>
          <w:rFonts w:ascii="Arial" w:cs="Arial" w:eastAsia="Arial" w:hAnsi="Arial"/>
          <w:sz w:val="17"/>
          <w:szCs w:val="17"/>
          <w:i w:val="1"/>
          <w:iCs w:val="1"/>
          <w:color w:val="auto"/>
        </w:rPr>
        <w:t>Our Collaborators Or Strategic Partners May Decide To Adopt Alternative Technologies Or May Be Unable To Develop Commercially Viable Products With Our Technology, Which Would Negatively Impact Our Revenues And Our Strategy To Develop These Products.</w:t>
      </w:r>
    </w:p>
    <w:p>
      <w:pPr>
        <w:spacing w:after="0" w:line="147"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Our collaborators or strategic partners may adopt alternative technologies, which could decrease the marketability of our CRISPR/Cas9 gene-editing technology. Additionally, because our current collaborators or strategic partners are and we anticipate that any future collaborators or strategic partners will be working on more than one development project, they could choose to shift their resources to projects other than those they are working on with us. If they do so, this would delay our ability to test our technology and would delay or terminate the development of potential products based on our CRISPR/Cas9 gene-editing technology. Further, our collaborators and strategic partners may elect not to develop products arising out of our collaborative and strategic partnering arrangements or to devote sufficient resources to the development, manufacturing, marketing or sale of these products. The failure to develop and commercialize a product candidate pursuant to our agreements with our current or future collaborators would prevent us from receiving future milestone and royalty payments which would negatively impact our revenues.</w:t>
      </w:r>
    </w:p>
    <w:p>
      <w:pPr>
        <w:spacing w:after="0" w:line="181"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i w:val="1"/>
          <w:iCs w:val="1"/>
          <w:color w:val="auto"/>
        </w:rPr>
        <w:t>We May Seek To Establish Additional Collaborations And, If We Are Not Able To Establish Them On Commercially Reasonable Terms, We May Have To Alter Our Development And Commercialization Plans.</w:t>
      </w:r>
    </w:p>
    <w:p>
      <w:pPr>
        <w:spacing w:after="0" w:line="17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Our product candidate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82"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any additional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69"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We may also be restricted under existing collaboration agreements from entering into future agreements on certain terms with potential collaborators. For example, we have granted exclusive rights to Vertex for certain genetic targets, and during the term of the collaboration agreements, we will be restricted from granting rights to other parties to use our gene-editing technology to pursue therapies that address these genetic targets. The non-competition provisions in this agreement could limit our ability to enter into strategic collaborations with future collaborators.</w:t>
      </w:r>
    </w:p>
    <w:p>
      <w:pPr>
        <w:spacing w:after="0" w:line="155"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Collaborations are complex and time-consuming to negotiate and document. In addition, there have been a significant number of recent business combinations among large pharmaceutical companies that have resulted in a reduced number of potential future collaborators. If we are unable to negotiate and enter into new collaborations,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1" w:name="page92"/>
    <w:bookmarkEnd w:id="91"/>
    <w:p>
      <w:pPr>
        <w:ind w:firstLine="509"/>
        <w:spacing w:after="0" w:line="294" w:lineRule="auto"/>
        <w:rPr>
          <w:sz w:val="20"/>
          <w:szCs w:val="20"/>
          <w:color w:val="auto"/>
        </w:rPr>
      </w:pPr>
      <w:r>
        <w:rPr>
          <w:rFonts w:ascii="Arial" w:cs="Arial" w:eastAsia="Arial" w:hAnsi="Arial"/>
          <w:sz w:val="16"/>
          <w:szCs w:val="16"/>
          <w:i w:val="1"/>
          <w:iCs w:val="1"/>
          <w:color w:val="auto"/>
        </w:rPr>
        <w:t>We Expect To Rely On Third Parties To Conduct Our Clinical Trials And Certain Aspects Of Our Preclinical Studies For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47"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expect to rely on medical institutions, clinical investigators, contract laboratories and other third parties, such as CROs, to conduct future clinical trials and we currently rely on third parties to conduct certain aspects of our preclinical studies for our product candidates. Nevertheless, we are responsible for ensuring that each of our preclinical studies and any future clinical trials we sponsor are conducted in accordance with the applicable protocol, legal and regulatory requirements and scientific standards and our reliance on CROs will not relieve us of our regulatory responsibilities. For example, we will remain responsible for ensuring that each of our clinical trials is conducted in accordance with the general investigational plan and protocols for the trial. Moreover, the FDA requires us to comply with regulations,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certain timeframes. Failure to do so can result in fines, adverse publicity, and civil and criminal sanctions. For any violations of laws and regulations during the conduct of our preclinical studies and clinical trials, we could be subject to warning letters or enforcement action that may include civil penalties up to and including criminal prosecution.</w:t>
      </w:r>
    </w:p>
    <w:p>
      <w:pPr>
        <w:spacing w:after="0" w:line="16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and our CROs will be required to comply with regulations, including GCPs, for conducting, monitoring, recording and reporting the results of preclinical studies and clinical trials to ensure that the data and results are scientifically credible and accurate and that the trial patients are adequately informed, among other things, of the potential risks of participating in clinical trials and their rights are protected. These regulations are enforced by the FDA, the Competent Authorities of the Member States of the European Economic Area and comparable health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FDA or comparable health regulatory authorities may require us to perform additional clinical trials before approving our marketing applications. We cannot assure you that, upon inspection, the FDA will determine that any of our future clinical trials will comply with GCPs. In addition, our future clinical trials must be conducted with product candidates produced in accordance with the requirements in cGMP regulations. Our failure or the failure of our CROs to comply with these regulations may require us to repeat clinical trials, which would delay the regulatory approval process and could also subject us to enforcement action and require significantly greater expenditures.</w:t>
      </w:r>
    </w:p>
    <w:p>
      <w:pPr>
        <w:spacing w:after="0" w:line="186"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Although we intend to design the clinical trials for our product candidates, CROs will conduct all of the clinical trials. As a result, many important aspects of our development programs, including their conduct and timing, will be outside of our direct control. Our reliance on third parties to conduct future preclinical studies and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66"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preclinical studies and clinical trials and may subject us to unexpected cost increases that are beyond our control. If the CROs do not perform preclinical studies and future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programs may be materially and irreversibly harmed. If we are unable to rely on preclinical and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2" w:name="page93"/>
    <w:bookmarkEnd w:id="92"/>
    <w:p>
      <w:pPr>
        <w:ind w:right="180" w:firstLine="509"/>
        <w:spacing w:after="0" w:line="248" w:lineRule="auto"/>
        <w:rPr>
          <w:sz w:val="20"/>
          <w:szCs w:val="20"/>
          <w:color w:val="auto"/>
        </w:rPr>
      </w:pPr>
      <w:r>
        <w:rPr>
          <w:rFonts w:ascii="Arial" w:cs="Arial" w:eastAsia="Arial" w:hAnsi="Arial"/>
          <w:sz w:val="18"/>
          <w:szCs w:val="18"/>
          <w:i w:val="1"/>
          <w:iCs w:val="1"/>
          <w:color w:val="auto"/>
        </w:rPr>
        <w:t>Our Relationships With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82"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 candidates, if ever, we will be subject to additional healthcare statutory and regulatory requirements and enforcement by the U.S. federal government and states as well as other national, regional or local governments in other jurisdictions in which we conduct our business.</w:t>
      </w:r>
    </w:p>
    <w:p>
      <w:pPr>
        <w:spacing w:after="0" w:line="18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See the section entitled “</w:t>
      </w:r>
      <w:r>
        <w:rPr>
          <w:rFonts w:ascii="Arial" w:cs="Arial" w:eastAsia="Arial" w:hAnsi="Arial"/>
          <w:sz w:val="18"/>
          <w:szCs w:val="18"/>
          <w:i w:val="1"/>
          <w:iCs w:val="1"/>
          <w:color w:val="auto"/>
        </w:rPr>
        <w:t>Business – Healthcare Law</w:t>
      </w:r>
      <w:r>
        <w:rPr>
          <w:rFonts w:ascii="Arial" w:cs="Arial" w:eastAsia="Arial" w:hAnsi="Arial"/>
          <w:sz w:val="18"/>
          <w:szCs w:val="18"/>
          <w:color w:val="auto"/>
        </w:rPr>
        <w:t xml:space="preserve"> </w:t>
      </w:r>
      <w:r>
        <w:rPr>
          <w:rFonts w:ascii="Arial" w:cs="Arial" w:eastAsia="Arial" w:hAnsi="Arial"/>
          <w:sz w:val="18"/>
          <w:szCs w:val="18"/>
          <w:i w:val="1"/>
          <w:iCs w:val="1"/>
          <w:color w:val="auto"/>
        </w:rPr>
        <w:t>and Regulation</w:t>
      </w:r>
      <w:r>
        <w:rPr>
          <w:rFonts w:ascii="Arial" w:cs="Arial" w:eastAsia="Arial" w:hAnsi="Arial"/>
          <w:sz w:val="18"/>
          <w:szCs w:val="18"/>
          <w:color w:val="auto"/>
        </w:rPr>
        <w:t>.”</w:t>
      </w:r>
    </w:p>
    <w:p>
      <w:pPr>
        <w:spacing w:after="0" w:line="189"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The provision of benefits or advantages to physicians to induce or encourage the prescription, recommendation, endorsement, purchase, supply, order, or use of medicinal products is prohibited in the EU. The provision of benefits or advantages to induce or reward improper performance generally is also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63"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Because of the breadth of these laws and the narrowness of the statutory exceptions and safe harbors available, it is possible that some of our business activities could be subject to challenge under one or more of such laws. If our operations, including activities that may be conducted by sales and marketing team we establish,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 Liabilities they incur pursuant to these laws could result in significant costs or an interruption in operations, which could have a material adverse effect on our business, financial condition, results of operations, and prospects.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Risks Related to Manufacturing</w:t>
      </w:r>
    </w:p>
    <w:p>
      <w:pPr>
        <w:spacing w:after="0" w:line="216"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i w:val="1"/>
          <w:iCs w:val="1"/>
          <w:color w:val="auto"/>
        </w:rPr>
        <w:t>Gene-Editing Products Are Novel And May Be Complex And Difficult To Manufacture. We Could Experience Manufacturing Problems That Result In Delays In The Development Or Commercialization Of Our Product Candidates Or Otherwise Harm Our Business.</w:t>
      </w:r>
    </w:p>
    <w:p>
      <w:pPr>
        <w:spacing w:after="0" w:line="171"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 xml:space="preserve">The manufacturing process used to produce CRISPR/Cas9-based product candidates may be complex, as they are novel and have not been validated for clinical and commercial production. Several factors could cause production interruptions, including inability to develop novel manufacturing processes, equipment malfunctions, facility contamination, raw material shortages or contamination, natural disasters, including the coronavirus pandemic, disruption in utility services, human error or disruptions in the operations of our suppliers, including acquisition of the supplier by a third party or declaration of bankruptcy. The expertise required to manufacture these product candidates may be unique to a particular contract manufacturing organizations, and as a result, it would be difficult and time consuming to find an alternative contract manufacturing organization. Failure or process defects in any of the interrelated systems at either our manufacturing facility, once validated, or those of our third-party manufacturers, could adversely impact our ability to manufacture and supply cell therapy product candidates and certain components thereof intended for research, clinical and, if approved, commercial production. For additional information regarding the impact of the coronavirus pandemic, please see “Risk Factor— </w:t>
      </w:r>
      <w:r>
        <w:rPr>
          <w:rFonts w:ascii="Arial" w:cs="Arial" w:eastAsia="Arial" w:hAnsi="Arial"/>
          <w:sz w:val="16"/>
          <w:szCs w:val="16"/>
          <w:i w:val="1"/>
          <w:iCs w:val="1"/>
          <w:color w:val="auto"/>
        </w:rPr>
        <w:t>Our Business May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Affected By The Ongoing Coronavirus Pandemic, Including the Emergence of Additional Variants</w:t>
      </w:r>
      <w:r>
        <w:rPr>
          <w:rFonts w:ascii="Arial" w:cs="Arial" w:eastAsia="Arial" w:hAnsi="Arial"/>
          <w:sz w:val="16"/>
          <w:szCs w:val="16"/>
          <w:color w:val="auto"/>
        </w:rPr>
        <w:t>.”</w:t>
      </w:r>
    </w:p>
    <w:p>
      <w:pPr>
        <w:spacing w:after="0" w:line="171" w:lineRule="exact"/>
        <w:rPr>
          <w:sz w:val="20"/>
          <w:szCs w:val="20"/>
          <w:color w:val="auto"/>
        </w:rPr>
      </w:pPr>
    </w:p>
    <w:p>
      <w:pPr>
        <w:ind w:right="160" w:firstLine="509"/>
        <w:spacing w:after="0" w:line="274" w:lineRule="auto"/>
        <w:rPr>
          <w:sz w:val="20"/>
          <w:szCs w:val="20"/>
          <w:color w:val="auto"/>
        </w:rPr>
      </w:pPr>
      <w:r>
        <w:rPr>
          <w:rFonts w:ascii="Arial" w:cs="Arial" w:eastAsia="Arial" w:hAnsi="Arial"/>
          <w:sz w:val="16"/>
          <w:szCs w:val="16"/>
          <w:color w:val="auto"/>
        </w:rPr>
        <w:t>Our product candidates will require processing steps that are more complex than those required for most small molecule drugs. Moreover, unlike small molecules, the physical and chemical properties of biologics generally cannot be fully characterized. As a result, assays of the finished product may not be sufficient to ensure that the product will perform in the intended manner. Accordingly, we will employ multiple steps to control the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may encounter problems achieving adequate quantities and quality of clinical grade materials that meet FDA, the EMA or other applicable standards or specifications with consistent and acceptable production yields and costs.</w:t>
      </w:r>
    </w:p>
    <w:p>
      <w:pPr>
        <w:spacing w:after="0" w:line="16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In addition, the FDA, the EMA and other health regulatory authorities may require us to submit samples of any lot of any approved product together with the protocols showing the results of applicable tests at any time. Under some circumstances, the FDA, the EMA or other health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or product recalls. Lot failures could cause us to delay product launches or clinical trials and we may need to conduct product recalls, all of which could be costly to us and otherwise harm our business, financial condition, results of operations and prospects. Problems in our manufacturing process could restrict our ability to meet market demand for our products.</w:t>
      </w:r>
    </w:p>
    <w:p>
      <w:pPr>
        <w:spacing w:after="0" w:line="19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also may encounter problems hiring and retaining directly or through contract manufacturing organizations the experienced scientific, quality assurance, quality control and manufacturing personnel needed to operate our manufacturing processes, which could result in delays in production or difficulties in maintaining compliance with applicable regulatory requirements. Any problems in our supply chain, manufacturing process or facilities could result in delays in planned clinical trials and increased costs, and could make us a less attractive collaborator for potential partners, including larger pharmaceutical companies and academic research institutions, which could limit our access to additional attractive development programs. Problems in our manufacturing process could restrict our ability to meet potential future market demand for products.</w:t>
      </w:r>
    </w:p>
    <w:p>
      <w:pPr>
        <w:spacing w:after="0" w:line="175"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i w:val="1"/>
          <w:iCs w:val="1"/>
          <w:color w:val="auto"/>
        </w:rPr>
        <w:t>The Manufacturing Facilities For Our Product Candidates Are Subject To Rigorous Regulations And Failure To Obtain Or Maintain Regulatory Approvals Or Operate In Line With Established cGMPs And International Best Practices Could Delay Or Impair Our Ability To Commercialize Our Product Candidates.</w:t>
      </w:r>
    </w:p>
    <w:p>
      <w:pPr>
        <w:spacing w:after="0" w:line="182"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We and the third-party manufacturers of our product candidates are subject to applicable cGMPs prescribed by the FDA and other rules and regulations prescribed by the EMA and other regulatory authorities. To obtain FDA and EMA approval for our product candidates in the United States and Europe, we need to undergo strict pre-approval inspections of our or our third-party manufacturing facilities. When inspecting our or our contractors' manufacturing facilities, the FDA or EMA might cite cGMP deficiencies, both minor and significant, which we may not be required to disclose. Remediating deficiencies can be laborious and costly and consume significant periods of time. Moreover, if the FDA or EMA notes deficiencies as a result of its inspection, it will generally reinspect the facility to determine if the deficiency has been remediated to its satisfaction. The FDA or EMA may note further deficiencies as a result of its reinspection, either related to the previously identified deficiency or otherwise. If we or the manufacturers of our product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4" w:name="page95"/>
    <w:bookmarkEnd w:id="94"/>
    <w:p>
      <w:pPr>
        <w:ind w:right="560"/>
        <w:spacing w:after="0" w:line="261" w:lineRule="auto"/>
        <w:rPr>
          <w:sz w:val="20"/>
          <w:szCs w:val="20"/>
          <w:color w:val="auto"/>
        </w:rPr>
      </w:pPr>
      <w:r>
        <w:rPr>
          <w:rFonts w:ascii="Arial" w:cs="Arial" w:eastAsia="Arial" w:hAnsi="Arial"/>
          <w:sz w:val="18"/>
          <w:szCs w:val="18"/>
          <w:color w:val="auto"/>
        </w:rPr>
        <w:t>candidates cannot satisfy the FDA and EMA as to compliance with cGMP in a timely basis, marketing approval for our product candidates could be seriously delayed, which in turn would delay commercialization of our product candidates.</w:t>
      </w:r>
    </w:p>
    <w:p>
      <w:pPr>
        <w:spacing w:after="0" w:line="171"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i w:val="1"/>
          <w:iCs w:val="1"/>
          <w:color w:val="auto"/>
        </w:rPr>
        <w:t>We Are Subject To Regulatory And Operational Risks Associated With Our Internal Manufacturing Facility And At Those Of Our Third-party Contract Manufacturing Partners.</w:t>
      </w:r>
    </w:p>
    <w:p>
      <w:pPr>
        <w:spacing w:after="0" w:line="171"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the fourth quarter of 2021, we completed construction of a new cell therapy manufacturing facility in Framingham, Massachusetts, that, among other things, once validated, will be capable of supporting research, clinical and commercial production of our cell therapy product candidates and certain components thereof for certain of our programs. We have begun the regulatory validation activities required to bring this facility into cGMP compliance and to enable us to produce cell therapy product supply suitable for human administration in the future. We can provide no assurances that we will be able to build out our internal manufacturing capacity or achieve required validation of our Framingham facility. While the design of the facility is based on current standards for biotechnology facilities, it has not yet been reviewed or pre-approved by any regulatory agency, nor has the facility been inspected by any regulatory agency such as the FDA. We could incur delays in implementing the full operational state of the facility, causing delays to clinical supply or extended use of our third-party contract manufacturing partners, resulting in unplanned expenses. In constructing our facility in Framingham, Massachusetts, we have incurred substantial expenditures, and expect to incur significant additional expenditures in validating and operating the facility in the future.</w:t>
      </w:r>
    </w:p>
    <w:p>
      <w:pPr>
        <w:spacing w:after="0" w:line="18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i w:val="1"/>
          <w:iCs w:val="1"/>
          <w:color w:val="auto"/>
        </w:rPr>
        <w:t>We Expect To Rely On Third Parties To Manufacture Our Clinical Product Supplies, And We Intend To Rely On Third Parties For At Least A Portion Of The Manufacturing Process Of Our Product Candidates. Our Business Could Be Harmed If The Third Parties Experience Supply Chain Shortages, Fail To Provide Us With Sufficient Quantities Of Product Inputs Or Fail To Do So At Acceptable Quality Levels Or Prices.</w:t>
      </w:r>
    </w:p>
    <w:p>
      <w:pPr>
        <w:spacing w:after="0" w:line="16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Although we have completed construction of our facility in Framingham, Massachusetts, we have not yet completed regulatory validation activities and we do not own any facility that currently may be used as our clinical-scale manufacturing and processing facility and must rely on outside vendors to manufacture supplies and process our product candidates in connection with any clinical trial we undertake of such product candidates. We have not yet caused any product candidates to be manufactured or processed on a commercial scale and may not be able to do so for any of our product candidates. We will make changes as we work to optimize the manufacturing process, and we cannot be sure that even minor changes in the process will result in therapies that are safe and effective.</w:t>
      </w:r>
    </w:p>
    <w:p>
      <w:pPr>
        <w:spacing w:after="0" w:line="189"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The facilities used to manufacture our product candidates must be evaluated by the FDA, or other health regulatory agencies in other jurisdictions, pursuant to inspections that will be conducted after we submit an application to the FDA or other health regulatory agencies. We will not control the manufacturing process of, and will be completely dependent on, our contract manufacturing partners for compliance with regulatory requirements, known as cGMP requirements, for manufacture of our product candidates. If our contract manufacturers cannot successfully manufacture material that conforms to our specifications and the strict regulatory requirements of the FDA or other regulatory authorities, they will not be able to secure and/or maintain regulatory approval for their manufacturing facilities or regulatory authorities may cite them for deficiencies, and we may not be able to obtain or may be delayed in obtaining regulatory approval from the FDA or other regulatory authorities for our product candidates. In addition, we have no direct control over the ability of our contract manufacturers to maintain adequate quality control, quality assurance and qualified personnel. If the FDA or a comparable health regulatory authority does not approve these facilities or cites these facilities for deficiencies for the manufacture of our product candidates or if it withdraws any such approval or cites deficiencies in the future, we may need to find alternative manufacturing facilities, which would significantly impact our ability to develop, obtain regulatory approval for or market our product candidates, if approved. In addition, if our contract manufacturers are unable to timely perform or become distracted as a result of actions taken by the FDA or a comparable health regulatory authority or as a result of the coronavirus pandemic, we may experience manufacturing delays or may need to find alternative manufacturing facilities, which in each case, would significantly impact our ability to develop, obtain regulatory approval for or market our product candidates, if approved.</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reliance on a limited number of third-party manufacturers exposes us to a number of risks, including the following:</w:t>
      </w:r>
    </w:p>
    <w:p>
      <w:pPr>
        <w:spacing w:after="0" w:line="104"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unable to identify manufacturers on acceptable terms or at all because the number of potential manufacturers is limited;</w:t>
      </w:r>
    </w:p>
    <w:p>
      <w:pPr>
        <w:spacing w:after="0" w:line="115" w:lineRule="exact"/>
        <w:rPr>
          <w:rFonts w:ascii="Arial" w:cs="Arial" w:eastAsia="Arial" w:hAnsi="Arial"/>
          <w:sz w:val="17"/>
          <w:szCs w:val="17"/>
          <w:color w:val="auto"/>
        </w:rPr>
      </w:pPr>
    </w:p>
    <w:p>
      <w:pPr>
        <w:ind w:left="1020" w:right="84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new manufacturer would have to be educated in, or develop substantially equivalent processes for, the production of our product candidates;</w:t>
      </w:r>
    </w:p>
    <w:p>
      <w:pPr>
        <w:spacing w:after="0" w:line="62" w:lineRule="exact"/>
        <w:rPr>
          <w:rFonts w:ascii="Arial" w:cs="Arial" w:eastAsia="Arial" w:hAnsi="Arial"/>
          <w:sz w:val="18"/>
          <w:szCs w:val="18"/>
          <w:color w:val="auto"/>
        </w:rPr>
      </w:pPr>
    </w:p>
    <w:p>
      <w:pPr>
        <w:ind w:left="1020" w:right="120" w:hanging="503"/>
        <w:spacing w:after="0" w:line="270"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change in manufacturers or certain changes in manufacturing processes/procedures will require that we conduct a manufacturing comparability study to verify that any new manufacturer or manufacturing process/procedures will produce our product candidate according to the specifications previously submitted to the FDA or other regulatory authority, and such study may be unsuccessful;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5" w:name="page96"/>
    <w:bookmarkEnd w:id="95"/>
    <w:p>
      <w:pPr>
        <w:ind w:left="1020" w:right="16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candidates or produce the quantity and quality required to meet our clinical and commercial needs, if any;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contract manufacturers may not be able to execute our manufacturing procedures and other logistical support requirements appropriately;</w:t>
      </w:r>
    </w:p>
    <w:p>
      <w:pPr>
        <w:spacing w:after="0" w:line="126" w:lineRule="exact"/>
        <w:rPr>
          <w:rFonts w:ascii="Arial" w:cs="Arial" w:eastAsia="Arial" w:hAnsi="Arial"/>
          <w:sz w:val="16"/>
          <w:szCs w:val="16"/>
          <w:color w:val="auto"/>
        </w:rPr>
      </w:pPr>
    </w:p>
    <w:p>
      <w:pPr>
        <w:ind w:left="1020" w:right="24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contract manufacturers may not perform as agreed, may not devote sufficient resources to our product candidates or may not remain in the contract manufacturing business for the time required to supply our clinical trials;</w:t>
      </w:r>
    </w:p>
    <w:p>
      <w:pPr>
        <w:spacing w:after="0" w:line="62" w:lineRule="exact"/>
        <w:rPr>
          <w:rFonts w:ascii="Arial" w:cs="Arial" w:eastAsia="Arial" w:hAnsi="Arial"/>
          <w:sz w:val="18"/>
          <w:szCs w:val="18"/>
          <w:color w:val="auto"/>
        </w:rPr>
      </w:pPr>
    </w:p>
    <w:p>
      <w:pPr>
        <w:ind w:left="1020" w:right="460" w:hanging="503"/>
        <w:spacing w:after="0" w:line="248"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7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contract manufacturers and critical reagent suppliers may be subject to inclement weather, as well as natural or man-made disasters; and</w:t>
      </w:r>
    </w:p>
    <w:p>
      <w:pPr>
        <w:spacing w:after="0" w:line="126" w:lineRule="exact"/>
        <w:rPr>
          <w:rFonts w:ascii="Arial" w:cs="Arial" w:eastAsia="Arial" w:hAnsi="Arial"/>
          <w:sz w:val="16"/>
          <w:szCs w:val="16"/>
          <w:color w:val="auto"/>
        </w:rPr>
      </w:pPr>
    </w:p>
    <w:p>
      <w:pPr>
        <w:ind w:left="1020" w:right="340" w:hanging="503"/>
        <w:spacing w:after="0" w:line="291"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47"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Each of these risks could delay or prevent the completion of our clinical trials or the approval of any of our product candidates by the FDA, result in higher costs or adversely impact commercialization of our product candidates, if approved.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Our Future Success Depends On Our Ability To Retain Key Executives And To Attract, Retain And Motivate Qualified Personnel.</w:t>
      </w:r>
    </w:p>
    <w:p>
      <w:pPr>
        <w:spacing w:after="0" w:line="21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are highly dependent on the research and development, clinical, commercial and business development expertise of Dr. Samarth Kulkarni, our Chief Executive Officer, as well as the other principal members of our management, scientific and clinical team. Although we have entered into employment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The loss of the services of our executive officers or other key employees or consultants could impede the achievement of our research, development and commercialization objectives and seriously harm our ability to successfully implement our business strategy. If we are unable to retain high quality personnel, our ability to pursue our growth strategy will be limited.</w:t>
      </w:r>
    </w:p>
    <w:p>
      <w:pPr>
        <w:spacing w:after="0" w:line="184"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We will also need to recruit and retain qualified scientific, clinical and commercial personnel as we advance the development of our product candidates and product pipeline. We may be unable to hire, train, retain or motivate these key personnel on acceptable terms given the competition among numerous pharmaceutical and biotechnology companies for similar personnel. We also experience competition for the hiring of scientific, clinical and commercial personnel from universities and research institutions. Failure to succeed in clinical trials may make it more challenging to recruit and retain qualified scientific personnel.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6" w:name="page97"/>
    <w:bookmarkEnd w:id="96"/>
    <w:p>
      <w:pPr>
        <w:ind w:left="520"/>
        <w:spacing w:after="0"/>
        <w:rPr>
          <w:sz w:val="20"/>
          <w:szCs w:val="20"/>
          <w:color w:val="auto"/>
        </w:rPr>
      </w:pPr>
      <w:r>
        <w:rPr>
          <w:rFonts w:ascii="Arial" w:cs="Arial" w:eastAsia="Arial" w:hAnsi="Arial"/>
          <w:sz w:val="18"/>
          <w:szCs w:val="18"/>
          <w:i w:val="1"/>
          <w:iCs w:val="1"/>
          <w:color w:val="auto"/>
        </w:rPr>
        <w:t>Swiss Corporate Governance With Respect To Executive Compensation May Affect Our Business.</w:t>
      </w:r>
    </w:p>
    <w:p>
      <w:pPr>
        <w:spacing w:after="0" w:line="212" w:lineRule="exact"/>
        <w:rPr>
          <w:sz w:val="20"/>
          <w:szCs w:val="20"/>
          <w:color w:val="auto"/>
        </w:rPr>
      </w:pPr>
    </w:p>
    <w:p>
      <w:pPr>
        <w:ind w:right="180" w:firstLine="509"/>
        <w:spacing w:after="0" w:line="254" w:lineRule="auto"/>
        <w:rPr>
          <w:sz w:val="20"/>
          <w:szCs w:val="20"/>
          <w:color w:val="auto"/>
        </w:rPr>
      </w:pPr>
      <w:r>
        <w:rPr>
          <w:rFonts w:ascii="Arial" w:cs="Arial" w:eastAsia="Arial" w:hAnsi="Arial"/>
          <w:sz w:val="17"/>
          <w:szCs w:val="17"/>
          <w:color w:val="auto"/>
        </w:rPr>
        <w:t>The Swiss Federal Council Ordinance Against Excessive Compensation at Public Companies, or the Ordinance, among other things, (a) requires a binding shareholder “say on pay” vote with respect to the compensation of members of our executive management and board of directors, (b) generally prohibits the making of severance, advance, transaction premiums and similar payments to members of our executive management and board of directors and (c) requires companies to specify various compensation-related matters in their articles of association, thus requiring them to be approved by a shareholders’ vote. At our annual general meetings, our shareholders are required to approve the maximum aggregate compensation of our board of directors and our executive management team. The Ordinance further provides for criminal penalties against directors and members of executive management in case of non-compliance with certain of its requirements. The Ordinance may negatively affect our ability to attract and retain executive management and members of our board of directors.</w:t>
      </w:r>
    </w:p>
    <w:p>
      <w:pPr>
        <w:spacing w:after="0" w:line="18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i w:val="1"/>
          <w:iCs w:val="1"/>
          <w:color w:val="auto"/>
        </w:rPr>
        <w:t>We Will Need To Develop And Expand Our Company, And We May Encounter Difficulties In Managing This Development And Expansion, Which Could Disrupt Our Operations.</w:t>
      </w:r>
    </w:p>
    <w:p>
      <w:pPr>
        <w:spacing w:after="0" w:line="171"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As of December 31, 2021, we had 473 full-time employees and we expect to continue to increase our number of employees and the scope of our operations in 2022 and beyond as we seek to advance development and if successful, commercialization, of our product candidates.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expansion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product candidates. If our management is unable to effectively manage our expected expansion, our expenses may increase more than expected, our ability to generate or increase our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18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171" w:lineRule="exact"/>
        <w:rPr>
          <w:sz w:val="20"/>
          <w:szCs w:val="20"/>
          <w:color w:val="auto"/>
        </w:rPr>
      </w:pPr>
    </w:p>
    <w:p>
      <w:pPr>
        <w:ind w:right="80" w:firstLine="509"/>
        <w:spacing w:after="0" w:line="251" w:lineRule="auto"/>
        <w:rPr>
          <w:sz w:val="20"/>
          <w:szCs w:val="20"/>
          <w:color w:val="auto"/>
        </w:rPr>
      </w:pPr>
      <w:r>
        <w:rPr>
          <w:rFonts w:ascii="Arial" w:cs="Arial" w:eastAsia="Arial" w:hAnsi="Arial"/>
          <w:sz w:val="17"/>
          <w:szCs w:val="17"/>
          <w:color w:val="auto"/>
        </w:rPr>
        <w:t>We are exposed to the risk of fraud or other misconduct by our employees, consultants, commercial partners, and principal investigators. Misconduct by these parties could include intentional failures to comply with FDA regulations or the regulations applicable in the EU and other jurisdictions, provide accurate information to the FDA, the European Commission, and other regulatory authorities, comply with healthcare fraud and abuse laws and regulations in the United States and in other jurisdictions,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financial condition, results of operations, and prospects,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7" w:name="page98"/>
    <w:bookmarkEnd w:id="97"/>
    <w:p>
      <w:pPr>
        <w:ind w:right="360" w:firstLine="509"/>
        <w:spacing w:after="0" w:line="261" w:lineRule="auto"/>
        <w:rPr>
          <w:sz w:val="20"/>
          <w:szCs w:val="20"/>
          <w:color w:val="auto"/>
        </w:rPr>
      </w:pPr>
      <w:r>
        <w:rPr>
          <w:rFonts w:ascii="Arial" w:cs="Arial" w:eastAsia="Arial" w:hAnsi="Arial"/>
          <w:sz w:val="18"/>
          <w:szCs w:val="18"/>
          <w:i w:val="1"/>
          <w:iCs w:val="1"/>
          <w:color w:val="auto"/>
        </w:rPr>
        <w:t>If We Fail To Comply With Environmental, Health And Safety Laws And Regulations, We Could Become Subject To Fines Or Penalties Or Incur Costs That Could Harm Our Business.</w:t>
      </w:r>
    </w:p>
    <w:p>
      <w:pPr>
        <w:spacing w:after="0" w:line="17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2"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5" w:lineRule="exact"/>
        <w:rPr>
          <w:sz w:val="20"/>
          <w:szCs w:val="20"/>
          <w:color w:val="auto"/>
        </w:rPr>
      </w:pPr>
    </w:p>
    <w:p>
      <w:pPr>
        <w:ind w:right="640" w:firstLine="509"/>
        <w:spacing w:after="0" w:line="227" w:lineRule="auto"/>
        <w:rPr>
          <w:sz w:val="20"/>
          <w:szCs w:val="20"/>
          <w:color w:val="auto"/>
        </w:rPr>
      </w:pPr>
      <w:r>
        <w:rPr>
          <w:rFonts w:ascii="Arial" w:cs="Arial" w:eastAsia="Arial" w:hAnsi="Arial"/>
          <w:sz w:val="18"/>
          <w:szCs w:val="18"/>
          <w:i w:val="1"/>
          <w:iCs w:val="1"/>
          <w:color w:val="auto"/>
        </w:rPr>
        <w:t>Product Liability Lawsuits Against Us Could Cause Us To Incur Substantial Liabilities And Could Limit Commercialization Of Any Product Candidates That We May Develop.</w:t>
      </w:r>
    </w:p>
    <w:p>
      <w:pPr>
        <w:spacing w:after="0" w:line="175" w:lineRule="exact"/>
        <w:rPr>
          <w:sz w:val="20"/>
          <w:szCs w:val="20"/>
          <w:color w:val="auto"/>
        </w:rPr>
      </w:pPr>
    </w:p>
    <w:p>
      <w:pPr>
        <w:jc w:val="both"/>
        <w:ind w:right="220" w:firstLine="509"/>
        <w:spacing w:after="0" w:line="294" w:lineRule="auto"/>
        <w:rPr>
          <w:sz w:val="20"/>
          <w:szCs w:val="20"/>
          <w:color w:val="auto"/>
        </w:rPr>
      </w:pPr>
      <w:r>
        <w:rPr>
          <w:rFonts w:ascii="Arial" w:cs="Arial" w:eastAsia="Arial" w:hAnsi="Arial"/>
          <w:sz w:val="16"/>
          <w:szCs w:val="16"/>
          <w:color w:val="auto"/>
        </w:rPr>
        <w:t>We will face an inherent risk of product liability exposure related to the testing of our product candidates in human clinical trials and will face an even greater risk if we commercially sell any product candidates that we may develop. If we cannot successfully defend ourselves against claims that our product candidates caused injuries, we could incur substantial liabilities. Regardless of merit or eventual outcome, liability claims may result in:</w:t>
      </w:r>
    </w:p>
    <w:p>
      <w:pPr>
        <w:spacing w:after="0" w:line="12"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product candidates that we may develop;</w:t>
      </w:r>
    </w:p>
    <w:p>
      <w:pPr>
        <w:spacing w:after="0" w:line="6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6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6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6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6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6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198"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Although we have obtained product liability insurance coverage, it may not be adequate to cover all liabilities that we may incur. Further, we anticipate that we will need to increase our insurance coverage if we successfully commercialize any product candidate. Insurance coverage is increasingly expensive. We may not be able to maintain insurance coverage at a reasonable cost or in an amount adequate to satisfy any liability that may arise.</w:t>
      </w:r>
    </w:p>
    <w:p>
      <w:pPr>
        <w:spacing w:after="0" w:line="120" w:lineRule="exact"/>
        <w:rPr>
          <w:sz w:val="20"/>
          <w:szCs w:val="20"/>
          <w:color w:val="auto"/>
        </w:rPr>
      </w:pPr>
    </w:p>
    <w:p>
      <w:pPr>
        <w:ind w:right="200" w:firstLine="509"/>
        <w:spacing w:after="0" w:line="227" w:lineRule="auto"/>
        <w:rPr>
          <w:sz w:val="20"/>
          <w:szCs w:val="20"/>
          <w:color w:val="auto"/>
        </w:rPr>
      </w:pPr>
      <w:r>
        <w:rPr>
          <w:rFonts w:ascii="Arial" w:cs="Arial" w:eastAsia="Arial" w:hAnsi="Arial"/>
          <w:sz w:val="18"/>
          <w:szCs w:val="18"/>
          <w:i w:val="1"/>
          <w:iCs w:val="1"/>
          <w:color w:val="auto"/>
        </w:rPr>
        <w:t>If We Fail To Establish And Maintain Proper And Effective Internal Control Over Financial Reporting, Our Operating Results And Our Ability To Operate Our Business Could Be Harmed.</w:t>
      </w:r>
    </w:p>
    <w:p>
      <w:pPr>
        <w:spacing w:after="0" w:line="175"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Ensuring that we have adequate internal financial and accounting controls and procedures in place so that we can produce accurate financial statements on a timely basis is a costly and time-consuming effort that needs to be re-evaluated frequently. We are required to comply with the requirements of The Sarbanes-Oxley Act of 2002, which requires that we maintain effective internal control over financial reporting and disclosure controls and procedures. In particular, we must perform system and process evaluation, document our controls and perform testing of our key control over financial reporting to allow management and our independent public accounting firm to report on the effectiveness of our internal control over financial reporting, as required by Section 404 of the Sarbanes-Oxley Act. Our testing, or the subsequent testing by our independent public accounting firm, may reveal deficiencies in our internal control over financial reporting that are deemed to be material weaknesses. If we are not able to comply with the requirements of Section 404 in a timely manner, or if we or our accounting firm identify deficiencies in our internal control over financial reporting that are deemed to be material weaknesses, the market price of our stock would likely decline and we could be subject to lawsuits, sanctions or investigations by regulatory authorities, which would require additional financial and management resources.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8" w:name="page99"/>
    <w:bookmarkEnd w:id="98"/>
    <w:p>
      <w:pPr>
        <w:ind w:firstLine="509"/>
        <w:spacing w:after="0" w:line="255" w:lineRule="auto"/>
        <w:rPr>
          <w:sz w:val="20"/>
          <w:szCs w:val="20"/>
          <w:color w:val="auto"/>
        </w:rPr>
      </w:pPr>
      <w:r>
        <w:rPr>
          <w:rFonts w:ascii="Arial" w:cs="Arial" w:eastAsia="Arial" w:hAnsi="Arial"/>
          <w:sz w:val="17"/>
          <w:szCs w:val="17"/>
          <w:color w:val="auto"/>
        </w:rPr>
        <w:t>We continue to invest in more robust technology and in more resources in order to manage those reporting requirements. Implementing the appropriate changes to our internal controls may distract our officers and employees, result in substantial costs if we implement new processes or modify our existing processes and require significant time to complete. Any difficulties or delays in implementing these controls could impact our ability to timely report our financial results. In addition, we currently rely on a manual process in some areas which increases our exposure to human error or intervention in reporting our financial results. For these reasons, we may encounter difficulties in the timely and accurate reporting of our financial results, which would impact our ability to provide our investors with information in a timely manner. As a result, our investors could lose confidence in our reported financial information, and our stock price could decline.</w:t>
      </w:r>
    </w:p>
    <w:p>
      <w:pPr>
        <w:spacing w:after="0" w:line="180"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In addition, any such changes do not guarantee that we will be effective in maintaining the adequacy of our internal controls, and any failure to maintain that adequacy could prevent us from accurately reporting our financial results.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We May Fail To Comply With Evolving European And Other Privacy Laws.</w:t>
      </w:r>
    </w:p>
    <w:p>
      <w:pPr>
        <w:spacing w:after="0" w:line="198"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We currently conduct clinical trials in the EEA. As a result, we are subject to additional privacy laws. The GDPR became effective on May 25, 2018, and deals with the processing of personal data and on the free movement of such data.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or up to 2% of our total worldwide annual turnover for certain comparatively minor offenses, or up to €20,000,000 or up to 4% of our total worldwide annual turnover for more serious offenses.</w:t>
      </w:r>
    </w:p>
    <w:p>
      <w:pPr>
        <w:spacing w:after="0" w:line="180" w:lineRule="exact"/>
        <w:rPr>
          <w:sz w:val="20"/>
          <w:szCs w:val="20"/>
          <w:color w:val="auto"/>
        </w:rPr>
      </w:pPr>
    </w:p>
    <w:p>
      <w:pPr>
        <w:jc w:val="both"/>
        <w:ind w:right="240" w:firstLine="509"/>
        <w:spacing w:after="0" w:line="284" w:lineRule="auto"/>
        <w:rPr>
          <w:sz w:val="20"/>
          <w:szCs w:val="20"/>
          <w:color w:val="auto"/>
        </w:rPr>
      </w:pPr>
      <w:r>
        <w:rPr>
          <w:rFonts w:ascii="Arial" w:cs="Arial" w:eastAsia="Arial" w:hAnsi="Arial"/>
          <w:sz w:val="16"/>
          <w:szCs w:val="16"/>
          <w:color w:val="auto"/>
        </w:rPr>
        <w:t>In particular, national laws of Member States of the EU have implemented national laws which may partially deviate from the GDPR and impose different and more restrictive obligations from country to country, so that we do not expect to operate in a uniform legal landscape in the EU. Also, as it relates to processing and transfer of genetic data, the GDPR specifically allows EU Member State nations to enact laws that impose additional and more specific requirements or restrictions, and European laws have historically differed quite substantially in this field, leading to additional uncertainty.</w:t>
      </w:r>
    </w:p>
    <w:p>
      <w:pPr>
        <w:spacing w:after="0" w:line="155"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In addition, further to the UK’s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(“EC”)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99" w:name="page100"/>
    <w:bookmarkEnd w:id="99"/>
    <w:p>
      <w:pPr>
        <w:ind w:right="60" w:firstLine="509"/>
        <w:spacing w:after="0" w:line="267" w:lineRule="auto"/>
        <w:rPr>
          <w:sz w:val="20"/>
          <w:szCs w:val="20"/>
          <w:color w:val="auto"/>
        </w:rPr>
      </w:pPr>
      <w:r>
        <w:rPr>
          <w:rFonts w:ascii="Arial" w:cs="Arial" w:eastAsia="Arial" w:hAnsi="Arial"/>
          <w:sz w:val="16"/>
          <w:szCs w:val="16"/>
          <w:color w:val="auto"/>
        </w:rPr>
        <w:t>The EU-U.S. and the Swiss-U.S. Privacy Shield frameworks allowed U.S. companies that self-certify to the U.S. Department of Commerce and publicly commit to comply with specified requirements to import personal data from the EU and Switzerland. In 2020, the Court of Justice of the EU ruled that the EU-U.S. Privacy Shield is an invalid transfer mechanism, which was one of the primary mechanisms used by U.S. companies to import personal information from Europe in compliance with the GDPR’s cross-border data transfer restrictions, and raised questions about whether the European Commission’s Standard Contractual Clauses, or SCCs, one of the primary alternatives to the Privacy Shield, can lawfully be used for personal information transfers from Europe to the United States or most other countries. Similarly, the Swiss Federal Data Protection and Information Commissioner has opined that the Swiss-U.S. Privacy Shield is inadequate for transfers of data from Switzerland to the U.S. and the UK Information Commissioner’s Office has stated that the Privacy Shield framework is inadequate for transfers from the UK to the U.S. Furthermore, on June 4, 2021, the European Commission issued new forms of standard contractual clauses for data transfers from controllers or processors in the EEA (or otherwise subject to the GDPR) to controllers or processors established outside the EEA. The new forms of standard contractual clauses have replaced the standard contractual clauses that were adopted previously under the Data Protection Directive. We will be required to transition to the new forms of standard contractual clauses and doing so may require significant effort and cost. The new standard contractual clauses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359" w:lineRule="exact"/>
        <w:rPr>
          <w:sz w:val="20"/>
          <w:szCs w:val="20"/>
          <w:color w:val="auto"/>
        </w:rPr>
      </w:pPr>
    </w:p>
    <w:p>
      <w:pPr>
        <w:ind w:right="380" w:firstLine="509"/>
        <w:spacing w:after="0" w:line="246" w:lineRule="auto"/>
        <w:rPr>
          <w:sz w:val="20"/>
          <w:szCs w:val="20"/>
          <w:color w:val="auto"/>
        </w:rPr>
      </w:pPr>
      <w:r>
        <w:rPr>
          <w:rFonts w:ascii="Arial" w:cs="Arial" w:eastAsia="Arial" w:hAnsi="Arial"/>
          <w:sz w:val="18"/>
          <w:szCs w:val="18"/>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70" w:lineRule="exact"/>
        <w:rPr>
          <w:sz w:val="20"/>
          <w:szCs w:val="20"/>
          <w:color w:val="auto"/>
        </w:rPr>
      </w:pPr>
    </w:p>
    <w:p>
      <w:pPr>
        <w:ind w:firstLine="509"/>
        <w:spacing w:after="0" w:line="255"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0" w:name="page101"/>
    <w:bookmarkEnd w:id="100"/>
    <w:p>
      <w:pPr>
        <w:ind w:firstLine="509"/>
        <w:spacing w:after="0" w:line="249" w:lineRule="auto"/>
        <w:rPr>
          <w:sz w:val="20"/>
          <w:szCs w:val="20"/>
          <w:color w:val="auto"/>
        </w:rPr>
      </w:pPr>
      <w:r>
        <w:rPr>
          <w:rFonts w:ascii="Arial" w:cs="Arial" w:eastAsia="Arial" w:hAnsi="Arial"/>
          <w:sz w:val="16"/>
          <w:szCs w:val="16"/>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Our Business Is Subject To Economic, Political, Regulatory And Other Risks Associated With International Operations.</w:t>
      </w:r>
    </w:p>
    <w:p>
      <w:pPr>
        <w:spacing w:after="0" w:line="104" w:lineRule="exact"/>
        <w:rPr>
          <w:sz w:val="20"/>
          <w:szCs w:val="20"/>
          <w:color w:val="auto"/>
        </w:rPr>
      </w:pPr>
    </w:p>
    <w:p>
      <w:pPr>
        <w:ind w:right="40" w:firstLine="509"/>
        <w:spacing w:after="0" w:line="291"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39"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outside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outside the United States;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floods and fires; and</w:t>
      </w:r>
    </w:p>
    <w:p>
      <w:pPr>
        <w:spacing w:after="0" w:line="126" w:lineRule="exact"/>
        <w:rPr>
          <w:rFonts w:ascii="Arial" w:cs="Arial" w:eastAsia="Arial" w:hAnsi="Arial"/>
          <w:sz w:val="16"/>
          <w:szCs w:val="16"/>
          <w:color w:val="auto"/>
        </w:rPr>
      </w:pPr>
    </w:p>
    <w:p>
      <w:pPr>
        <w:jc w:val="both"/>
        <w:ind w:left="1020" w:right="40" w:hanging="503"/>
        <w:spacing w:after="0" w:line="248"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effects and instability in global financial markets, political institutions and regulatory agencies resulting from the United Kingdom’s June 23, 2016 vote to leave the EU, subsequent invocation of Article 50 of the Lisbon Treaty on March 29, 2017, and the United Kingdom is formally leaving the EU on January 31, 2020.</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0" w:right="379" w:bottom="1440" w:gutter="0" w:footer="0" w:header="0"/>
        </w:sectPr>
      </w:pPr>
    </w:p>
    <w:bookmarkStart w:id="101" w:name="page102"/>
    <w:bookmarkEnd w:id="101"/>
    <w:p>
      <w:pPr>
        <w:ind w:left="520"/>
        <w:spacing w:after="0"/>
        <w:rPr>
          <w:sz w:val="20"/>
          <w:szCs w:val="20"/>
          <w:color w:val="auto"/>
        </w:rPr>
      </w:pPr>
      <w:r>
        <w:rPr>
          <w:rFonts w:ascii="Arial" w:cs="Arial" w:eastAsia="Arial" w:hAnsi="Arial"/>
          <w:sz w:val="18"/>
          <w:szCs w:val="18"/>
          <w:i w:val="1"/>
          <w:iCs w:val="1"/>
          <w:color w:val="auto"/>
        </w:rPr>
        <w:t>Our Business And Operations May Be Negatively Impacted By The United Kingdom’s Withdrawal From The EU</w:t>
      </w:r>
    </w:p>
    <w:p>
      <w:pPr>
        <w:spacing w:after="0" w:line="21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On June 23, 2016, the UK held a referendum in which a majority of the eligible members of the electorate voted to leave the EU, commonly referred to as Brexit. The UK formally left the EU on January 31, 2020, however there was an initial transition period until December 31, 2020 during which EU rules and legislation continued to apply. The UK and EU have signed a EU-UK Trade and Cooperation Agreement, or the TCA, which became provisionally applicable on January 1, 2021 and has been formally applicable since May 1, 2021. The TCA includes specific provisions concerning pharmaceuticals, which include the mutual recognition of Good Manufacturing Practice, or GMP, inspections of manufacturing facilities for medicinal products and GMP documents issued, but does not foresee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will continue to apply in Northern Ireland). The regulatory regime in Great Britain therefore currently aligns with EU regulations, however it is possible that these regimes will diverge in future now that Great Britain’s regulatory system is independent from the EU and the TCA does not provide for mutual recognition of UK and EU pharmaceutical legislation. It remains to be seen how Brexit will impact regulatory requirements for medicinal products and devices in the UK in the long-term.</w:t>
      </w:r>
    </w:p>
    <w:p>
      <w:pPr>
        <w:spacing w:after="0" w:line="38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Since the expiry of the transition period, Great Britain is no longer covered by centralized marketing authorizations (under the Northern Ireland Protocol, centralized marketing authorizations will continue to be recognized in Northern Ireland). For a period of two years from January 1, 2021, the Medicines and Healthcare products Regulatory Agency, or MHRA, the UK medicines regulator, may rely on a decision taken by the European Commission on the approval of a new marketing authorization in the centralized procedure, in order to more quickly grant a new Great Britain marketing authorization. A separate application will, however, still be required. Any new divergent regulations in Great Britain and the EU could add time and expense to the conduct of our business, as well as the process by which our products receive regulatory approval in the UK, the EU and elsewhere. Any of these longer-term effects of Brexit, and others we cannot anticipate, could negatively impact our business and results of operations. In addition, such a withdrawal from the EU is unprecedented, and it is unclear how the restrictions on the UK’s access to the European single market for goods, capital, services and labor within the EU, or single market, and the wider commercial, legal and regulatory environment, will impact our future operations (including business activities conducted by third parties and contract manufacturers on our behalf) and clinical activities (including, without limitation, clinical activities for CTX001) in the UK. Our UK operations support our current and future operations and clinical activities (including, without limitation, clinical activities for CTX001) in other countries in the EU and European Economic Area, or EEA, and these operations and clinical activities could be disrupted by the longer term effects of Brexit.</w:t>
      </w:r>
    </w:p>
    <w:p>
      <w:pPr>
        <w:spacing w:after="0" w:line="180"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i w:val="1"/>
          <w:iCs w:val="1"/>
          <w:color w:val="auto"/>
        </w:rPr>
        <w:t>Our Business Operations Have a Substantial International Footprint and We May Further Expand In The Future, Which Presents Challenges In Managing Our Business Operations.</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are headquartered in Zug, Switzerland and have offices in the United States and the United Kingdom. In addition, we may expand our international operations into other countries in the future. While we have acquired significant management and other personnel with substantial experience, conducting our business in multiple countries subjects us to a variety of risks and complexities that may materially and adversely affect our business, results of operations, financial condition and growth prospects, including, among other things:</w:t>
      </w:r>
    </w:p>
    <w:p>
      <w:pPr>
        <w:spacing w:after="0" w:line="80"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increased complexity and costs inherent in managing international operations;</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diverse regulatory, financial and legal requirements, and any future changes to such requirements, in one or more countries where we are located or do business;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country-specific tax, labor and employment laws and regulations;</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in diverse geographies, including the need to adapt systems, policies, benefits and compliance programs to differing labor and other regulations;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liabilities for activities of, or related to, our international operations or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currency rates;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regulations relating to data security and the unauthorized use of, or access to, commercial and personal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2" w:name="page103"/>
    <w:bookmarkEnd w:id="102"/>
    <w:p>
      <w:pPr>
        <w:ind w:right="60" w:firstLine="509"/>
        <w:spacing w:after="0" w:line="253" w:lineRule="auto"/>
        <w:rPr>
          <w:sz w:val="20"/>
          <w:szCs w:val="20"/>
          <w:color w:val="auto"/>
        </w:rPr>
      </w:pPr>
      <w:r>
        <w:rPr>
          <w:rFonts w:ascii="Arial" w:cs="Arial" w:eastAsia="Arial" w:hAnsi="Arial"/>
          <w:sz w:val="17"/>
          <w:szCs w:val="17"/>
          <w:color w:val="auto"/>
        </w:rPr>
        <w:t>We continue to expand our operations, and our corporate structure and tax structure is complex. In connection with our current and future potential partnerships, we are actively engaged in developing and applying technologies and intellectual property with a view toward commercialization of products globally, often with commercialization partners. In connection with those activities, we already have and will likely continue to engage in complex cross-border and global transactions involving our technology, intellectual property and other assets, between us and other entities such as partners and licensees, and between us and our subsidiaries. Such cross-border and global arrangements are both difficult to manage and can potentially give rise to complexities in areas such as tax treatment, particularly since we are subject to multiple tax regimes and different tax authorities can also take different views from each other, even as regards the same cross-border transaction or arrangement. There can be no assurance that we will effectively manage this increased complexity without experiencing operating inefficiencies, control deficiencies or tax liabilities. Significant management time and effort is required to effectively manage the increased complexity of our company, and our failure to successfully do so could have a material adverse effect on our business, financial condition, results of operations and growth prospects.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81" w:lineRule="exact"/>
        <w:rPr>
          <w:sz w:val="20"/>
          <w:szCs w:val="20"/>
          <w:color w:val="auto"/>
        </w:rPr>
      </w:pPr>
    </w:p>
    <w:p>
      <w:pPr>
        <w:ind w:right="120" w:firstLine="509"/>
        <w:spacing w:after="0" w:line="235" w:lineRule="auto"/>
        <w:rPr>
          <w:sz w:val="20"/>
          <w:szCs w:val="20"/>
          <w:color w:val="auto"/>
        </w:rPr>
      </w:pPr>
      <w:r>
        <w:rPr>
          <w:rFonts w:ascii="Arial" w:cs="Arial" w:eastAsia="Arial" w:hAnsi="Arial"/>
          <w:sz w:val="18"/>
          <w:szCs w:val="18"/>
          <w:i w:val="1"/>
          <w:iCs w:val="1"/>
          <w:color w:val="auto"/>
        </w:rPr>
        <w:t>If We Are Unable To Obtain Or Protect Intellectual Property Rights Related to Our Proprietary Gene-Editing Technology And Product Candidates, We May Not Be Able To Compete Effectively In Our Markets.</w:t>
      </w:r>
    </w:p>
    <w:p>
      <w:pPr>
        <w:spacing w:after="0" w:line="175"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Our success depends in large part on our ability to obtain and maintain proprietary or intellectual property protection in the United States and other jurisdictions with respect to our CRISPR/Cas9 platform technology and any proprietary product candidates and technology we develop. We rely upon a combination of intellectual property rights, including patent rights, trade secret protection and confidentiality agreements to protect the intellectual property related to our gene-editing technology and product candidates. Presently we have rights to certain intellectual property, through licenses from third parties and under patent rights that we own, to develop our gene-editing technology and/or product candidates. For example, through our 2014 exclusive license with Dr. Charpentier, we exclusively license certain rights to a worldwide patent portfolio, including more than eighty-five (85) granted or allowed patents, as well as pending patent applications, which covers various aspects of our genome editing platform technology, including, for example, compositions of matter, including additional CRISPR/TRACR/Cas9 complexes, and methods of use, including their use in targeting or cutting DNA. We refer to this worldwide patent portfolio as the “Patent Portfolio”. In addition, we have filed numerous patent applications covering our product candidates, which cover various aspects of our product candidates, including, for example, compositions of matter, as well as methods of making and using.</w:t>
      </w:r>
    </w:p>
    <w:p>
      <w:pPr>
        <w:spacing w:after="0" w:line="17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We seek to protect our proprietary position by in-licensing intellectual property to cover our platform technology and filing patent applications in the United States and in other jurisdictions related to our technologies and product candidates that are important to our business. We also rely on trade secrets, know-how and continuing technological innovation to develop and maintain our proprietary and intellectual property position. If we or our licensors are unable to obtain or maintain patent protection with respect to our CRISPR/Cas9 platform technology and any proprietary products and technology we develop, our business, financial condition, results of operations and prospects could be materially harmed.</w:t>
      </w:r>
    </w:p>
    <w:p>
      <w:pPr>
        <w:spacing w:after="0" w:line="174"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However, the strength of patents in the biotechnology and pharmaceutical field generally, and the genome-editing field in particular, involves complex legal and scientific questions and can be uncertain and we cannot offer any assurances about which, if any, patent rights that we own or in-license will issue, the breadth of any such patent rights or whether any issued patents will be found invalid and unenforceable or will be threatened by third parties. For example, the scope of patent protection that will be available to us in the United States and in other countries is uncertain. Changes in either the patent laws or their interpretation in the United States and other countries may diminish our ability to protect our intellectual property, obtain, maintain, defend and enforce our intellectual property rights and, more generally, could affect the value of our intellectual property or narrow the scope of our owned and in-licensed patents. 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if any such patents will be found invalid, unenforceable or not infringed if challenged by our competitors.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3" w:name="page104"/>
    <w:bookmarkEnd w:id="103"/>
    <w:p>
      <w:pPr>
        <w:ind w:right="40" w:firstLine="509"/>
        <w:spacing w:after="0" w:line="251"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numerous U.S. and foreign issued patents and pending patent applications owned by third parties exist in the fields in which we are developing our gene-editing technology and/or product candidates. It is possible that we have failed to identify relevant third-party patents or applications.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any degree of certainty whether the inventors of our licensed patents and applications were the first to make the inventions claimed in our owned or any licensed patents or pending patent applications, or that we were the first to file for patent protection of such inventions. Moreover, there is no assurance that all of the potentially relevant prior art relating to our owned and in-licensed patents and patent applications has been found, which can invalidate a patent or prevent a patent from issuing from a pending patent application.</w:t>
      </w:r>
    </w:p>
    <w:p>
      <w:pPr>
        <w:spacing w:after="0" w:line="18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ultimate outcome of any pending or allowed patent application or granted patent is uncertain and the coverage claimed in a patent application can be significantly reduced before the patent is issued, and its scope can be reinterpreted after issuance. Even if patent applications we license or own currently in the future issue as patents, they may not issue in a form that will provide us with any meaningful protection, prevent competitors or other third parties from competing with us, or otherwise provide us with any competitive advantage.</w:t>
      </w:r>
    </w:p>
    <w:p>
      <w:pPr>
        <w:spacing w:after="0" w:line="188"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 xml:space="preserve">Additionally, the issuance of a patent is not conclusive as to its inventorship, scope, validity or enforceability and our owned and in-licensed patents may be challenged in the courts or patent offices in the United States and in other jurisdictions. There is a substantial amount of litigation as well as administrative proceedings for challenging patents, including interference, derivation, reexamination, and other post-grant proceedings before the USPTO and oppositions and other comparable proceedings in foreign jurisdictions, involving patents and other intellectual property rights in the biotechnology and pharmaceutical industries, and we expect this to be true for the CRISPR/Cas9 space as well. See </w:t>
      </w:r>
      <w:r>
        <w:rPr>
          <w:rFonts w:ascii="Arial" w:cs="Arial" w:eastAsia="Arial" w:hAnsi="Arial"/>
          <w:sz w:val="17"/>
          <w:szCs w:val="17"/>
          <w:i w:val="1"/>
          <w:iCs w:val="1"/>
          <w:color w:val="auto"/>
        </w:rPr>
        <w:t>Risk Factor - Third-party claims of intellectual property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infringement against us, our licensors or our collaborators may prevent or delay our product discovery and development efforts </w:t>
      </w:r>
      <w:r>
        <w:rPr>
          <w:rFonts w:ascii="Arial" w:cs="Arial" w:eastAsia="Arial" w:hAnsi="Arial"/>
          <w:sz w:val="17"/>
          <w:szCs w:val="17"/>
          <w:color w:val="auto"/>
        </w:rPr>
        <w:t>for more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Such challenges may result in loss of exclusivity or freedom to operate or in patent claims being narrowed, revoked, invalidated or held unenforceable, in whole or in part, which could limit our ability to practice the invention or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in-licensed patent portfolio may not provide us with sufficient rights to exclude others from commercializing products similar or identical to ours.</w:t>
      </w:r>
    </w:p>
    <w:p>
      <w:pPr>
        <w:spacing w:after="0" w:line="183" w:lineRule="exact"/>
        <w:rPr>
          <w:sz w:val="20"/>
          <w:szCs w:val="20"/>
          <w:color w:val="auto"/>
        </w:rPr>
      </w:pPr>
    </w:p>
    <w:p>
      <w:pPr>
        <w:ind w:right="120" w:firstLine="509"/>
        <w:spacing w:after="0" w:line="255" w:lineRule="auto"/>
        <w:rPr>
          <w:sz w:val="20"/>
          <w:szCs w:val="20"/>
          <w:color w:val="auto"/>
        </w:rPr>
      </w:pPr>
      <w:r>
        <w:rPr>
          <w:rFonts w:ascii="Arial" w:cs="Arial" w:eastAsia="Arial" w:hAnsi="Arial"/>
          <w:sz w:val="17"/>
          <w:szCs w:val="17"/>
          <w:color w:val="auto"/>
        </w:rPr>
        <w:t>Competitors may also claim that they invented the inventions claimed in such issued patents or patent applications prior to our inventors, or may have filed patent applications before our inventors did. A competitor may also claim that our products and technology infringe its patents and that we therefore cannot practice our technology as claimed under our patent applications, if issued. An adverse determination in any such claim may result in our inability to manufacture or commercialize products without infringing third-party patent rights. Competitors may also contest our patents, if issued, by showing that the invention was not patent-eligible, was not novel, was obvious or that the patent claims failed any other requirement for patentability. An adverse determination in any such submission, proceeding or litigation could reduce the scope of, or invalidate, our patent rights or allow third parties to commercialize our technology or products and compete directly with us, without payment to us.</w:t>
      </w:r>
    </w:p>
    <w:p>
      <w:pPr>
        <w:spacing w:after="0" w:line="180"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auto"/>
        </w:rPr>
        <w:t>Moreover, we, or one of our licensors, may have to participate in additional interference proceedings declared by the USPTO to determine priority of invention or in post-grant challenge proceedings, such as oppositions in a non-U.S. patent office, that challenge priority of invention or other features of patentability. Such challenges may result in loss of patent rights, loss of exclusivity or freedom to operate, or in patent claims being narrowed, revoked,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4" w:name="page105"/>
    <w:bookmarkEnd w:id="104"/>
    <w:p>
      <w:pPr>
        <w:ind w:right="40" w:firstLine="509"/>
        <w:spacing w:after="0" w:line="253" w:lineRule="auto"/>
        <w:rPr>
          <w:sz w:val="20"/>
          <w:szCs w:val="20"/>
          <w:color w:val="auto"/>
        </w:rPr>
      </w:pPr>
      <w:r>
        <w:rPr>
          <w:rFonts w:ascii="Arial" w:cs="Arial" w:eastAsia="Arial" w:hAnsi="Arial"/>
          <w:sz w:val="17"/>
          <w:szCs w:val="17"/>
          <w:color w:val="auto"/>
        </w:rPr>
        <w:t>Further, even if they are unchallenged, our owned and in-licensed patents and patent applications may not adequately protect our intellectual property, provide exclusivity for our product candidates or prevent others from designing around our claims. If the breadth or strength of protection provided by the patent applications we hold is threatened, this could dissuade companies from collaborating with us to develop, and could threaten our ability to commercialize, product candidates. Consequently, we do not know whether any of our genome-editing platform advances and product candidates will be protectable or remain protected by valid and enforceable patents. Our competitors or other third parties may be able to circumvent our patents by developing similar or alternative technologies or products in a non-infringing manner. For example, we are aware that third parties have suggested the use of the CRISPR technology in conjunction with a protein other than Cas9. Our owned and in-licensed patents may not cover such technology. If our competitors commercialize the CRISPR technology in conjunction with a protein other than Cas9, our business, financial condition, results of operations, and prospects could be materially adversely affected. Further, if we encounter delays in our clinical trials, the period of time during which we could market product candidates under patent protection would be reduced.</w:t>
      </w:r>
    </w:p>
    <w:p>
      <w:pPr>
        <w:spacing w:after="0" w:line="18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Because our gene-editing technology and product candidates could require the use of proprietary rights held by third parties, the growth of our business could depend in part on our ability to acquire, in-license, or use these proprietary rights. We may be unable to acquire or in-license such intellectual property rights from third parties that we identify. In addition, companies that perceive us to be a competitor may be unwilling to assign or license rights to us. We also may be unable to license or acquire third-party intellectual property rights on terms that would allow us to make an appropriate return on our investment. Furthermore, as industry, government, academia and other biotechnology and pharmaceutical research expands and more patents are issued, the risk increases that our product candidates may give rise to claims of infringement of the patent rights of others. We cannot guarantee that our gene-editing technology, product candidates or the use of such product candidates do not infringe third-party patents. Because patent rights are granted jurisdiction-by-jurisdiction, our freedom to practice certain technologies, including our ability to research, develop and commercialize our product candidates, may differ by country.</w:t>
      </w:r>
    </w:p>
    <w:p>
      <w:pPr>
        <w:spacing w:after="0" w:line="191"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Any of these outcomes could impair our ability to prevent competition from third parties, which may have an adverse impact on our business. Our pending and future patent applications or the patent applications that we obtain rights to through in-licensing arrangements may not result in patents being issued which protect our technology or future product candidates, in whole or in part, or which effectively prevent others from commercializing competitive technologies and products.</w:t>
      </w:r>
    </w:p>
    <w:p>
      <w:pPr>
        <w:spacing w:after="0" w:line="188"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68"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80"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5" w:name="page106"/>
    <w:bookmarkEnd w:id="105"/>
    <w:p>
      <w:pPr>
        <w:ind w:right="320" w:firstLine="509"/>
        <w:spacing w:after="0" w:line="246" w:lineRule="auto"/>
        <w:rPr>
          <w:sz w:val="20"/>
          <w:szCs w:val="20"/>
          <w:color w:val="auto"/>
        </w:rPr>
      </w:pPr>
      <w:r>
        <w:rPr>
          <w:rFonts w:ascii="Arial" w:cs="Arial" w:eastAsia="Arial" w:hAnsi="Arial"/>
          <w:sz w:val="18"/>
          <w:szCs w:val="18"/>
          <w:i w:val="1"/>
          <w:iCs w:val="1"/>
          <w:color w:val="auto"/>
        </w:rPr>
        <w:t>Third-party Claims Of Intellectual Property Infringement Against Us, Our Licensors Or Our Collaborators May Prevent Or Delay Our Product Discovery and Development Efforts.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commercial success depends in part on our avoiding infringement of the valid patents and proprietary rights of third parties.</w:t>
      </w:r>
    </w:p>
    <w:p>
      <w:pPr>
        <w:spacing w:after="0" w:line="212"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in the fields in which we are developing our product candidates. As industry, government, academia and other biotechnology and pharmaceutical research expands and more patents are issued, the risk increases that our product candidates may give rise to claims of infringement of the patent rights of others. We cannot guarantee that our technology, future product candidates or the use of such product candidates do not infringe third-party patents. It is also possible that we have failed to identify relevant third-party patents or applications. Because patent rights are granted jurisdiction-by-jurisdiction, our freedom to practice certain technologies, including our ability to research, develop and commercialize our product candidates, may differ by country.</w:t>
      </w:r>
    </w:p>
    <w:p>
      <w:pPr>
        <w:spacing w:after="0" w:line="175"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Third parties may assert that we infringe their patents or that we are otherwise employing their proprietary technology without authorization, and may sue us. There may be third-party patents of which we are currently unaware with claims to compositions, formulations, methods of manufacture or methods of use or treatment that cover product candidates we discover and develop.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or the manufacture, use or sale of our product candidates infringes upon these patents. If any such third-party patents were held by a court of competent jurisdiction to cover our technologies or product candidates, the holders of any such patents may be able to block our ability to commercialize the applicable product candidate unless we obtain a license under the applicable patents, or until such patents expire or are finally determined to be held invalid or unenforceable. Such a license may not be available on commercially reasonable terms or at all. If we are unable to obtain a necessary license to a third-party patent on commercially reasonable terms, our ability to commercialize our product candidates may be impaired or delayed, which could in turn significantly harm our business.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Third-party Claims Of Intellectual Property May Prevent Or Delay Our Product Discovery and Development Efforts.</w:t>
      </w:r>
    </w:p>
    <w:p>
      <w:pPr>
        <w:spacing w:after="0" w:line="212"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Third parties may seek to claim intellectual property rights that encompass or overlap with intellectual property that we own or license from them or others. Legal proceedings may be initiated to determine the scope and ownership of these rights, and could result in our loss of rights, including injunctions or other equitable relief that could effectively block our ability to further develop and commercialize our product candidates. Interference or derivation proceedings provoked by third parties or brought by the USPTO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interference or derivation proceedings may result in a decision adverse to our interests and, even if we are successful, may result in substantial costs and distract our management and other employees.</w:t>
      </w:r>
    </w:p>
    <w:p>
      <w:pPr>
        <w:spacing w:after="0" w:line="16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For example, third parties could assert that we do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w:t>
      </w:r>
    </w:p>
    <w:p>
      <w:pPr>
        <w:spacing w:after="0" w:line="182"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Specifically, the Broad Institute and Massachusetts Institute of Technology and, in some instances, the President and Fellows of Harvard College, which we refer to individually and collectively as the “Broad” owns a patent family that includes issued patents in the United States and Europe that claim certain aspects of CRISPR/Cas9 systems to edit DNA in eukaryotic cells, including human cells. In January 2016, the USPTO declared an interference (Interference No. 106,048, or ’048 interference) between one of the then pending U.S. patent applications (now issued as U.S. Patent No. 10,266,850) included in the Patent Portfolio and twelve issued U.S. patents owned jointly by the Broad to determine which set of inventors invented first and, thus, is entitled to patents on the invention in the United States. The PTAB concluded that the declared interference should be discontinued because the involved claim sets were considered patentably distinct from each other. Following appeal by the CVC Group, on September 10, 2018, the Federal Circuit affirmed the PTAB’s decision to terminate the interference proceeding without determining which inventors actually invented the use of the CRISPR/Cas9 genome editing technology in eukaryotic cells.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106" w:name="page107"/>
    <w:bookmarkEnd w:id="106"/>
    <w:p>
      <w:pPr>
        <w:ind w:firstLine="509"/>
        <w:spacing w:after="0" w:line="257" w:lineRule="auto"/>
        <w:rPr>
          <w:sz w:val="20"/>
          <w:szCs w:val="20"/>
          <w:color w:val="auto"/>
        </w:rPr>
      </w:pPr>
      <w:r>
        <w:rPr>
          <w:rFonts w:ascii="Arial" w:cs="Arial" w:eastAsia="Arial" w:hAnsi="Arial"/>
          <w:sz w:val="17"/>
          <w:szCs w:val="17"/>
          <w:color w:val="auto"/>
        </w:rPr>
        <w:t>Further, in June 2019, the USPTO declared another interference (Interference No. 106,115, or ‘115 interference) between fourteen (14) pending U.S. patent applications co-owned by the CVC Group and thirteen (13) patents and a patent application co-owned by the Broad. The Broad patents include those that were the subject of the ’048 interference. In September 2020, the PTAB issued an order that, among other matters, advanced the proceeding to the priority phase, where both the CVC Group, which will have the burden of proof, and the Broad will present their respective evidence seeking to prove that they, invented first. This interference is ongoing and will remain pending through the PTAB’s judgment on priority-of-invention. The PTAB’s judgment may be appealed to the Federal Circuit, and thru to the Supreme Court.</w:t>
      </w:r>
    </w:p>
    <w:p>
      <w:pPr>
        <w:spacing w:after="0" w:line="175"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In addition to the Broad, other third parties, such as Vilnius University, ToolGen, Inc., MilliporeSigma (a subsidiary of Merck KGaA and formerly known as “Sigma-Aldrich”) and Harvard University, filed patent applications claiming CRISPR/Cas9-related inventions around or within a year after the CVC Group application was filed and allege (or may allege) that they invented one or more of the inventions claimed by the CVC Group before the CVC Group. If the USPTO deems the scope of the claims of one or more of these parties to sufficiently overlap with the allowable claims from the CVC Group application, the USPTO could declare other interference proceedings to determine the actual inventor of such claims. For example, in December 2020, the USPTO declared an interference (Interference No. 106,127, or ‘127 interference) between a ToolGen patent application that claims certain aspects of CRISPR/Cas9 systems to edit DNA in eukaryotic cells, including human cells, and the same fourteen pending U.S. patent applications co-owned by the CVC Group that are involved in the ’115 interference. This interference is ongoing and will remain pending through the PTAB’s judgment on priority-of-invention. The PTAB’s judgment may be appealed to the Federal Circuit, and thru to the Supreme Court. In addition, in June 2021, the USPTO declared an interference (Interference No. 106,132, or ‘132 interference) between a MilliporeSigma patent application that claims certain aspects of CRISPR/Cas9 systems to edit DNA in eukaryotic cells, including human cells, and the same fourteen pending U.S. patent applications co-owned by the CVC Group that are involved in the ’115 interference. This interference is ongoing and will remain pending through the PTAB’s judgment on priority-of-invention. The PTAB’s judgment may be appealed to the Federal Circuit, and thru to the Supreme Court.</w:t>
      </w:r>
    </w:p>
    <w:p>
      <w:pPr>
        <w:spacing w:after="0" w:line="168" w:lineRule="exact"/>
        <w:rPr>
          <w:sz w:val="20"/>
          <w:szCs w:val="20"/>
          <w:color w:val="auto"/>
        </w:rPr>
      </w:pPr>
    </w:p>
    <w:p>
      <w:pPr>
        <w:ind w:right="440" w:firstLine="509"/>
        <w:spacing w:after="0" w:line="241" w:lineRule="auto"/>
        <w:rPr>
          <w:sz w:val="20"/>
          <w:szCs w:val="20"/>
          <w:color w:val="auto"/>
        </w:rPr>
      </w:pPr>
      <w:r>
        <w:rPr>
          <w:rFonts w:ascii="Arial" w:cs="Arial" w:eastAsia="Arial" w:hAnsi="Arial"/>
          <w:sz w:val="18"/>
          <w:szCs w:val="18"/>
          <w:color w:val="auto"/>
        </w:rPr>
        <w:t>Each of the CVC Group, the Broad, ToolGen, Vilnius University, MilliporeSigma and Harvard University can pursue existing or new patent applications in the United States and elsewhere. Because the CVC Group and these other third parties all allege owning intellectual property claiming overlapping aspects of CRISPR/Cas9 systems and methods to edit DNA in eukaryotic cells, including human cells, our ability to market and sell CRISPR/Cas9-based human therapeutics may be adversely impacted depending on the scope and actual ownership over the inventions claimed in the competing patent portfolios.</w:t>
      </w:r>
    </w:p>
    <w:p>
      <w:pPr>
        <w:spacing w:after="0" w:line="18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Going forward, the USPTO could declare new interferences with the CVC Group, or us individually, related to the uses of the CRISPR/Cas9 technologies. Furthermore, we and the CVC Group continue to prosecute other patent claims covering the CRISPR/Cas9 inventions, which could also result in allowable or issued patents in the United States. Certain of the claims being prosecuted by the CVC Group and us, if found allowable by the USPTO, could lead to interference proceedings against patents or patent applications owned by third parties, including those listed above. If the USPTO deems the scope of the claims of one or more of these parties to sufficiently overlap with the allowable claims from a patent or patent application within the Patent Portfolio or our portfolio of patents, the USPTO could declare other interference proceedings to determine the first inventor of such claims. We cannot be certain which of these results, if any, will actually occur. If there are additional interferences, either party to the interference could again appeal an adverse decision to the Federal Circuit. Additionally, any of the CVC Group’s existing or new patents or our existing or new patents could be the subject of other challenges to their validity or enforceability. The effects that any such results may have on us and our intellectual property position are currently unknown.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7" w:name="page108"/>
    <w:bookmarkEnd w:id="107"/>
    <w:p>
      <w:pPr>
        <w:ind w:firstLine="509"/>
        <w:spacing w:after="0" w:line="267" w:lineRule="auto"/>
        <w:rPr>
          <w:sz w:val="20"/>
          <w:szCs w:val="20"/>
          <w:color w:val="auto"/>
        </w:rPr>
      </w:pPr>
      <w:r>
        <w:rPr>
          <w:rFonts w:ascii="Arial" w:cs="Arial" w:eastAsia="Arial" w:hAnsi="Arial"/>
          <w:sz w:val="16"/>
          <w:szCs w:val="16"/>
          <w:color w:val="auto"/>
        </w:rPr>
        <w:t>If any third party were to succeed in its interference and prevail in their inventorship claims or obtain patent claims that cover our product candidates or related activities through these various legal proceedings, such party could seek to assert its issued patents against us based on our CRISPR/Cas9-based activities, including commercialization. Third parties asserting their patent rights against us may seek and obtain injunctive or other equitable relief, which could effectively limit or block our ability to further develop and commercialize our product candidates. If we are found to infringe a third party’s valid intellectual property rights, we could be required to obtain a license from such third party to continue developing and marketing our products and technology, or avoid or invalidate such third party’s intellectual property. These third parties would be under no obligation to grant to us any such license and such licenses may not be available on commercially reasonable terms or at all, or may be non-exclusive. If we are unable to obtain and maintain such licenses, we and our partners may need to cease the practice of our core gene editing, and the development, manufacture, and commercialization of one or more of the product candidates we may develop. In addition, we could be found liable for monetary damages, including treble damages and attorneys’ fees if we are found to have willfully infringed a patent. A finding of infringement could prevent us from commercializing one or more of our product candidates, force us to redesign our infringing products or force us to cease some or all of our business operations, any of which could materially harm our business and could prevent us from further developing and commercializing our proposed future product candidates thereby causing us significant harm. The loss of exclusivity or the narrowing of our patent claims could limit our ability to stop others from using or commercializing similar or identical technology and products. Claims that we have misappropriated the confidential information or trade secrets of third parties could have a similar negative impact on our business. Any of the foregoing could result in a material adverse effect on our business, financial condition, results of operations, or prospects. Defense of these claims, regardless of their merit, would involve substantial litigation expense, would be a substantial diversion of management and other employee resources from our business and may impact our reputation.</w:t>
      </w:r>
    </w:p>
    <w:p>
      <w:pPr>
        <w:spacing w:after="0" w:line="179"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In any case, it may be years before there is a final determination on priority. Pursuant to the terms of the license agreement with Dr. Charpentier, we are responsible for covering or reimbursing Dr. Charpentier’s patent prosecution, defense and related costs associated with our in-licensed technology.</w:t>
      </w:r>
    </w:p>
    <w:p>
      <w:pPr>
        <w:spacing w:after="0" w:line="124"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Third-party owned IP relating to CRISPR/Cas9 or other related technologies necessary to develop, manufacture and commercialize viable CRISPR/Cas9 therapeutics – such as compositions of the products or components, methods of treatment, delivery technologies, chemical modifications, and analytical and manufacturing methods – could adversely impact our ability to ultimately market and sell products. Third parties may own intellectual property, including patents, that cover all or aspects of our technologies and potential products, and may be necessary for us to develop or commercialize viable products. If we are unable to successfully license, avoid or challenge such third-party intellectual property, we may not be able to develop and commercialize viable products in all or certain jurisdictions. In addition, if the intellectual property covering our products or technologies that we own or license were to be legally impaired or lost, we may be unable to realize sufficient financial returns to support the development or commercialization of our products.</w:t>
      </w:r>
    </w:p>
    <w:p>
      <w:pPr>
        <w:spacing w:after="0" w:line="194"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Further, third parties routinely file international counterparts of their U.S. applications, some of which have been granted or could in the future be granted in Europe and/or other non-U.S. jurisdictions. We, as well as other parties have initiated opposition proceedings against some of these grants, and we may in the future oppose other grants to these or other applicants. Similarly, our intellectual property is and may in the future become involved in opposition proceedings in Europe or other jurisdictions. These oppositions could lead to the revocation of the patents in whole or in part, or could lead to the claims being narrowed in a way that could impair or preclude our ability to enforce the patents against competitors in Europe. For example, in February 2018, several parties filed oppositions in the European Patent Office to the grant of our first in-licensed European patent. Later in 2018 and in 2019, several parties filed oppositions in the European Patent Office to the grant of both our second and third in-licensed European patents. Opposition proceedings can lead to the revocation of a patent in its entirety; the maintenance of the patent as granted, or the maintenance of a patent in amended form. Opposition proceedings typically take years to resolve, including the time taken by appeals that can be filed by any of the parties. We cannot guarantee the outcome of the oppositions to our in-licensed European patent, and an adverse result could preclude us from enforcing our rights in Europe against third parties. For example, in early 2020, the European Patent Office upheld our first in-licensed European patent in amended form; in late 2021, they revoked our second European patent, and the decision is pending appeal.</w:t>
      </w:r>
    </w:p>
    <w:p>
      <w:pPr>
        <w:spacing w:after="0" w:line="183"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We are unable to predict the outcome of these matters and are unable to make a meaningful estimate of the amount or range of loss, if any, that could result from an unfavorable outcome.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8" w:name="page109"/>
    <w:bookmarkEnd w:id="108"/>
    <w:p>
      <w:pPr>
        <w:ind w:right="600" w:firstLine="509"/>
        <w:spacing w:after="0" w:line="261" w:lineRule="auto"/>
        <w:rPr>
          <w:sz w:val="20"/>
          <w:szCs w:val="20"/>
          <w:color w:val="auto"/>
        </w:rPr>
      </w:pPr>
      <w:r>
        <w:rPr>
          <w:rFonts w:ascii="Arial" w:cs="Arial" w:eastAsia="Arial" w:hAnsi="Arial"/>
          <w:sz w:val="18"/>
          <w:szCs w:val="18"/>
          <w:i w:val="1"/>
          <w:iCs w:val="1"/>
          <w:color w:val="auto"/>
        </w:rPr>
        <w:t>Our Rights To Develop And Commercialize Our Technology And Product Candidates Are Subject, In Part, To The Terms And Conditions Of Licenses Granted To Us By Others.</w:t>
      </w:r>
    </w:p>
    <w:p>
      <w:pPr>
        <w:spacing w:after="0" w:line="17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We are reliant upon licenses to certain intellectual property from third parties that are important or necessary to the development of our gene-editing technology and product candidates. These and other licenses may not provide exclusive rights to use such intellectual property and technology in all relevant fields of use or cover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55"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Moreover, under our in-license agreements, including our 2014 exclusive license agreement with Dr. Charpentier, we will be required to pay royalties based on our revenues from sales of our products utilizing the licensed technologies and these royalty payments could adversely affect the overall profitability for us of any products that we may seek to commercialize. Under each of our in-license agreements with Dr. Charpentier, we have an obligation to use commercially reasonable efforts to develop and obtain regulatory approval to market a licensed therapeutic product. Our in-license agreements with Dr. Charpentier also include an obligation to file an IND (or its equivalent in a major market country) by April 2021 and an obligation to file an IND (or its equivalent in a major market country) by April 2024. While we met the obligation to file an IND by April 2021, we may not be successful in meeting other remaining obligations in the future on a timely basis or at all. Our failure to meet the remaining obligations may give Dr. Charpentier the right to terminate our license rights. We will need to outsource and rely on third parties for many aspects of the clinical development of the products covered under our license agreements. Delay or failure by these third parties could adversely affect our ability to meet our diligence obligations and the continuation of our license agreements with third-party licensors.</w:t>
      </w:r>
    </w:p>
    <w:p>
      <w:pPr>
        <w:spacing w:after="0" w:line="180" w:lineRule="exact"/>
        <w:rPr>
          <w:sz w:val="20"/>
          <w:szCs w:val="20"/>
          <w:color w:val="auto"/>
        </w:rPr>
      </w:pPr>
    </w:p>
    <w:p>
      <w:pPr>
        <w:ind w:firstLine="509"/>
        <w:spacing w:after="0" w:line="206" w:lineRule="exact"/>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w:t>
      </w:r>
      <w:r>
        <w:rPr>
          <w:rFonts w:ascii="MS PGothic" w:cs="MS PGothic" w:eastAsia="MS PGothic" w:hAnsi="MS PGothic"/>
          <w:sz w:val="18"/>
          <w:szCs w:val="18"/>
          <w:color w:val="auto"/>
        </w:rPr>
        <w:t>‑</w:t>
      </w:r>
      <w:r>
        <w:rPr>
          <w:rFonts w:ascii="Arial" w:cs="Arial" w:eastAsia="Arial" w:hAnsi="Arial"/>
          <w:sz w:val="18"/>
          <w:szCs w:val="18"/>
          <w:color w:val="auto"/>
        </w:rPr>
        <w:t>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Any of these events could have a material adverse effect on our competitive position, business, financial conditions, results of operations, and prospects.</w:t>
      </w:r>
    </w:p>
    <w:p>
      <w:pPr>
        <w:spacing w:after="0" w:line="194"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i w:val="1"/>
          <w:iCs w:val="1"/>
          <w:color w:val="auto"/>
        </w:rPr>
        <w:t>The Intellectual Property That Protects Our Core Gene-Editing Technology Is Jointly Owned, And Our License Is From Only One Of The Joint Owners, Materially Limiting Our Rights In The United States And In Other Jurisdictions</w:t>
      </w:r>
    </w:p>
    <w:p>
      <w:pPr>
        <w:spacing w:after="0" w:line="17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Patent Portfolio we have exclusively licensed from Dr. Charpentier is the core patent protection for our gene-editing technology. However, that family includes other named inventors who assigned their rights either to California or Vienna. As such, the Patent Portfolio is currently co-owned by Dr. Charpentier, California, and Vienna. On December 15, 2016, we entered into a Consent to Assignments, Licensing and Common Ownership and Invention Management Agreement, or IMA, with California, Vienna and their licensees including Caribou and Caribou’s licensee Intellia Therapeutics. Under the IMA, the co-owners provided reciprocal worldwide cross-consents to each of the other co-owners’ licensees and sublicensees, and agreed to a number of other commitments and obligations with respect to supporting and managing the underlying CRISPR/Cas9 gene-editing intellectual property, including a cost-sharing agreement. As explained more fully below, that leaves us in a position of holding only non-exclusive or co-exclusive rights to the patent rights that protect our core gene-editing technology, and we must continue to satisfy our contractual obligations under the IMA in order to maintain the effectiveness of the consents by California and Vienna to our license from Dr. Charpentier.</w:t>
      </w:r>
    </w:p>
    <w:p>
      <w:pPr>
        <w:spacing w:after="0" w:line="184"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In the United States, each co-owner has the freedom to license and exploit the technology. As a result, we do not have exclusive access to any intellectual property rights that Dr. Charpentier co-owns with another entity, such as California and Vienna. Our license with Dr. Charpentier is therefore non-exclusive with respect to such co-owned rights. Furthermore, in the United States each co-owner is required to be joined as a party to any claim or action we may wish to bring to enforce those patent rights. Moreover, in the United States, non-exclusive licenses have no standing to bring a patent infringement action before a court. Therefore, for the patents owned with California and Vienna we have no ability to pursue third-party infringement claims without cooperation of California and Vienna and potentially their licensees. Although we have entered into the IMA with Vienna and California and their licensees, which provides for, among other things, notice of and coordination in the event of third-party infringement of the patent rights within the Patent Portfolio, there can be no assurance that Vienna and California will cooperate with us in any future infringement. If we are unable to enforce our core patent rights licensed from Dr. Charpentier, we may be unable to prevent third parties from competing with us and may be unable to persuade companies to sublicense our technology, either of which could have a material adverse effect on our business.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109" w:name="page110"/>
    <w:bookmarkEnd w:id="109"/>
    <w:p>
      <w:pPr>
        <w:ind w:right="320" w:firstLine="509"/>
        <w:spacing w:after="0" w:line="261" w:lineRule="auto"/>
        <w:rPr>
          <w:sz w:val="20"/>
          <w:szCs w:val="20"/>
          <w:color w:val="auto"/>
        </w:rPr>
      </w:pPr>
      <w:r>
        <w:rPr>
          <w:rFonts w:ascii="Arial" w:cs="Arial" w:eastAsia="Arial" w:hAnsi="Arial"/>
          <w:sz w:val="18"/>
          <w:szCs w:val="18"/>
          <w:i w:val="1"/>
          <w:iCs w:val="1"/>
          <w:color w:val="auto"/>
        </w:rPr>
        <w:t>If We Experience Disputes With The Third Parties That We In-license Intellectual Property Rights From, We Could Lose License Rights That Are Important To Our Business</w:t>
      </w:r>
    </w:p>
    <w:p>
      <w:pPr>
        <w:spacing w:after="0" w:line="171"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We license the intellectual property that covers our gene-editing technology from a third party, and we expect to continue to in-license additional third-party intellectual property rights as we expand our gene-editing technology. Disputes may arise with the third parties from whom we license our intellectual property rights from for a variety of reasons, including:</w:t>
      </w:r>
    </w:p>
    <w:p>
      <w:pPr>
        <w:spacing w:after="0" w:line="74"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or derive from, intellectual property of the licensor that is not subject to the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sublicensing of patent and other rights under our collaborative development relationships and obligations associated with sublicensing;</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2"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In addition, the agreements under which we currently license intellectual property or technology from third parties, or maintain consents under the IMA,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or the parties to the IMA.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8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i w:val="1"/>
          <w:iCs w:val="1"/>
          <w:color w:val="auto"/>
        </w:rPr>
        <w:t>We May Not Be Successful In Obtaining Or Maintaining Necessary Rights To Any Product Candidates or Other Technologies We May Develop Through Acquisitions And In-Licenses.</w:t>
      </w:r>
    </w:p>
    <w:p>
      <w:pPr>
        <w:spacing w:after="0" w:line="17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We currently have rights to intellectual property, through in-licenses from third parties, to identify and develop product candidates, as well as use other technologies. Many pharmaceutical companies, biotechnology companies, and academic institutions are competing with us in the field of gene-editing technology and filing patent applications potentially relevant to our business. For example, we are aware of several third-party patent applications that, if issued, may be construed to cover our gene-editing technology and product candidates. In order to avoid infringing these third-party patents, we may find it necessary or prudent to obtain licenses from such third-party intellectual property holders. We may also require licenses from third parties for certain modified or improved components of gene-editing technology, such as modified nucleic acids, as well as non-CRISPR/Cas9 technologies such as delivery methods that we are evaluating for use with product candidates we may develop. In addition, with respect to any patents we co-own with third parties, we may require licenses to such co-owners’ interest to such patents. However, we may be unable to secure such licenses or otherwise acquire or in-license any compositions, methods of use, processes, or other intellectual property rights from third parties that we identify as necessary for product candidates we may develop and gene-editing technology. The licensing or acquisition of third-party intellectual property rights is a competitive area, and companies that may be more established, or have greater resources than we do may be pursuing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or technology that we may seek to acquire. If we are unable to successfully obtain rights to required third-party intellectual property rights or maintain the existing intellectual property rights we have, we may have to abandon development of the relevant program, technology, or product candidate, or discontinue the practice of our core CRISPR/Cas9 gene-editing technology, which could have a material adverse effect on our business, financial condition, results of operations, and prospects.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0" w:name="page111"/>
    <w:bookmarkEnd w:id="110"/>
    <w:p>
      <w:pPr>
        <w:ind w:right="120" w:firstLine="509"/>
        <w:spacing w:after="0" w:line="261" w:lineRule="auto"/>
        <w:rPr>
          <w:sz w:val="20"/>
          <w:szCs w:val="20"/>
          <w:color w:val="auto"/>
        </w:rPr>
      </w:pPr>
      <w:r>
        <w:rPr>
          <w:rFonts w:ascii="Arial" w:cs="Arial" w:eastAsia="Arial" w:hAnsi="Arial"/>
          <w:sz w:val="18"/>
          <w:szCs w:val="18"/>
          <w:i w:val="1"/>
          <w:iCs w:val="1"/>
          <w:color w:val="auto"/>
        </w:rPr>
        <w:t>Issued Patents Covering Our Technology And Product Candidates Could Be Found Invalid Or Unenforceable If Challenged In Court or before the USPTO or comparable foreign authority.</w:t>
      </w:r>
    </w:p>
    <w:p>
      <w:pPr>
        <w:spacing w:after="0" w:line="17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If we or one of our licensors initiated legal proceedings against a third party to enforce a patent covering a product candidate we may develop or our technology, including CRISPR/Cas9,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w:t>
      </w:r>
    </w:p>
    <w:p>
      <w:pPr>
        <w:spacing w:after="0" w:line="189" w:lineRule="exact"/>
        <w:rPr>
          <w:sz w:val="20"/>
          <w:szCs w:val="20"/>
          <w:color w:val="auto"/>
        </w:rPr>
      </w:pPr>
    </w:p>
    <w:p>
      <w:pPr>
        <w:ind w:right="240" w:firstLine="509"/>
        <w:spacing w:after="0" w:line="252" w:lineRule="auto"/>
        <w:rPr>
          <w:sz w:val="20"/>
          <w:szCs w:val="20"/>
          <w:color w:val="auto"/>
        </w:rPr>
      </w:pPr>
      <w:r>
        <w:rPr>
          <w:rFonts w:ascii="Arial" w:cs="Arial" w:eastAsia="Arial" w:hAnsi="Arial"/>
          <w:sz w:val="17"/>
          <w:szCs w:val="17"/>
          <w:color w:val="auto"/>
        </w:rPr>
        <w:t xml:space="preserve">Third parties have raised challenges to the validity of certain of our in-licensed patent applications, such as our in-licensed CRISPR/Cas9 patent applications in the context of third-party observations and oppositions filed in Europe and Australia, and may in the future raise similar claims related to our in-licensed and owned patent applications and patents before administrative bodies in the United States or in other jurisdictions, even outside the context of litigation. Mechanisms for challenging the validity of patents in patent offices include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derivation proceedings, and equivalent proceedings in non-U.S. jurisdictions (e.g., opposition proceedings). Such proceedings could – after exhausting available appeals – result in the loss of our patent applications or patents, or their narrowing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18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The Intellectual Property Landscape Around Gene-Editing Technology, Including CRISPR/Cas9, Is Highly Dynamic, And Third Parties May Initiate And Prevail In Legal Proceedings Alleging That The Patents That We In-License Or Own Are Invalid Or That We Are Infringing, Misappropriating, Or Otherwise Violating Their Intellectual Property Rights, The Outcome Of Which Would Be Uncertain And Could Have A Material Adverse Effect On The Success Of Our Business.</w:t>
      </w:r>
    </w:p>
    <w:p>
      <w:pPr>
        <w:spacing w:after="0" w:line="188"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The field of gene editing, especially in the area of gene-editing technology, is still in its infancy, and no such products have reached the market. Due to the intense research and development that is taking place by several companies, including us and our competitors, in this field, the intellectual property landscape is in flux, and it may remain uncertain for the coming years. There may be significant intellectual property related litigation and proceedings relating to our owned and in-licensed, and other third party, intellectual property and proprietary rights in the future.</w:t>
      </w:r>
    </w:p>
    <w:p>
      <w:pPr>
        <w:spacing w:after="0" w:line="172"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 xml:space="preserve">Our commercial success depends upon our ability and the ability of our collaborators to develop, manufacture, market, and sell any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are subject to and may in the future become party to, or threatened with, adversarial proceedings or litigation regarding intellectual property rights with respect to our technology and any product candidates we may develop, including re-examination interference proceedings,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before the USPTO and similar proceedings in other jurisdictions such as oppositions before the European Patent Office. Third parties may assert infringement claims against us based on existing patents or patents that may be granted in the future, regardless of their merit. If we are unable to prove that these patents are invalid and we are not able to obtain or maintain a license on commercially reasonable terms, such patents could have a material adverse effect on the conduct of our business. If we are found to infringe such third-party patents, we and our partners may be required to pay damages, cease commercialization of the infringing technology, including our core CRISPR/Cas9 gene-editing technology, or obtain a license from such third parties, which may not be available on commercially reasonable terms or at all.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1" w:name="page112"/>
    <w:bookmarkEnd w:id="111"/>
    <w:p>
      <w:pPr>
        <w:ind w:firstLine="509"/>
        <w:spacing w:after="0" w:line="251" w:lineRule="auto"/>
        <w:rPr>
          <w:sz w:val="20"/>
          <w:szCs w:val="20"/>
          <w:color w:val="auto"/>
        </w:rPr>
      </w:pPr>
      <w:r>
        <w:rPr>
          <w:rFonts w:ascii="Arial" w:cs="Arial" w:eastAsia="Arial" w:hAnsi="Arial"/>
          <w:sz w:val="17"/>
          <w:szCs w:val="17"/>
          <w:color w:val="auto"/>
        </w:rPr>
        <w:t>Even if we believe third-party intellectual property claims are without merit, there is no assurance that a court would find in our favor on questions of infringement, validity, enforceability, ownership,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intellectual property rights, and we are unsuccessful in demonstrating that such patents are invalid or unenforceable, we could be required to obtain a license from such third party to continue developing, manufacturing, and marketing any product candidates we may develop and our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a patent or other intellectual property right. Claims that we have misappropriated the confidential information or trade secrets of third parties could have a similar material adverse effect on our business, financial condition, results of operations, and prospects.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Intellectual Property Litigation Could Cause Us To Spend Substantial Resources And Distract Our Personnel From Their Normal Responsibilities.</w:t>
      </w:r>
    </w:p>
    <w:p>
      <w:pPr>
        <w:spacing w:after="0" w:line="235" w:lineRule="exact"/>
        <w:rPr>
          <w:sz w:val="20"/>
          <w:szCs w:val="20"/>
          <w:color w:val="auto"/>
        </w:rPr>
      </w:pPr>
    </w:p>
    <w:p>
      <w:pPr>
        <w:ind w:right="160" w:firstLine="509"/>
        <w:spacing w:after="0" w:line="254"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and generally harm our business. Furthermore, because of the substantial amount of discovery required in connection with intellectual property litigation in certain countries, including the United States,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181"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12" w:name="page113"/>
    <w:bookmarkEnd w:id="112"/>
    <w:p>
      <w:pPr>
        <w:ind w:right="440" w:firstLine="509"/>
        <w:spacing w:after="0" w:line="294" w:lineRule="auto"/>
        <w:rPr>
          <w:sz w:val="20"/>
          <w:szCs w:val="20"/>
          <w:color w:val="auto"/>
        </w:rPr>
      </w:pPr>
      <w:r>
        <w:rPr>
          <w:rFonts w:ascii="Arial" w:cs="Arial" w:eastAsia="Arial" w:hAnsi="Arial"/>
          <w:sz w:val="16"/>
          <w:szCs w:val="16"/>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U.S.-based Manufacturers. Compliance With Such Regulations May Limit Our Exclusive Rights, And Limit Our Ability To Contract With Non-U.S. Manufacturers.</w:t>
      </w:r>
    </w:p>
    <w:p>
      <w:pPr>
        <w:spacing w:after="0" w:line="147"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The intellectual property rights to which we have in-licensed under Dr. Charpentier’s joint interest are co-owned by California, which has indicated that one or more of the inventions were made under Grant No. GM081879 awarded by the National Institute of Health. These rights are therefore subject to certain federal regulations. The U.S. government has certain rights pursuant to the Bayh-Dole Act of 1980, or Bayh-Dole Act, to patents covering government rights in certain inventions developed under a government-funded program. These rights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contractor,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contractor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patents covering inventions is generated through the use of U.S. government funding, the provisions of the Bayh-Dole Act may similarly apply.</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We May Not Be Able To Protect Our Intellectual Property And Proprietary Rights Throughout The World.</w:t>
      </w:r>
    </w:p>
    <w:p>
      <w:pPr>
        <w:spacing w:after="0" w:line="212"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intellectual property laws various jurisdictions worldwide. Additionally, the patent laws of some countries do not afford intellectual property protection to the same extent as the laws of the United States. For example, unlike patent law in the United States, the patent law in Europe and many other jurisdictions precludes the patentability of methods of treatment of the human body and imposes substantial restrictions on the scope of claims it will grant if broader than specifically disclosed embodiments.</w:t>
      </w:r>
    </w:p>
    <w:p>
      <w:pPr>
        <w:spacing w:after="0" w:line="16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various jurisdictions globally.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various jurisdictions globally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3" w:name="page114"/>
    <w:bookmarkEnd w:id="113"/>
    <w:p>
      <w:pPr>
        <w:ind w:right="60" w:firstLine="509"/>
        <w:spacing w:after="0" w:line="255" w:lineRule="auto"/>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0"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i w:val="1"/>
          <w:iCs w:val="1"/>
          <w:color w:val="auto"/>
        </w:rPr>
        <w:t>Changes To The Patent Law In The United States And Other Jurisdictions Could Diminish The Value Of Patents In General, Thereby Impairing Our Ability To Protect Our Product Candidates.</w:t>
      </w:r>
    </w:p>
    <w:p>
      <w:pPr>
        <w:spacing w:after="0" w:line="17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7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 xml:space="preserve">The U.S. Supreme Court has ruled on several patent cases in recent years, either narrowing the scope of patent protection available in certain circumstances or weakening the rights of patent owners in certain situations. For example, in </w:t>
      </w:r>
      <w:r>
        <w:rPr>
          <w:rFonts w:ascii="Arial" w:cs="Arial" w:eastAsia="Arial" w:hAnsi="Arial"/>
          <w:sz w:val="17"/>
          <w:szCs w:val="17"/>
          <w:i w:val="1"/>
          <w:iCs w:val="1"/>
          <w:color w:val="auto"/>
        </w:rPr>
        <w:t>Association for Molecular Pathology v. Myriad Genetics, Inc</w:t>
      </w:r>
      <w:r>
        <w:rPr>
          <w:rFonts w:ascii="Arial" w:cs="Arial" w:eastAsia="Arial" w:hAnsi="Arial"/>
          <w:sz w:val="17"/>
          <w:szCs w:val="17"/>
          <w:color w:val="auto"/>
        </w:rPr>
        <w:t xml:space="preserve">., the Supreme Court ruled that a “naturally occurring DNA segment is a product of nature and not patent eligible merely because it has been isolated,” and invalidated Myriad Genetics’ claims on the isolated BRCA1 and BRCA2 genes. Certain claims of our patents relate to CRISPR/Cas9 gene-editing technology as well as guide components that are directed to naturally occurring DNA sequences. To the extent that such claims are deemed to be directed to natural products, or to lack an inventive concept above and beyond an isolated natural product, a court may decide the claims are invalid under </w:t>
      </w:r>
      <w:r>
        <w:rPr>
          <w:rFonts w:ascii="Arial" w:cs="Arial" w:eastAsia="Arial" w:hAnsi="Arial"/>
          <w:sz w:val="17"/>
          <w:szCs w:val="17"/>
          <w:i w:val="1"/>
          <w:iCs w:val="1"/>
          <w:color w:val="auto"/>
        </w:rPr>
        <w:t>Myriad</w:t>
      </w:r>
      <w:r>
        <w:rPr>
          <w:rFonts w:ascii="Arial" w:cs="Arial" w:eastAsia="Arial" w:hAnsi="Arial"/>
          <w:sz w:val="17"/>
          <w:szCs w:val="17"/>
          <w:color w:val="auto"/>
        </w:rPr>
        <w: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Europe’s planned Unified Patent Court may particularly present uncertainties for our ability to protect and enforce our patent rights against competitors in Europe. While that new court is being implemented to provide more certainty and efficiency to patent enforcement throughout Europe, it will also provide our competitors with a new forum to use to centrally revoke our European patents. It will be several years before we will understand the scope of patent rights that will be recognized and the strength of patent remedies that will be provided by that court. We will have the right to opt our patents out of that system over the first seven years of the court, but doing so may preclude us from realizing the benefits of the new unified court.</w:t>
      </w:r>
    </w:p>
    <w:p>
      <w:pPr>
        <w:spacing w:after="0" w:line="185"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any such event, our competitors might be able to enter the market, which would have a material adverse effect on our business.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4" w:name="page115"/>
    <w:bookmarkEnd w:id="114"/>
    <w:p>
      <w:pPr>
        <w:ind w:left="520"/>
        <w:spacing w:after="0"/>
        <w:rPr>
          <w:sz w:val="20"/>
          <w:szCs w:val="20"/>
          <w:color w:val="auto"/>
        </w:rPr>
      </w:pPr>
      <w:r>
        <w:rPr>
          <w:rFonts w:ascii="Arial" w:cs="Arial" w:eastAsia="Arial" w:hAnsi="Arial"/>
          <w:sz w:val="18"/>
          <w:szCs w:val="18"/>
          <w:i w:val="1"/>
          <w:iCs w:val="1"/>
          <w:color w:val="auto"/>
        </w:rPr>
        <w:t>If We Are Unable To Protect The Confidentiality Of Our Trade Secrets, Our Business And Competitive Position Would Be Harmed.</w:t>
      </w:r>
    </w:p>
    <w:p>
      <w:pPr>
        <w:spacing w:after="0" w:line="212"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In addition to seeking patents for some of our technology and product candidates, we also rely on trade secrets and confidentiality agreements to protect our unpatented know-how, technology, and other proprietary and confidential information and to maintain our competitive position. Trade secrets and know-how can be difficult to protect. In particular, we anticipate that with respect to our technology platform, these trade secrets and know-how will over time be disseminated within the industry through independent development, the publication of journal articles describing the methodology, and the movement of personnel from academic to industry scientific positions.</w:t>
      </w:r>
    </w:p>
    <w:p>
      <w:pPr>
        <w:spacing w:after="0" w:line="189"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proprietary information.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6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i w:val="1"/>
          <w:iCs w:val="1"/>
          <w:color w:val="auto"/>
        </w:rPr>
        <w:t>If We Do Not Obtain Patent Term Extension And Data Exclusivity For Any Product Candidates We May Develop, Our Business May Be Materially Harmed.</w:t>
      </w:r>
    </w:p>
    <w:p>
      <w:pPr>
        <w:spacing w:after="0" w:line="171"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if the term of any such extension is less than we request, we will be unable to rely on our patent position to forestall the marketing of competing products following our patent expiration, and our business, financial condition, results of operations, and prospects could be materially harmed.</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Intellectual Property Rights Do Not Necessarily Address All Potential Threats.</w:t>
      </w:r>
    </w:p>
    <w:p>
      <w:pPr>
        <w:spacing w:after="0" w:line="212"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1020" w:right="16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any product candidates we may develop or utilize similar gene therapy technology but that are not covered by the claims of the patents that we license or may own in the future;</w:t>
      </w:r>
    </w:p>
    <w:p>
      <w:pPr>
        <w:spacing w:after="0" w:line="62" w:lineRule="exact"/>
        <w:rPr>
          <w:rFonts w:ascii="Arial" w:cs="Arial" w:eastAsia="Arial" w:hAnsi="Arial"/>
          <w:sz w:val="18"/>
          <w:szCs w:val="18"/>
          <w:color w:val="auto"/>
        </w:rPr>
      </w:pPr>
    </w:p>
    <w:p>
      <w:pPr>
        <w:ind w:left="1020" w:right="48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5" w:name="page116"/>
    <w:bookmarkEnd w:id="115"/>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 is possible that our pending licensed patent applications or those that we may own in the future will not lead to issued patents;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15" w:lineRule="exact"/>
        <w:rPr>
          <w:rFonts w:ascii="Arial" w:cs="Arial" w:eastAsia="Arial" w:hAnsi="Arial"/>
          <w:sz w:val="17"/>
          <w:szCs w:val="17"/>
          <w:color w:val="auto"/>
        </w:rPr>
      </w:pPr>
    </w:p>
    <w:p>
      <w:pPr>
        <w:ind w:left="1020" w:right="700" w:hanging="503"/>
        <w:spacing w:after="0" w:line="291"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35"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i w:val="1"/>
          <w:iCs w:val="1"/>
          <w:color w:val="auto"/>
        </w:rPr>
        <w:t>We May Be Subject To Claims That Our Employees, Consultants, Or Advisors Have Wrongfully Used Or Disclosed Confidential Information Of Their Current Or Former Employers Or Other Third Parties Or Claims Asserting Ownership Of What We Regard As Our Own Intellectual Property.</w:t>
      </w:r>
    </w:p>
    <w:p>
      <w:pPr>
        <w:spacing w:after="0" w:line="12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confidential information or intellectual property, including trade secrets or other proprietary information, of any such individual’s current or former employer or other third party.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 and employees.</w:t>
      </w:r>
    </w:p>
    <w:p>
      <w:pPr>
        <w:spacing w:after="0" w:line="191"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5"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i w:val="1"/>
          <w:iCs w:val="1"/>
          <w:color w:val="auto"/>
        </w:rPr>
        <w:t>If Our Trademarks Are Not Adequately Protected, Then We May Not Be Able To Build Name Recognition In Our Markets Of Interest And Our Business May Be Adversely Affected.</w:t>
      </w:r>
    </w:p>
    <w:p>
      <w:pPr>
        <w:spacing w:after="0" w:line="171"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If our trademarks are not adequately protected, then we may not be able to build name recognition in our markets of interest and our business may be adversely affected. Our unregistered trademarks may be challenged, infringed, circumvented or declared generic or determined to be infringing on other marks. We may not be able to protect our rights to these trademarks, which we need to build name recognition among potential partners or customers in our markets of interest. At times, competitors may adopt trademarks similar to ours, thereby impeding our ability to build brand identity and possibly leading to market confusion. In addition, there could be potential trademark infringement claims brought by owners of other registered trademarks or trademarks that incorporate variations of our unregistered trademarks. Over the long term, if we are unable to successfully register our trademarks and establish name recognition based on our trademarks,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Risks Related to The Ownership of Our Common Shares</w:t>
      </w:r>
    </w:p>
    <w:p>
      <w:pPr>
        <w:spacing w:after="0" w:line="108"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i w:val="1"/>
          <w:iCs w:val="1"/>
          <w:color w:val="auto"/>
        </w:rPr>
        <w:t>We Incur Significant Costs As A Result Of Operating As A Public Company And Our Management Is Required To Devote Substantial Time To Compliance Initiatives And Corporate Governance Practices.</w:t>
      </w:r>
    </w:p>
    <w:p>
      <w:pPr>
        <w:spacing w:after="0" w:line="171"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As a public company, we incur significant legal, accounting and other expenses. The Sarbanes-Oxley Act, or SOX,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towards maintaining compliance with these requirements. Moreover, these requirements increase our legal and financial compliance costs and make some activities more time-consuming and costly.</w:t>
      </w:r>
    </w:p>
    <w:p>
      <w:pPr>
        <w:spacing w:after="0" w:line="15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Pursuant to SOX Section 404, we are required to furnish a report by our management on our internal control over financial reporting, including an attestation report on internal control over financial reporting issued by our independent registered public accounting firm. In this regard, we incur substantial accounting expenses and expend significant management efforts. Our testing may reveal deficiencies in our internal control over financial reporting that are deemed to be material weaknesses or significant deficiencies. If we identify one or more material weaknesses, or significant deficiencies that we cannot remediate in a timely manner, it could result in an adverse reaction in the financial markets due to a loss of confidence in the reliability of our financial statements.</w:t>
      </w:r>
    </w:p>
    <w:p>
      <w:pPr>
        <w:spacing w:after="0" w:line="189" w:lineRule="exact"/>
        <w:rPr>
          <w:sz w:val="20"/>
          <w:szCs w:val="20"/>
          <w:color w:val="auto"/>
        </w:rPr>
      </w:pPr>
    </w:p>
    <w:p>
      <w:pPr>
        <w:ind w:right="860" w:firstLine="509"/>
        <w:spacing w:after="0" w:line="261" w:lineRule="auto"/>
        <w:rPr>
          <w:sz w:val="20"/>
          <w:szCs w:val="20"/>
          <w:color w:val="auto"/>
        </w:rPr>
      </w:pPr>
      <w:r>
        <w:rPr>
          <w:rFonts w:ascii="Arial" w:cs="Arial" w:eastAsia="Arial" w:hAnsi="Arial"/>
          <w:sz w:val="18"/>
          <w:szCs w:val="18"/>
          <w:i w:val="1"/>
          <w:iCs w:val="1"/>
          <w:color w:val="auto"/>
        </w:rPr>
        <w:t>The Market Price Of Our Common Shares Has Been Volatile and Fluctuate Substantially, Which Could Result In Substantial Losses For Shareholders.</w:t>
      </w:r>
    </w:p>
    <w:p>
      <w:pPr>
        <w:spacing w:after="0" w:line="17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share price has been, and in the future may be, subject to substantial volatility. In addition, the stock market in general, and Nasdaq listed biopharmaceutical companies in particular have experienced extreme price and volume fluctuations that have often been unrelated or disproportionate to the operating performance of these companies. For example, our shares traded within a range of a high price of $220.20 and a low price of $11.63 per share for the period beginning on October 19, 2016, our first day of trading on the Nasdaq Global Market, through December 31, 2021. As a result of this volatility, our shareholders could incur substantial losses. In addition, the market price for our common shares may be influenced by many factors, including:</w:t>
      </w:r>
    </w:p>
    <w:p>
      <w:pPr>
        <w:spacing w:after="0" w:line="81"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results of any product candidates that we may develop;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failure or discontinuation of any of our product development and research programs;</w:t>
      </w:r>
    </w:p>
    <w:p>
      <w:pPr>
        <w:spacing w:after="0" w:line="103" w:lineRule="exact"/>
        <w:rPr>
          <w:rFonts w:ascii="Arial" w:cs="Arial" w:eastAsia="Arial" w:hAnsi="Arial"/>
          <w:sz w:val="18"/>
          <w:szCs w:val="18"/>
          <w:color w:val="auto"/>
        </w:rPr>
      </w:pPr>
    </w:p>
    <w:p>
      <w:pPr>
        <w:ind w:left="1020" w:right="20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genomic products, including those that involve gene editing;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level of expenses related to any of our research programs, clinical development programs, or product candidates that we may develop;</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shares by us, our insiders, or other shareholders;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common shares;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17" w:name="page118"/>
    <w:bookmarkEnd w:id="117"/>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both"/>
        <w:ind w:right="40" w:firstLine="509"/>
        <w:spacing w:after="0" w:line="259" w:lineRule="auto"/>
        <w:rPr>
          <w:sz w:val="20"/>
          <w:szCs w:val="20"/>
          <w:color w:val="auto"/>
        </w:rPr>
      </w:pPr>
      <w:r>
        <w:rPr>
          <w:rFonts w:ascii="Arial" w:cs="Arial" w:eastAsia="Arial" w:hAnsi="Arial"/>
          <w:sz w:val="17"/>
          <w:szCs w:val="17"/>
          <w:color w:val="auto"/>
        </w:rPr>
        <w:t>These and other market and industry factors may cause the market price and demand for our common shares to fluctuate substantially, regardless of our actual operating performance, which may limit or prevent investors from readily selling their common shares and may otherwise negatively affect the liquidity of our common shares. In the past, when the market price of a stock has been volatile, holders of that stock have instituted securities class action litigation against the company that issued the stock. If any of our shareholders brought a lawsuit against us, we could incur substantial costs defending the lawsuit. Such a lawsuit could also divert the time and attention of our management.</w:t>
      </w:r>
    </w:p>
    <w:p>
      <w:pPr>
        <w:spacing w:after="0" w:line="17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i w:val="1"/>
          <w:iCs w:val="1"/>
          <w:color w:val="auto"/>
        </w:rPr>
        <w:t>If Securities Analysts Do Not Publish Research Or Reports About Our Business Or If They Publish Negative Evaluations Of Our Common Shares, The Price Of Our Common Shares Could Decline.</w:t>
      </w:r>
    </w:p>
    <w:p>
      <w:pPr>
        <w:spacing w:after="0" w:line="171" w:lineRule="exact"/>
        <w:rPr>
          <w:sz w:val="20"/>
          <w:szCs w:val="20"/>
          <w:color w:val="auto"/>
        </w:rPr>
      </w:pPr>
    </w:p>
    <w:p>
      <w:pPr>
        <w:jc w:val="both"/>
        <w:ind w:right="200" w:firstLine="509"/>
        <w:spacing w:after="0" w:line="243" w:lineRule="auto"/>
        <w:rPr>
          <w:sz w:val="20"/>
          <w:szCs w:val="20"/>
          <w:color w:val="auto"/>
        </w:rPr>
      </w:pPr>
      <w:r>
        <w:rPr>
          <w:rFonts w:ascii="Arial" w:cs="Arial" w:eastAsia="Arial" w:hAnsi="Arial"/>
          <w:sz w:val="18"/>
          <w:szCs w:val="18"/>
          <w:color w:val="auto"/>
        </w:rPr>
        <w:t>The trading market for our common shares will rely in part on the research and reports that industry or financial analysts publish about us or our business. If one or more of the analysts covering our business downgrade their evaluations of our common shares, the price of our common shares could decline. If one or more of these analysts cease to cover our common shares, we could lose visibility in the market for our common shares, which in turn could cause our common share price to decline.</w:t>
      </w:r>
    </w:p>
    <w:p>
      <w:pPr>
        <w:spacing w:after="0" w:line="188"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i w:val="1"/>
          <w:iCs w:val="1"/>
          <w:color w:val="auto"/>
        </w:rPr>
        <w:t>Our Executive Officers, Directors, Principal Shareholders And Their Affiliates Maintain The Ability To Exercise Significant Influence Over Our Company And All Matters Submitted To Shareholders For Approval.</w:t>
      </w:r>
    </w:p>
    <w:p>
      <w:pPr>
        <w:spacing w:after="0" w:line="171"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 holdings of our executive officers, directors and shareholders who own more than 5% of our outstanding common shares, together with their affiliates and related persons, represent beneficial ownership, in the aggregate, of approximately 26.0% of our common shares, based on the number of common shares outstanding as of February 11, 2022. As a result, these shareholders, if they choose to act together, will be able to influence our management and affairs and the outcome of matters submitted to our shareholders for approval, including the election of directors and any sale, merger, consolidation, or sale of all or substantially all of our assets. This concentration of voting power could delay or prevent an acquisition of our company on terms that other shareholders may desire.</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this concentration of ownership might adversely affect the market price of our common shares by:</w:t>
      </w:r>
    </w:p>
    <w:p>
      <w:pPr>
        <w:spacing w:after="0" w:line="104"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2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We Have Broad Discretion In The Use Of Our Cash Reserves And May Not Use Such Cash Reserves Effectively</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Our management has broad discretion to use our cash reserves and could use our cash reserves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our cash reserves in a manner that does not produce income or that loses value.</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Sales Of A Substantial Number Of Our Common Shares In The Public Market Could Cause Our Share Price To Fall.</w:t>
      </w:r>
    </w:p>
    <w:p>
      <w:pPr>
        <w:spacing w:after="0" w:line="212"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Sales of a substantial number of our common shares in the public market or the perception that these sales might occur could depress the market price of our common shares, could make it more difficult for you to sell your common shares at a time and price that you deem appropriate and could impair our ability to raise capital through the sale of additional equity securities. We are unable to predict the effect that sales may have on the prevailing market price of our common shares.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18" w:name="page119"/>
    <w:bookmarkEnd w:id="118"/>
    <w:p>
      <w:pPr>
        <w:ind w:left="520"/>
        <w:spacing w:after="0"/>
        <w:rPr>
          <w:sz w:val="20"/>
          <w:szCs w:val="20"/>
          <w:color w:val="auto"/>
        </w:rPr>
      </w:pPr>
      <w:r>
        <w:rPr>
          <w:rFonts w:ascii="Arial" w:cs="Arial" w:eastAsia="Arial" w:hAnsi="Arial"/>
          <w:sz w:val="18"/>
          <w:szCs w:val="18"/>
          <w:i w:val="1"/>
          <w:iCs w:val="1"/>
          <w:color w:val="auto"/>
        </w:rPr>
        <w:t>We Do Not Expect To Pay Dividends In The Foreseeable Future.</w:t>
      </w:r>
    </w:p>
    <w:p>
      <w:pPr>
        <w:spacing w:after="0" w:line="212"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 xml:space="preserve">We have not paid any dividends since our incorporation. Even if future operations lead to significant levels of distributable profits, we currently intend that any earnings will be reinvested in our business and that no dividends will be paid prior to the time we have an established revenue stream to support continuing dividends. The proposal to pay future dividends to shareholders will in addition effectively be at the discretion of our board of directors and shareholders after taking into account various factors including our business prospects, cash requirements, financial performance and new product development. In addition, payment of future dividends is subject to certain limitations pursuant to Swiss law or by our articles of association. Accordingly, investors cannot rely on dividend income from our common shares and any returns on an investment in our common shares will likely depend entirely upon any future appreciation in the price of our common shares. Dividends, if any, paid on our common shares are subject to Swiss federal withholding tax, except if paid out of reserves from capital contributions, or </w:t>
      </w:r>
      <w:r>
        <w:rPr>
          <w:rFonts w:ascii="Arial" w:cs="Arial" w:eastAsia="Arial" w:hAnsi="Arial"/>
          <w:sz w:val="17"/>
          <w:szCs w:val="17"/>
          <w:i w:val="1"/>
          <w:iCs w:val="1"/>
          <w:color w:val="auto"/>
        </w:rPr>
        <w:t>Kapitaleinlagen</w:t>
      </w:r>
      <w:r>
        <w:rPr>
          <w:rFonts w:ascii="Arial" w:cs="Arial" w:eastAsia="Arial" w:hAnsi="Arial"/>
          <w:sz w:val="17"/>
          <w:szCs w:val="17"/>
          <w:color w:val="auto"/>
        </w:rPr>
        <w:t>.</w:t>
      </w:r>
    </w:p>
    <w:p>
      <w:pPr>
        <w:spacing w:after="0" w:line="18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i w:val="1"/>
          <w:iCs w:val="1"/>
          <w:color w:val="auto"/>
        </w:rPr>
        <w:t>We Are A Swiss Corporation. The Rights Of Our Shareholders May Be Different From The Rights Of Shareholders In Companies Governed By The Laws Of U.S. Jurisdictions.</w:t>
      </w:r>
    </w:p>
    <w:p>
      <w:pPr>
        <w:spacing w:after="0" w:line="171"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We are a Swiss corporation. Our corporate affairs are governed by our articles of association and by Swiss law.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and our employees with due observation of the principles of reasonableness and fairness. It is possible that the board of directors will consider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the duty of care and loyalty. As a matter of Swiss law, shareholder claims against a member of our board of directors for breach of the duty of care and loyalty would have to be brought in Zug, Switzerland, or where the relevant member of our board of directors is domiciled. In addition, under Swiss law, any claims by our shareholders against us must be brought exclusively in Zug, Switzerland.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19" w:name="page120"/>
    <w:bookmarkEnd w:id="119"/>
    <w:p>
      <w:pPr>
        <w:ind w:right="440" w:firstLine="509"/>
        <w:spacing w:after="0" w:line="261" w:lineRule="auto"/>
        <w:rPr>
          <w:sz w:val="20"/>
          <w:szCs w:val="20"/>
          <w:color w:val="auto"/>
        </w:rPr>
      </w:pPr>
      <w:r>
        <w:rPr>
          <w:rFonts w:ascii="Arial" w:cs="Arial" w:eastAsia="Arial" w:hAnsi="Arial"/>
          <w:sz w:val="18"/>
          <w:szCs w:val="18"/>
          <w:i w:val="1"/>
          <w:iCs w:val="1"/>
          <w:color w:val="auto"/>
        </w:rPr>
        <w:t>As A Swiss Corporation, We Are Subject To Swiss Legal Provisions That May Limit Our Flexibility To Swiftly Implement Certain Initiatives Or Strategies.</w:t>
      </w:r>
    </w:p>
    <w:p>
      <w:pPr>
        <w:spacing w:after="0" w:line="171" w:lineRule="exact"/>
        <w:rPr>
          <w:sz w:val="20"/>
          <w:szCs w:val="20"/>
          <w:color w:val="auto"/>
        </w:rPr>
      </w:pPr>
    </w:p>
    <w:p>
      <w:pPr>
        <w:ind w:right="100" w:firstLine="509"/>
        <w:spacing w:after="0" w:line="205" w:lineRule="exact"/>
        <w:rPr>
          <w:sz w:val="20"/>
          <w:szCs w:val="20"/>
          <w:color w:val="auto"/>
        </w:rPr>
      </w:pPr>
      <w:r>
        <w:rPr>
          <w:rFonts w:ascii="Arial" w:cs="Arial" w:eastAsia="Arial" w:hAnsi="Arial"/>
          <w:sz w:val="16"/>
          <w:szCs w:val="16"/>
          <w:color w:val="auto"/>
        </w:rPr>
        <w:t>We are required, from time to time, to evaluate the carrying amount of our investments in affiliates, as presented on our Swiss standalone balance sheet. If we determine that the carrying amount of any such investment exceeds its fair value, we may conclude that such investment is impaired. The recognized loss associated with such a non-cash impairment could result in our net assets no longer covering our statutory share capital and statutory capital reserves. Under Swiss law, if our net assets cover less than 50 percent of our statutory share capital and statutory capital reserves, the board of directors must convene a general meeting of shareholders and propose measures to remedy such a capital loss. The appropriate measures depend on the relevant circumstances and the magnitude of the recognized loss and may include seeking shareholder approval for offsetting the aggregate loss, or a portion thereof, with our statutory capital reserves including qualifying additional paid-in capital otherwise available for distributions to shareholders or raising new equity. Depending on the circumstances, we may also need to use qualifying additional paid</w:t>
      </w:r>
      <w:r>
        <w:rPr>
          <w:rFonts w:ascii="MS PGothic" w:cs="MS PGothic" w:eastAsia="MS PGothic" w:hAnsi="MS PGothic"/>
          <w:sz w:val="16"/>
          <w:szCs w:val="16"/>
          <w:color w:val="auto"/>
        </w:rPr>
        <w:t>‑</w:t>
      </w:r>
      <w:r>
        <w:rPr>
          <w:rFonts w:ascii="Arial" w:cs="Arial" w:eastAsia="Arial" w:hAnsi="Arial"/>
          <w:sz w:val="16"/>
          <w:szCs w:val="16"/>
          <w:color w:val="auto"/>
        </w:rPr>
        <w:t>in capital available for distributions in order to reduce our accumulated net loss and such use might reduce our ability to make distributions without subjecting our shareholders to Swiss withholding tax. These Swiss law requirements could limit our flexibility to swiftly implement certain initiatives or strategies.</w:t>
      </w:r>
    </w:p>
    <w:p>
      <w:pPr>
        <w:spacing w:after="0" w:line="194" w:lineRule="exact"/>
        <w:rPr>
          <w:sz w:val="20"/>
          <w:szCs w:val="20"/>
          <w:color w:val="auto"/>
        </w:rPr>
      </w:pPr>
    </w:p>
    <w:p>
      <w:pPr>
        <w:ind w:right="880" w:firstLine="509"/>
        <w:spacing w:after="0" w:line="291" w:lineRule="auto"/>
        <w:rPr>
          <w:sz w:val="20"/>
          <w:szCs w:val="20"/>
          <w:color w:val="auto"/>
        </w:rPr>
      </w:pPr>
      <w:r>
        <w:rPr>
          <w:rFonts w:ascii="Arial" w:cs="Arial" w:eastAsia="Arial" w:hAnsi="Arial"/>
          <w:sz w:val="17"/>
          <w:szCs w:val="17"/>
          <w:i w:val="1"/>
          <w:iCs w:val="1"/>
          <w:color w:val="auto"/>
        </w:rPr>
        <w:t>Anti-takeover Provisions In Our Articles Of Association Could Make An Acquisition Of Our Company, Which May Be Beneficial To Our Shareholders, More Difficult And May Prevent Attempts By Our Shareholders To Replace Or Remove Our Current Management.</w:t>
      </w:r>
    </w:p>
    <w:p>
      <w:pPr>
        <w:spacing w:after="0" w:line="147" w:lineRule="exact"/>
        <w:rPr>
          <w:sz w:val="20"/>
          <w:szCs w:val="20"/>
          <w:color w:val="auto"/>
        </w:rPr>
      </w:pPr>
    </w:p>
    <w:p>
      <w:pPr>
        <w:ind w:right="20" w:firstLine="509"/>
        <w:spacing w:after="0" w:line="205" w:lineRule="exact"/>
        <w:rPr>
          <w:sz w:val="20"/>
          <w:szCs w:val="20"/>
          <w:color w:val="auto"/>
        </w:rPr>
      </w:pPr>
      <w:r>
        <w:rPr>
          <w:rFonts w:ascii="Arial" w:cs="Arial" w:eastAsia="Arial" w:hAnsi="Arial"/>
          <w:sz w:val="17"/>
          <w:szCs w:val="17"/>
          <w:color w:val="auto"/>
        </w:rPr>
        <w:t>Provisions in our articles of association may discourage, delay or prevent an acquisition of our Company or changes in the composition of our board of directors. Among other things, these provisions require the approval of at least two thirds of represented shares present or voting at a shareholder meeting for the removal of a member of our board of directors and to increase the maximum number of members of our board of directors; limit the accumulated voting rights of any person or entity to 15% of our registered share capital; limit the voting rights of an acquirer of more than 5% of our registered share capital in a transaction or series of transactions in which our board of directors did not provide for an exemption, which could prevent or delay a change in control of our Company; provide that the board of directors is authorized, subject to obtaining shareholder approval every two years, at any time during a maximum two</w:t>
      </w:r>
      <w:r>
        <w:rPr>
          <w:rFonts w:ascii="MS PGothic" w:cs="MS PGothic" w:eastAsia="MS PGothic" w:hAnsi="MS PGothic"/>
          <w:sz w:val="17"/>
          <w:szCs w:val="17"/>
          <w:color w:val="auto"/>
        </w:rPr>
        <w:t>‑</w:t>
      </w:r>
      <w:r>
        <w:rPr>
          <w:rFonts w:ascii="Arial" w:cs="Arial" w:eastAsia="Arial" w:hAnsi="Arial"/>
          <w:sz w:val="17"/>
          <w:szCs w:val="17"/>
          <w:color w:val="auto"/>
        </w:rPr>
        <w:t>year period, which under our current authorized share capital will expire on June 10, 2023, to issue a specified number of shares, which under our current authorized share capital is approximately forty-nine percent of the share capital registered in the commercial register, and to limit or withdraw the preemptive rights of existing shareholders in various circumstances; provide for a conditional share capital that authorizes the issuance of additional shares up to a maximum amount of approximately thirty-two percent of the share capital registered in the commercial register, without obtaining additional shareholder approval, (i) through the exercise of conversion and/or option rights granted in connection with bonds or similar instruments, including convertible debt instruments, and (ii) in connection with the exercise of options granted to employees or other service providers of the Company or any of its subsidiaries; and provide that a merger or demerger transaction requires the affirmative vote of at least two thirds of the shares represented at a shareholders’ meeting.</w:t>
      </w:r>
    </w:p>
    <w:p>
      <w:pPr>
        <w:spacing w:after="0" w:line="189"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Although we believe these provisions collectively provide for an opportunity to obtain greater value for shareholders by requiring potential acquirors to negotiate with our board of directors, they would apply even if an offer rejected by our board were considered beneficial by some shareholders. In addition, these provisions may frustrate or prevent any attempts by our shareholders to replace or remove our current management by making it more difficult for shareholders to replace members of our board of directors, which is responsible for appointing the members of our management.</w:t>
      </w:r>
    </w:p>
    <w:p>
      <w:pPr>
        <w:spacing w:after="0" w:line="155"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i w:val="1"/>
          <w:iCs w:val="1"/>
          <w:color w:val="auto"/>
        </w:rPr>
        <w:t>Our Common Shares Are Issued Under The Laws Of Switzerland, Which May Not Protect Investors In A Similar Fashion Afforded By Incorporation In A U.S. State.</w:t>
      </w:r>
    </w:p>
    <w:p>
      <w:pPr>
        <w:spacing w:after="0" w:line="171" w:lineRule="exact"/>
        <w:rPr>
          <w:sz w:val="20"/>
          <w:szCs w:val="20"/>
          <w:color w:val="auto"/>
        </w:rPr>
      </w:pPr>
    </w:p>
    <w:p>
      <w:pPr>
        <w:ind w:right="20" w:firstLine="509"/>
        <w:spacing w:after="0" w:line="291" w:lineRule="auto"/>
        <w:rPr>
          <w:sz w:val="20"/>
          <w:szCs w:val="20"/>
          <w:color w:val="auto"/>
        </w:rPr>
      </w:pPr>
      <w:r>
        <w:rPr>
          <w:rFonts w:ascii="Arial" w:cs="Arial" w:eastAsia="Arial" w:hAnsi="Arial"/>
          <w:sz w:val="17"/>
          <w:szCs w:val="17"/>
          <w:color w:val="auto"/>
        </w:rPr>
        <w:t>We are organized under the laws of Switzerland.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0" w:name="page121"/>
    <w:bookmarkEnd w:id="120"/>
    <w:p>
      <w:pPr>
        <w:ind w:right="200" w:firstLine="509"/>
        <w:spacing w:after="0" w:line="261" w:lineRule="auto"/>
        <w:rPr>
          <w:sz w:val="20"/>
          <w:szCs w:val="20"/>
          <w:color w:val="auto"/>
        </w:rPr>
      </w:pPr>
      <w:r>
        <w:rPr>
          <w:rFonts w:ascii="Arial" w:cs="Arial" w:eastAsia="Arial" w:hAnsi="Arial"/>
          <w:sz w:val="18"/>
          <w:szCs w:val="18"/>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17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The authorized share capital approved by our shareholders will expire on June 10, 2023 and is limited to approximately forty-nine percent of our registered share capital pursuant to the articles of association in force. Subject to specified exceptions, Swiss law grants preemptive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the payment of dividends and the cancellation of treasury shares must be approved by shareholders. These Swiss law requirements relating to our capital management may limit our flexibility, and situations may arise where greater flexibility would have provided substantial benefits to our shareholders.</w:t>
      </w:r>
    </w:p>
    <w:p>
      <w:pPr>
        <w:spacing w:after="0" w:line="251"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Under Swiss law, a Swiss corporation may pay dividends only if the corporation has sufficient distributable profits from previous fiscal years, or if the corporation has distributable reserves, each as evidenced by its audited standalone statutory balance sheet, and after allocations to reserves required by Swiss law and our articles of association have been deducted. Freely distributable reserves are generally booked either as “free reserves” or as “capital contributions” (</w:t>
      </w:r>
      <w:r>
        <w:rPr>
          <w:rFonts w:ascii="Arial" w:cs="Arial" w:eastAsia="Arial" w:hAnsi="Arial"/>
          <w:sz w:val="17"/>
          <w:szCs w:val="17"/>
          <w:i w:val="1"/>
          <w:iCs w:val="1"/>
          <w:color w:val="auto"/>
        </w:rPr>
        <w:t>Kapitaleinlagen</w:t>
      </w:r>
      <w:r>
        <w:rPr>
          <w:rFonts w:ascii="Arial" w:cs="Arial" w:eastAsia="Arial" w:hAnsi="Arial"/>
          <w:sz w:val="17"/>
          <w:szCs w:val="17"/>
          <w:color w:val="auto"/>
        </w:rPr>
        <w:t>, contributions received from shareholders) in the “reserve from capital contributions.” Distributions may be made out of registered share capital—the aggregate par value of a company’s registered shares—only by way of a capital reduction. We will not be able to pay dividends or make other distributions to shareholders on a Swiss withholding tax-free basis in excess of our aggregate qualifying contributions and registered share capital unless we increase our share capital or our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86"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Dividends and similar cash or in-kind distributions made by the Company to a shareholder (including liquidation proceeds and stock dividends) are subject to Swiss withholding tax (</w:t>
      </w:r>
      <w:r>
        <w:rPr>
          <w:rFonts w:ascii="Arial" w:cs="Arial" w:eastAsia="Arial" w:hAnsi="Arial"/>
          <w:sz w:val="16"/>
          <w:szCs w:val="16"/>
          <w:i w:val="1"/>
          <w:iCs w:val="1"/>
          <w:color w:val="auto"/>
        </w:rPr>
        <w:t>Verrechnungssteuer</w:t>
      </w:r>
      <w:r>
        <w:rPr>
          <w:rFonts w:ascii="Arial" w:cs="Arial" w:eastAsia="Arial" w:hAnsi="Arial"/>
          <w:sz w:val="16"/>
          <w:szCs w:val="16"/>
          <w:color w:val="auto"/>
        </w:rPr>
        <w:t>), currently at a rate of 35% (applicable to the gross amount of the taxable distribution). The Company is obliged to deduct the Swiss withholding tax from the gross amount of any taxable distribution and to pay the tax to the Swiss Federal Tax Administration within 30 calendar days of the due date of such distribution. However, the repayment of the nominal value of the shares and any repayment of qualifying additional paid-in capital (capital contribution reserves (</w:t>
      </w:r>
      <w:r>
        <w:rPr>
          <w:rFonts w:ascii="Arial" w:cs="Arial" w:eastAsia="Arial" w:hAnsi="Arial"/>
          <w:sz w:val="16"/>
          <w:szCs w:val="16"/>
          <w:i w:val="1"/>
          <w:iCs w:val="1"/>
          <w:color w:val="auto"/>
        </w:rPr>
        <w:t>Reserven aus Kapitaleinlagen</w:t>
      </w:r>
      <w:r>
        <w:rPr>
          <w:rFonts w:ascii="Arial" w:cs="Arial" w:eastAsia="Arial" w:hAnsi="Arial"/>
          <w:sz w:val="16"/>
          <w:szCs w:val="16"/>
          <w:color w:val="auto"/>
        </w:rPr>
        <w:t>)) are not subject to Swiss withholding tax. The Swiss withholding tax will also apply to payments (exceeding the respective share capital and used capital contribution reserves) upon a repurchase of shares by the Company,</w:t>
      </w:r>
    </w:p>
    <w:p>
      <w:pPr>
        <w:spacing w:after="0" w:line="3" w:lineRule="exact"/>
        <w:rPr>
          <w:sz w:val="20"/>
          <w:szCs w:val="20"/>
          <w:color w:val="auto"/>
        </w:rPr>
      </w:pPr>
    </w:p>
    <w:p>
      <w:pPr>
        <w:ind w:right="60" w:firstLine="8"/>
        <w:spacing w:after="0" w:line="237"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Company’s share capital is reduced upon such repurchase (redemption of shares), (ii) if the total of repurchased shares exceeds 10% of the Company’s share capital or (iii) if the repurchased shares are not resold within six years after the repurchase. This six-year deadline to resell the repurchased shares is suspended for so long as the shares are reserved to cover obligations under convertible bonds, option bonds or employee stock option plans (in the case of employee stock option plans, the maximum suspension is six years). In the event of a taxable share repurchase, Swiss withholding tax is imposed on the difference between the repurchase price and the sum of the nominal value of the repurchased shares and capita contribution reserves paid back upon the repurchase.</w:t>
      </w:r>
    </w:p>
    <w:p>
      <w:pPr>
        <w:spacing w:after="0" w:line="243"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Swiss resident individuals who hold their shares as private assets, or Resident Private Shareholders, are in principle eligible for a full refund or credit against income tax of the Swiss withholding tax if they duly report the underlying income in their income tax return. In addition, (i) corporate and individual shareholders who are resident in Switzerland for tax purposes, (ii) corporate and individual shareholders who are not resident in Switzerland, and who, in each case, hold their shares as part of a trade or business carried on in Switzerland through a permanent establishment with fixed place of business situated in Switzerland for tax purposes and (iii) Swiss resident private individuals who, for income tax purposes, are classified as “professional securities dealers” for reasons of, inter alia, frequent dealing, or leveraged investments, in shares and other securities (collectively, “Domestic Commercial Shareholders”) are in principle eligible for a full refund or credit against income tax of the Swiss withholding tax if they duly report the underlying income in their income statements or income tax return, as the case may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1" w:name="page122"/>
    <w:bookmarkEnd w:id="121"/>
    <w:p>
      <w:pPr>
        <w:ind w:right="40" w:firstLine="509"/>
        <w:spacing w:after="0" w:line="259" w:lineRule="auto"/>
        <w:rPr>
          <w:sz w:val="20"/>
          <w:szCs w:val="20"/>
          <w:color w:val="auto"/>
        </w:rPr>
      </w:pPr>
      <w:r>
        <w:rPr>
          <w:rFonts w:ascii="Arial" w:cs="Arial" w:eastAsia="Arial" w:hAnsi="Arial"/>
          <w:sz w:val="17"/>
          <w:szCs w:val="17"/>
          <w:color w:val="auto"/>
        </w:rPr>
        <w:t>Shareholders who are not resident in Switzerland for tax purposes, and who, during the respective taxation year, have not engaged in a trade or business carried on through a permanent establishment with fixed place of business situated in Switzerland for tax purposes, and who are not subject to corporate or individual income taxation in Switzerland for any other reason (collectively, “Non-Resident Shareholders”) may be entitled to a total or partial refund of the Swiss withholding tax if the country in which such recipient resides for tax purposes maintains a bilateral treaty, or Tax Treaty, for the avoidance of double taxation with Switzerland and further conditions of such Tax Treaty are met.</w:t>
      </w:r>
    </w:p>
    <w:p>
      <w:pPr>
        <w:spacing w:after="0" w:line="17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A U.S. shareholder that qualifies for benefits under the U.S.-Swiss Tax Treaty, may apply for a refund of the tax withheld in excess of the 15% treaty rate (or in excess of the 5% reduced treaty rate for qualifying corporate shareholders with at least 10% voting rights, or for a full refund in the case of qualified pension funds). Non-Resident Shareholders should be aware that the procedures for claiming treaty benefits (and the time required for obtaining a refund) may differ from country to country. Non-Resident Shareholders should consult their own legal, financial or tax advisors regarding receipt, ownership, purchases, sale or other dispositions of shares and the procedures for claiming a refund of the Swiss withholding tax.</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Certain U.S. Shareholders May Be Subject To Adverse U.S. Federal Income Tax Consequences If We Are A Controlled Foreign Corporation.</w:t>
      </w:r>
    </w:p>
    <w:p>
      <w:pPr>
        <w:spacing w:after="0" w:line="223" w:lineRule="exact"/>
        <w:rPr>
          <w:sz w:val="20"/>
          <w:szCs w:val="20"/>
          <w:color w:val="auto"/>
        </w:rPr>
      </w:pPr>
    </w:p>
    <w:p>
      <w:pPr>
        <w:ind w:right="60" w:firstLine="509"/>
        <w:spacing w:after="0" w:line="269" w:lineRule="auto"/>
        <w:rPr>
          <w:sz w:val="20"/>
          <w:szCs w:val="20"/>
          <w:color w:val="auto"/>
        </w:rPr>
      </w:pPr>
      <w:r>
        <w:rPr>
          <w:rFonts w:ascii="Arial" w:cs="Arial" w:eastAsia="Arial" w:hAnsi="Arial"/>
          <w:sz w:val="16"/>
          <w:szCs w:val="16"/>
          <w:color w:val="auto"/>
        </w:rPr>
        <w:t>Each “Ten Percent Shareholder" (as defined below) in a non-U.S. corporation that is classified as a “controlled foreign corporation,” or a CFC, for United States federal income tax purposes generally is required to include in income for U.S. federal tax purposes such Ten Percent Shareholder’s pro rata share of the CFC’s “Subpart F income” and investment of earnings in U.S. property, even if the CFC has made no distributions to its shareholders. Subpart F income generally includes dividends, interest, rents and royalties, gains from the sale of securities and income from certain transactions with related parties. For tax years beginning after December 31, 2017, each Ten Percent Shareholder of a CFC is also required to include in income such Ten Percent Shareholder’s share of “global intangible low-taxed income” with respect to such CFC. In addition, a Ten Percent Shareholder that realizes gain from the sale or exchange of shares in a CFC may be required to classify a portion of such gain as dividend income rather than capital gain. A non-U.S. corporation generally will be classified as a CFC for United States federal income tax purposes if Ten Percent Shareholders own, directly or indirectly,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or the Code, who owns or is considered to own 10% or more of (1) the total combined voting power of all classes of stock entitled to vote or (2) the value of all classes of stock of such corporation. The determination of CFC status is complex and includes attribution rules, the application of which is not entirely certain.</w:t>
      </w:r>
    </w:p>
    <w:p>
      <w:pPr>
        <w:spacing w:after="0" w:line="17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During our 2021 taxable year we believe that we had certain shareholders that were Ten Percent Shareholders for U.S. federal income tax purposes. However, our CFC status for the taxable year ending on December 31, 2021 and our current taxable year is unknown and we may be a CFC for the taxable year ending on December 31, 2021, our current taxable year or a following year. In addition, recent changes to the attribution rules relation to the determination of CFC status may make it difficult to determine our CFC status for any taxable year. Furthermore, it is possible that our non-United States subsidiaries will be CFCs for the current taxable year or a future taxable year even if we are not a CFC for such taxable year(s). U.S. holders should consult their own tax advisors with respect to the potential adverse U.S. tax consequences of becoming a Ten Percent Shareholder in a CFC. If we are classified as both a CFC and a passive foreign investment company, or PFIC, we generally will not be treated as a PFIC with respect to those U.S. holders that meet the definition of a Ten Percent Shareholder during the period in which we are a CFC.</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Certain U.S. Shareholders May Suffer Adverse Tax Consequences If We Are Characterized As A Passive Foreign Investment Company.</w:t>
      </w:r>
    </w:p>
    <w:p>
      <w:pPr>
        <w:spacing w:after="0" w:line="223"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Generally, if, for any taxable year, at least 75% of our gross income is passive income, or at least 50% of the value of our assets is attributable to assets that produce passive income or are held for the production of passive income, including cash, we would be characterized as a PFIC for U.S. federal income tax purposes.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If we are characterized as a PFIC, U.S. holders of our common shares may suffer adverse tax consequences, including having gains realized on the sale of the common shares treated as ordinary income, rather than capital gain, the loss of the preferential rate applicable to dividends received on the common shares by individuals who are U.S. holders, and having interest charges apply to distributions by us and the proceeds of sales of the common shares.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2" w:name="page123"/>
    <w:bookmarkEnd w:id="122"/>
    <w:p>
      <w:pPr>
        <w:ind w:firstLine="509"/>
        <w:spacing w:after="0" w:line="262" w:lineRule="auto"/>
        <w:rPr>
          <w:sz w:val="20"/>
          <w:szCs w:val="20"/>
          <w:color w:val="auto"/>
        </w:rPr>
      </w:pPr>
      <w:r>
        <w:rPr>
          <w:rFonts w:ascii="Arial" w:cs="Arial" w:eastAsia="Arial" w:hAnsi="Arial"/>
          <w:sz w:val="17"/>
          <w:szCs w:val="17"/>
          <w:color w:val="auto"/>
        </w:rPr>
        <w:t>Our status as a PFIC will depend on the composition of our income and the composition and value of our assets which may be determined in part by reference to the quarterly market value of our common shares, which may be volatile. Our status may also depend, in part, on how, and how quickly, we utilize the cash proceeds from prior offerings in our business. Our status as a PFIC is a fact-intensive determination made on an annual basis and we cannot provide any assurances regarding our PFIC status for any past, current or future taxable years.</w:t>
      </w:r>
    </w:p>
    <w:p>
      <w:pPr>
        <w:spacing w:after="0" w:line="172"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Because it is possible we were a PFIC for the 2020 taxable year, we provided information necessary for our shareholders to make a qualified electing fund, or QEF, election with respect to us for the 2020 taxable year. We provided such information on our website (www.crisprtx.com). A U.S. holder that makes a QEF election with respect to our shares is required to include a pro rata share of our income on a current basis, whether or not we make distributions. For the 2020 taxable year, the amount of our ordinary earnings and net capital gain for purposes of the QEF inclusion rules was $0.0 million of ordinary earnings and $0.0 net capital gain, and we may have material amounts of ordinary earnings and/or net capital gain for purposes of the QEF inclusion rules in the 2021 taxable year or future taxable years. Although we have not yet determined whether we are a PFIC for the 2021 taxable year or the current taxable year, it is possible that we may be a PFIC for the 2021 taxable year and / or current taxable year as well. We will endeavor to provide to you, for each taxable year that we are or may be a PFIC, a PFIC Annual Information Statement containing information necessary for you to make a QEF election with respect to us. Alternatively, a U.S. holder may be able to make a mark-to-market election, assuming that our shares constitute “marketable” securities under the Code, which generally avoids the adverse consequences of PFIC status discussed above, but would require a U.S. holder to annually report as ordinary income any increase in value of our shares during the year (as well as generally allowing deductions for any decrease in the value of our shares).</w:t>
      </w:r>
    </w:p>
    <w:p>
      <w:pPr>
        <w:spacing w:after="0" w:line="18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If we are determined to be a PFIC, a U.S. holder will generally be treated as owning a proportionate amount (by value) of shares owned by us in any of our direct or indirect subsidiaries that are also PFICs, each a lower-tier PFIC, and will be subject to similar adverse rules with respect to distributions from, or dispositions of, such lower-tier PFICs, in each case as if such U.S. holder held such shares directly (even if such U.S. holder does not receive the proceeds of such distributions or dispositions directly). We have not determined whether any of our subsidiaries (including TRACR and CRISPR Therapeutics Ltd.) are or may be lower-tier PFICs for any prior taxable year, the current taxable year or future taxable years, and we do not intend to do so. We also do not intend to make available the information necessary for U.S. holders to make a QEF election with respect to any lower-tier PFICs and therefore you should expect that you will not be able to make a QEF election with respect to them. You are urged to consult your own tax advisors regarding our PFIC status and the tax considerations relevant to an investment in a PFIC, including the availability, and advisability, of, and procedure for making, a QEF election or a mark to market election with respect to us, and the application of the PFIC rules to any of our subsidiaries. See “Risk Factor —</w:t>
      </w:r>
      <w:r>
        <w:rPr>
          <w:rFonts w:ascii="Arial" w:cs="Arial" w:eastAsia="Arial" w:hAnsi="Arial"/>
          <w:sz w:val="16"/>
          <w:szCs w:val="16"/>
          <w:i w:val="1"/>
          <w:iCs w:val="1"/>
          <w:color w:val="auto"/>
        </w:rPr>
        <w:t>Comprehensive Tax Reform Legislation Could Adversely Affect Our Business And Financial Condition.</w:t>
      </w:r>
      <w:r>
        <w:rPr>
          <w:rFonts w:ascii="Arial" w:cs="Arial" w:eastAsia="Arial" w:hAnsi="Arial"/>
          <w:sz w:val="16"/>
          <w:szCs w:val="16"/>
          <w:color w:val="auto"/>
        </w:rPr>
        <w:t>”</w:t>
      </w:r>
    </w:p>
    <w:p>
      <w:pPr>
        <w:spacing w:after="0" w:line="171"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i w:val="1"/>
          <w:iCs w:val="1"/>
          <w:color w:val="auto"/>
        </w:rPr>
        <w:t>U.S. Shareholders May Not Be Able To Obtain Judgments Or Enforce Civil Liabilities Against Us Or Our Executive Officers Or Members Of Our Board Of Directors.</w:t>
      </w:r>
    </w:p>
    <w:p>
      <w:pPr>
        <w:spacing w:after="0" w:line="171"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Zug, Switzerland. Moreover, certain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mandatory provisions of Swiss law may be applicable regardless of any other law that would otherwise apply.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23" w:name="page124"/>
    <w:bookmarkEnd w:id="123"/>
    <w:p>
      <w:pPr>
        <w:ind w:right="180" w:firstLine="509"/>
        <w:spacing w:after="0" w:line="243"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80"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court procedures and the service of documents leading to the judgment were in accordance with the due process of law; and</w:t>
      </w:r>
    </w:p>
    <w:p>
      <w:pPr>
        <w:spacing w:after="0" w:line="115" w:lineRule="exact"/>
        <w:rPr>
          <w:rFonts w:ascii="Arial" w:cs="Arial" w:eastAsia="Arial" w:hAnsi="Arial"/>
          <w:sz w:val="17"/>
          <w:szCs w:val="17"/>
          <w:color w:val="auto"/>
        </w:rPr>
      </w:pPr>
    </w:p>
    <w:p>
      <w:pPr>
        <w:ind w:left="1020" w:right="28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Our principal executive offices are located in Zug, Switzerland pursuant to a real estate lease agreement with a term that renews every three months. Our U.S. headquarters are located at 610 Main Street, Cambridge, Massachusetts where we lease approximately 98,064 square feet of laboratory and office space under two separate subleases, which expire in 2022.</w:t>
      </w:r>
    </w:p>
    <w:p>
      <w:pPr>
        <w:spacing w:after="0" w:line="209"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July 2020, we entered into a lease agreement for approximately 263,500 square feet of office and laboratory space in a to-be-constructed building in Boston, Massachusetts, or the 2020 Boston Lease. We intend for the new facility to be our new U.S. headquarters for research and development and plan to consolidate our various office and laboratory locations in the greater Boston area into this single location. The facility is leased through October 2034 with an option to extend the term of the lease for two additional five-year periods.</w:t>
      </w:r>
    </w:p>
    <w:p>
      <w:pPr>
        <w:spacing w:after="0" w:line="215"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In May 2020, we entered into a lease agreement for a 50,249 square foot building in Framingham, Massachusetts, which we plan to use as a cell therapy manufacturing facility for clinical and commercial production of our investigational cell therapy product candidates. This facility is leased through March 2036 with an option to extend the term of the lease for two additional seven-year periods.</w:t>
      </w:r>
    </w:p>
    <w:p>
      <w:pPr>
        <w:spacing w:after="0" w:line="16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also lease business offices elsewhere in Cambridge, Massachusetts, San Francisco, California and London, United Kingdom. We believe that our facilities are adequate for our current needs and that suitable additional or substitute space would be available if needed.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the ordinary course of business, we are from time to time involved in lawsuits, investigations, proceedings and threats of litigation related to, among other things, our intellectual property estate (including the Patent Portfolio), commercial arrangements and other matters. Such proceedings may include quasi-litigation, inter partes administrative proceedings in the U.S. Patent and Trademark Office and the European Patent Office involving our intellectual property estate including the Patent Portfolio. The outcome of any of the foregoing, regardless of the merits, is inherently uncertain. In addition, litigation and related matters are costly and may divert the attention of our management and other resources that would otherwise be engaged in other activities. If we were unable to prevail in any such proceedings, our business, results of operations, liquidity and financial condition could be adversely affected. For further information regarding risks involving our intellectual property estate including the Patent Portfolio, please see “Risk Factors—Risks Related to Intellectual Property” contained in Item 1A of this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4" w:name="page125"/>
    <w:bookmarkEnd w:id="124"/>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shares are traded on The Nasdaq Global Market under the symbol “CRSP.”</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215"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The graph set forth below compares the cumulative total stockholder return on our shares between October 19, 2016 (the date of our initial public offering) and December 31, 2021, with the cumulative total return of (a) the Nasdaq Biotechnology Index and (b) the Nasdaq Composite Index, over the same period. This graph assumes the investment of $100 on October 19, 2016 in our common shares, the Nasdaq Biotechnology Index and the Nasdaq Composite Index and assumes the reinvestment of dividends, if any. The graph assumes our closing sales price on October 19, 2016 of $14.09 per share as the initial value of our common shares and not the initial offering price to the public of $14.00 per share. The comparisons shown in the graph below are based upon historical data. The stock price performance included in this graph is not necessarily indicative of future stock price performance.</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Comparison of Total Return Among CRISPR Therapeutics AG, the NASDAQ Composite Index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144780</wp:posOffset>
            </wp:positionV>
            <wp:extent cx="6172200" cy="28632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7220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0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As of February 11, 2022, we had approximately 15 holders of record of our common shares. This number does not include beneficial owners whose shares were held in street name.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paid any cash dividends on our common shares since inception and do not anticipate paying cash dividends in the foreseeable future.</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Information about our equity compensation plans is incorporated herein by reference to Item 12 of Part III of this Annual Report on Form 10-K.</w:t>
      </w: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648" w:right="6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Item 6. Reserved</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 entitled “Selected Consolidated Financial Data” and our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Note About Coronavirus (COVID-19)</w:t>
      </w:r>
    </w:p>
    <w:p>
      <w:pPr>
        <w:spacing w:after="0" w:line="198"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 xml:space="preserve">Since March 2020, we have been evaluating the actual and potential business impacts related to the outbreak of a novel strain of virus named SARS-CoV-2 (severe acute respiratory syndrome 2), or coronavirus, which causes coronavirus disease, or COVID-19. As a result of the coronavirus pandemic, we have experienced, and may further experience, disruptions, pauses and/or delays that have and could further adversely impact our business, operations, and/or associated timelines. As we gradually return to work in accordance with state and local regulations, we maintain temporary work-from-home procedures for all employees other than for those personnel and contractors who perform essential activities that must be completed on-site. If negative developments relating to the coronavirus pandemic continue, including “periodic resurgence” and additional “waves”, we may be required to restrict on-site staff at our offices and laboratories again and at times have limited access to our offices on a temporary and intermittent basis; with respect to our hemoglobinopathies clinical trials, we may elect to pause patient dosing in certain of our trials again if </w:t>
      </w:r>
      <w:r>
        <w:rPr>
          <w:rFonts w:ascii="Arial" w:cs="Arial" w:eastAsia="Arial" w:hAnsi="Arial"/>
          <w:sz w:val="17"/>
          <w:szCs w:val="17"/>
          <w:color w:val="212529"/>
        </w:rPr>
        <w:t>ICU beds and related healthcare resources become</w:t>
      </w:r>
      <w:r>
        <w:rPr>
          <w:rFonts w:ascii="Arial" w:cs="Arial" w:eastAsia="Arial" w:hAnsi="Arial"/>
          <w:sz w:val="17"/>
          <w:szCs w:val="17"/>
          <w:color w:val="auto"/>
        </w:rPr>
        <w:t xml:space="preserve"> </w:t>
      </w:r>
      <w:r>
        <w:rPr>
          <w:rFonts w:ascii="Arial" w:cs="Arial" w:eastAsia="Arial" w:hAnsi="Arial"/>
          <w:sz w:val="17"/>
          <w:szCs w:val="17"/>
          <w:color w:val="212529"/>
        </w:rPr>
        <w:t xml:space="preserve">significantly constrained </w:t>
      </w:r>
      <w:r>
        <w:rPr>
          <w:rFonts w:ascii="Arial" w:cs="Arial" w:eastAsia="Arial" w:hAnsi="Arial"/>
          <w:sz w:val="17"/>
          <w:szCs w:val="17"/>
          <w:color w:val="000000"/>
        </w:rPr>
        <w:t>again or governmental authorities impose additional business or travel restrictions; with respect to our immuno-oncology clinical</w:t>
      </w:r>
      <w:r>
        <w:rPr>
          <w:rFonts w:ascii="Arial" w:cs="Arial" w:eastAsia="Arial" w:hAnsi="Arial"/>
          <w:sz w:val="17"/>
          <w:szCs w:val="17"/>
          <w:color w:val="212529"/>
        </w:rPr>
        <w:t xml:space="preserve"> </w:t>
      </w:r>
      <w:r>
        <w:rPr>
          <w:rFonts w:ascii="Arial" w:cs="Arial" w:eastAsia="Arial" w:hAnsi="Arial"/>
          <w:sz w:val="17"/>
          <w:szCs w:val="17"/>
          <w:color w:val="000000"/>
        </w:rPr>
        <w:t>trials, investigators participating in our clinical trials may not want to take the risk of exposing cancer patients to the coronavirus since the dosing of patients is conducted within an in-patient setting; and certain aspects of our supply chain could be disrupted if our third party suppliers and manufacturers paused their operations again in response to such negative developments and/or as a result of national and local regulations. The ultimate impact of the coronavirus pandemic on our business operations remains uncertain and subject to change and will depend on future developments, which cannot be accurately predicted. We will continue to monitor the situation closely. Please refer to our Risk Factors in Part I, Item IA of this Annual Report on Form 10-K for a discussion of the risks related to the coronavirus pandemic.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are a leading gene editing company focused on the development of CRISPR/Cas9-based therapeutics. CRISPR/Cas9 is a revolutionary gene editing technology that allows for precise, directed changes to genomic DNA. The application of CRISPR/Cas9 for gene editing was co-invented by one of our scientific founders, Dr. Emmanuelle Charpentier, who, along with her collaborators, published work elucidating how CRISPR/Cas9, a naturally occurring viral defense mechanism found in bacteria, can be adapted for use in gene editing. We are applying this technology to potentially treat a broad set of rare and common diseases by disrupting, correcting or regulating the genes related to such diseases. We believe that our scientific expertise, together with our approach, may enable an entirely new class of highly active and potentially curative therapies for patients for whom current biopharmaceutical approaches have had limited success.</w:t>
      </w:r>
    </w:p>
    <w:p>
      <w:pPr>
        <w:spacing w:after="0" w:line="191"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We have established a portfolio of therapeutic programs across a broad range of disease areas including hemoglobinopathies, oncology, regenerative medicine and rare diseases.</w:t>
      </w:r>
    </w:p>
    <w:p>
      <w:pPr>
        <w:spacing w:after="0" w:line="171"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Our lead product candidate, CTX001, is an investigational, autologous, gene-edited hematopoietic stem cell therapy that is being evaluated for the treatment of transfusion-dependent beta thalassemia, or TDT, and severe sickle cell disease, or SCD. CTX001 is being developed under a joint development and commercialization agreement between us and Vertex.</w:t>
      </w:r>
    </w:p>
    <w:p>
      <w:pPr>
        <w:spacing w:after="0" w:line="182"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We and Vertex are investigating CTX001 in ongoing Phase 3 open-label clinical trials that are designed to assess the safety and efficacy of a single dose of CTX001 in patients ages 12 to 35 with TDT (CLIMB THAL-111) or SCD (CLIMB SCD-121), respectively. The first two patients in each trial were treated sequentially and, following data from the initial two patients indicating successful engraftment and an acceptable safety profile, the corresponding trial opened for concurrent dosing. CLIMB THAL-111 and CLIMB SCD-121 are designed to follow patients for approximately two years after infusion. Each patient will be asked to participate in a long-term, open-label follow-up trial, CLIMB-131, to evaluate the safety and efficacy of CTX001 in patients who received CTX001. CLIMB-131 is designed to follow participants for up to 15 years after CTX001 infusion. Enrollment is complete for both CLIMB THAL-111 and CLIMB SCD-121.</w:t>
      </w:r>
    </w:p>
    <w:p>
      <w:pPr>
        <w:spacing w:after="0" w:line="191" w:lineRule="exact"/>
        <w:rPr>
          <w:sz w:val="20"/>
          <w:szCs w:val="20"/>
          <w:color w:val="auto"/>
        </w:rPr>
      </w:pPr>
    </w:p>
    <w:p>
      <w:pPr>
        <w:ind w:right="120" w:firstLine="554"/>
        <w:spacing w:after="0" w:line="291" w:lineRule="auto"/>
        <w:rPr>
          <w:sz w:val="20"/>
          <w:szCs w:val="20"/>
          <w:color w:val="auto"/>
        </w:rPr>
      </w:pPr>
      <w:r>
        <w:rPr>
          <w:rFonts w:ascii="Arial" w:cs="Arial" w:eastAsia="Arial" w:hAnsi="Arial"/>
          <w:sz w:val="17"/>
          <w:szCs w:val="17"/>
          <w:color w:val="auto"/>
        </w:rPr>
        <w:t>In the second quarter of 2021, at the European Hematology Association Congress, we presented updated clinical data from the first fifteen patients with TDT and first seven patients with SCD treated with CTX001 who had reached at least three months of follow-up after CTX001 dosing.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8" w:name="page129"/>
    <w:bookmarkEnd w:id="128"/>
    <w:p>
      <w:pPr>
        <w:ind w:right="20" w:firstLine="509"/>
        <w:spacing w:after="0" w:line="248" w:lineRule="auto"/>
        <w:rPr>
          <w:sz w:val="20"/>
          <w:szCs w:val="20"/>
          <w:color w:val="auto"/>
        </w:rPr>
      </w:pPr>
      <w:r>
        <w:rPr>
          <w:rFonts w:ascii="Arial" w:cs="Arial" w:eastAsia="Arial" w:hAnsi="Arial"/>
          <w:sz w:val="18"/>
          <w:szCs w:val="18"/>
          <w:color w:val="auto"/>
        </w:rPr>
        <w:t>CTX001 has been granted a number of regulatory designations from the FDA, including RMAT, Fast Track, Orphan Drug, and Rare Pediatric Disease designations for the treatment of both TDT and SCD. CTX001 has also been granted Orphan Drug Designation from the European Commission, as well as PRIME designation from the EMA, for the treatment of both TDT and SCD.</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Immuno-Oncology</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we are developing our own portfolio of CAR-T cell product candidates based on our gene-editing technology.</w:t>
      </w:r>
    </w:p>
    <w:p>
      <w:pPr>
        <w:spacing w:after="0" w:line="212"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i w:val="1"/>
          <w:iCs w:val="1"/>
          <w:color w:val="auto"/>
        </w:rPr>
        <w:t>CTX110</w:t>
      </w:r>
      <w:r>
        <w:rPr>
          <w:rFonts w:ascii="Arial" w:cs="Arial" w:eastAsia="Arial" w:hAnsi="Arial"/>
          <w:sz w:val="17"/>
          <w:szCs w:val="17"/>
          <w:color w:val="auto"/>
        </w:rPr>
        <w:t>. Our lead immuno-oncology product candidate, CTX110, is a healthy donor-derived gene-edited allogeneic CAR-T investigational therapy</w:t>
      </w:r>
      <w:r>
        <w:rPr>
          <w:rFonts w:ascii="Arial" w:cs="Arial" w:eastAsia="Arial" w:hAnsi="Arial"/>
          <w:sz w:val="17"/>
          <w:szCs w:val="17"/>
          <w:i w:val="1"/>
          <w:iCs w:val="1"/>
          <w:color w:val="auto"/>
        </w:rPr>
        <w:t xml:space="preserve"> </w:t>
      </w:r>
      <w:r>
        <w:rPr>
          <w:rFonts w:ascii="Arial" w:cs="Arial" w:eastAsia="Arial" w:hAnsi="Arial"/>
          <w:sz w:val="17"/>
          <w:szCs w:val="17"/>
          <w:color w:val="auto"/>
        </w:rPr>
        <w:t>targeting Cluster of Differentiation 19, or CD19. CTX110 is being investigated in an ongoing Phase 1 single-arm, multi-center, open-label clinical trial, CARBON, that is designed to assess the safety and efficacy of several dose levels of CTX110 in adult patients with relapsed or refractory B-cell malignancies who have received at least two prior lines of therapy. CTX110 has been granted RMAT designation by the FDA.</w:t>
      </w:r>
    </w:p>
    <w:p>
      <w:pPr>
        <w:spacing w:after="0" w:line="172"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In the fourth quarter of 2021, we released updated clinical data from the ongoing CARBON trial for 26 patients treated with CTX110 who had reached at least 28 days of follow-up.</w:t>
      </w:r>
    </w:p>
    <w:p>
      <w:pPr>
        <w:spacing w:after="0" w:line="171"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i w:val="1"/>
          <w:iCs w:val="1"/>
          <w:color w:val="auto"/>
        </w:rPr>
        <w:t>CTX120</w:t>
      </w:r>
      <w:r>
        <w:rPr>
          <w:rFonts w:ascii="Arial" w:cs="Arial" w:eastAsia="Arial" w:hAnsi="Arial"/>
          <w:sz w:val="16"/>
          <w:szCs w:val="16"/>
          <w:color w:val="auto"/>
        </w:rPr>
        <w:t>. CTX120 is a healthy donor-derived gene-edited allogeneic CAR-T investigational therapy targeting B-cell maturation antigen. CTX120 is</w:t>
      </w:r>
      <w:r>
        <w:rPr>
          <w:rFonts w:ascii="Arial" w:cs="Arial" w:eastAsia="Arial" w:hAnsi="Arial"/>
          <w:sz w:val="16"/>
          <w:szCs w:val="16"/>
          <w:i w:val="1"/>
          <w:iCs w:val="1"/>
          <w:color w:val="auto"/>
        </w:rPr>
        <w:t xml:space="preserve"> </w:t>
      </w:r>
      <w:r>
        <w:rPr>
          <w:rFonts w:ascii="Arial" w:cs="Arial" w:eastAsia="Arial" w:hAnsi="Arial"/>
          <w:sz w:val="16"/>
          <w:szCs w:val="16"/>
          <w:color w:val="auto"/>
        </w:rPr>
        <w:t>being investigated in an ongoing Phase 1 single-arm, multi-center, open-label clinical trial that is designed to assess the safety and efficacy of several dose levels of CTX120 for the treatment of relapsed or refractory multiple myeloma. CTX120 has received Orphan Drug Designation from the FDA.</w:t>
      </w:r>
    </w:p>
    <w:p>
      <w:pPr>
        <w:spacing w:after="0" w:line="147"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CTX130</w:t>
      </w:r>
      <w:r>
        <w:rPr>
          <w:rFonts w:ascii="Arial" w:cs="Arial" w:eastAsia="Arial" w:hAnsi="Arial"/>
          <w:sz w:val="18"/>
          <w:szCs w:val="18"/>
          <w:color w:val="auto"/>
        </w:rPr>
        <w:t>. CTX130 is a healthy donor-derived gene-edited allogeneic CAR-T investigational therapy targeting Cluster of Differentiation 70, or CD70,</w:t>
      </w:r>
      <w:r>
        <w:rPr>
          <w:rFonts w:ascii="Arial" w:cs="Arial" w:eastAsia="Arial" w:hAnsi="Arial"/>
          <w:sz w:val="18"/>
          <w:szCs w:val="18"/>
          <w:i w:val="1"/>
          <w:iCs w:val="1"/>
          <w:color w:val="auto"/>
        </w:rPr>
        <w:t xml:space="preserve"> </w:t>
      </w:r>
      <w:r>
        <w:rPr>
          <w:rFonts w:ascii="Arial" w:cs="Arial" w:eastAsia="Arial" w:hAnsi="Arial"/>
          <w:sz w:val="18"/>
          <w:szCs w:val="18"/>
          <w:color w:val="auto"/>
        </w:rPr>
        <w:t>an antigen expressed on various solid tumors and hematologic malignancies. CTX130 is being developed for the treatment of both solid tumors, such as renal cell carcinoma, and T-cell and B-cell hematologic malignancies. CTX130 is being investigated in two ongoing independent Phase 1 single-arm, multi-center, open-label clinical trials that are designed to assess the safety and efficacy of several dose levels of CTX130 for the treatment of relapsed or refractory renal cell carcinoma and various types of lymphoma, respectively. CTX130 for the treatment of T-cell lymphoma has received Orphan Drug Designation from the FDA.</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Regenerative Medicine</w:t>
      </w:r>
    </w:p>
    <w:p>
      <w:pPr>
        <w:spacing w:after="0" w:line="212"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Regenerative medicine, or the use of stem cells to repair or replace tissue or organ function lost due to disease, damage or age, holds the potential to treat both rare and common diseases. We are pursuing gene-editing approaches to allow allogeneic use of stem cell-derived therapies by enabling immune evasion, improving existing cell function and directing cell fate using CRISPR/Cas9.</w:t>
      </w:r>
    </w:p>
    <w:p>
      <w:pPr>
        <w:spacing w:after="0" w:line="182"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Our first major effort in this area is in diabetes, and we and ViaCyte are advancing a program as part of a strategic collaboration for the discovery, development, and commercialization of gene-edited stem cell therapies for the treatment of diabetes.</w:t>
      </w:r>
    </w:p>
    <w:p>
      <w:pPr>
        <w:spacing w:after="0" w:line="198" w:lineRule="exact"/>
        <w:rPr>
          <w:sz w:val="20"/>
          <w:szCs w:val="20"/>
          <w:color w:val="auto"/>
        </w:rPr>
      </w:pPr>
    </w:p>
    <w:p>
      <w:pPr>
        <w:ind w:right="160" w:firstLine="509"/>
        <w:spacing w:after="0" w:line="278" w:lineRule="auto"/>
        <w:rPr>
          <w:sz w:val="20"/>
          <w:szCs w:val="20"/>
          <w:color w:val="auto"/>
        </w:rPr>
      </w:pPr>
      <w:r>
        <w:rPr>
          <w:rFonts w:ascii="Arial" w:cs="Arial" w:eastAsia="Arial" w:hAnsi="Arial"/>
          <w:sz w:val="17"/>
          <w:szCs w:val="17"/>
          <w:i w:val="1"/>
          <w:iCs w:val="1"/>
          <w:color w:val="auto"/>
        </w:rPr>
        <w:t xml:space="preserve">VCTX210. </w:t>
      </w:r>
      <w:r>
        <w:rPr>
          <w:rFonts w:ascii="Arial" w:cs="Arial" w:eastAsia="Arial" w:hAnsi="Arial"/>
          <w:sz w:val="17"/>
          <w:szCs w:val="17"/>
          <w:color w:val="auto"/>
        </w:rPr>
        <w:t>VCTX210 is an investigational, allogeneic, gene-edited, immune-evasive, stem cell-derived product candidate for the treatment of T1D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by applying our gene-editing technology to ViaCyte’s proprietary stem cell capabilities. We and ViaCyte are investigating VCTX210 in an ongoing Phase 1 clinical trial that is designed to assess VCTX210’s safety, tolerability, and immune evasion in patients with T1D.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9" w:name="page130"/>
    <w:bookmarkEnd w:id="129"/>
    <w:p>
      <w:pPr>
        <w:ind w:left="260"/>
        <w:spacing w:after="0"/>
        <w:rPr>
          <w:sz w:val="20"/>
          <w:szCs w:val="20"/>
          <w:color w:val="auto"/>
        </w:rPr>
      </w:pPr>
      <w:r>
        <w:rPr>
          <w:rFonts w:ascii="Arial" w:cs="Arial" w:eastAsia="Arial" w:hAnsi="Arial"/>
          <w:sz w:val="18"/>
          <w:szCs w:val="18"/>
          <w:b w:val="1"/>
          <w:bCs w:val="1"/>
          <w:i w:val="1"/>
          <w:iCs w:val="1"/>
          <w:color w:val="auto"/>
        </w:rPr>
        <w:t>Partnerships</w:t>
      </w:r>
    </w:p>
    <w:p>
      <w:pPr>
        <w:spacing w:after="0" w:line="212"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Given the numerous potential therapeutic applications for CRISPR/Cas9, we have partnered strategically to broaden the indications we can pursue and accelerate development of programs by accessing specific technologies and/or disease-area expertise. We maintain three broad strategic partnerships to develop gene editing-based therapeutics in specific disease areas.</w:t>
      </w:r>
    </w:p>
    <w:p>
      <w:pPr>
        <w:spacing w:after="0" w:line="182"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i w:val="1"/>
          <w:iCs w:val="1"/>
          <w:color w:val="auto"/>
        </w:rPr>
        <w:t>Vertex</w:t>
      </w:r>
      <w:r>
        <w:rPr>
          <w:rFonts w:ascii="Arial" w:cs="Arial" w:eastAsia="Arial" w:hAnsi="Arial"/>
          <w:sz w:val="16"/>
          <w:szCs w:val="16"/>
          <w:color w:val="auto"/>
        </w:rPr>
        <w:t>. We established our initial collaboration agreement in 2015 with Vertex, which focused on TDT, SCD, cystic fibrosis and select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indications. In December 2017, we entered into a joint development and commercialization agreement with Vertex pursuant to which, among other things, we are co-developing and preparing to co-commercialize CTX001 for TDT and SCD. In April 2021, we and Vertex agreed to amend and restate our existing joint development and commercialization agreement, pursuant to which, among other things, we will continue to develop and prepare to commercialize CTX001 for TDT and SCD in partnership with Vertex. We also entered into a strategic collaboration and license agreement with Vertex in June 2019 for the development and commercialization of products for the treatment of Duchenne muscular dystrophy and myotonic dystrophy type 1.</w:t>
      </w:r>
    </w:p>
    <w:p>
      <w:pPr>
        <w:spacing w:after="0" w:line="162"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i w:val="1"/>
          <w:iCs w:val="1"/>
          <w:color w:val="auto"/>
        </w:rPr>
        <w:t>ViaCyte</w:t>
      </w:r>
      <w:r>
        <w:rPr>
          <w:rFonts w:ascii="Arial" w:cs="Arial" w:eastAsia="Arial" w:hAnsi="Arial"/>
          <w:sz w:val="18"/>
          <w:szCs w:val="18"/>
          <w:color w:val="auto"/>
        </w:rPr>
        <w:t>. We entered into a research and collaboration agreement in September 2018 with ViaCyte to pursue the discovery,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gene-edited allogeneic stem cell therapies for the treatment of diabetes and in July 2021, we entered into a joint development and commercialization agreement with ViaCyte. Under the joint development and commercialization agreement, we and ViaCyte will jointly develop and commercialize product candidates and shared products for use in the treatment of diabetes type 1, diabetes type 2 and insulin dependent/requiring diabetes throughout the world.</w:t>
      </w:r>
    </w:p>
    <w:p>
      <w:pPr>
        <w:spacing w:after="0" w:line="189"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i w:val="1"/>
          <w:iCs w:val="1"/>
          <w:color w:val="auto"/>
        </w:rPr>
        <w:t>Bayer</w:t>
      </w:r>
      <w:r>
        <w:rPr>
          <w:rFonts w:ascii="Arial" w:cs="Arial" w:eastAsia="Arial" w:hAnsi="Arial"/>
          <w:sz w:val="17"/>
          <w:szCs w:val="17"/>
          <w:color w:val="auto"/>
        </w:rPr>
        <w:t>. In the fourth quarter of 2019, we entered into a series of transactions, or the Bayer Transaction, pursuant to which we and Bayer terminated</w:t>
      </w:r>
      <w:r>
        <w:rPr>
          <w:rFonts w:ascii="Arial" w:cs="Arial" w:eastAsia="Arial" w:hAnsi="Arial"/>
          <w:sz w:val="17"/>
          <w:szCs w:val="17"/>
          <w:i w:val="1"/>
          <w:iCs w:val="1"/>
          <w:color w:val="auto"/>
        </w:rPr>
        <w:t xml:space="preserve"> </w:t>
      </w:r>
      <w:r>
        <w:rPr>
          <w:rFonts w:ascii="Arial" w:cs="Arial" w:eastAsia="Arial" w:hAnsi="Arial"/>
          <w:sz w:val="17"/>
          <w:szCs w:val="17"/>
          <w:color w:val="auto"/>
        </w:rPr>
        <w:t>our 2015 agreement, which had created the joint venture, Casebia, to discover, develop and commercialize CRISPR/Cas9 gene-editing therapeutics to treat the genetic causes of bleeding disorders, autoimmune disease, blindness, hearing loss and heart disease. In connection thereto, Casebia became a wholly-owned subsidiary of ours. We and Bayer also entered into a new option agreement pursuant to which Bayer has an option to co-develop and co-commercialize two products for the diagnosis, treatment or prevention of certain autoimmune disorders, eye disorders, or hemophilia A disorders for a specified period of time, or, under certain circumstances, exclusively license such optioned products.</w:t>
      </w:r>
    </w:p>
    <w:p>
      <w:pPr>
        <w:spacing w:after="0" w:line="17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i w:val="1"/>
          <w:iCs w:val="1"/>
          <w:color w:val="auto"/>
        </w:rPr>
        <w:t>Nkarta</w:t>
      </w:r>
      <w:r>
        <w:rPr>
          <w:rFonts w:ascii="Arial" w:cs="Arial" w:eastAsia="Arial" w:hAnsi="Arial"/>
          <w:sz w:val="18"/>
          <w:szCs w:val="18"/>
          <w:color w:val="auto"/>
        </w:rPr>
        <w:t>. In the second quarter of 2021, we entered into a research and collaboration agreement with Nkarta, Inc., or Nkarta, to bring together our</w:t>
      </w:r>
      <w:r>
        <w:rPr>
          <w:rFonts w:ascii="Arial" w:cs="Arial" w:eastAsia="Arial" w:hAnsi="Arial"/>
          <w:sz w:val="18"/>
          <w:szCs w:val="18"/>
          <w:i w:val="1"/>
          <w:iCs w:val="1"/>
          <w:color w:val="auto"/>
        </w:rPr>
        <w:t xml:space="preserve"> </w:t>
      </w:r>
      <w:r>
        <w:rPr>
          <w:rFonts w:ascii="Arial" w:cs="Arial" w:eastAsia="Arial" w:hAnsi="Arial"/>
          <w:sz w:val="18"/>
          <w:szCs w:val="18"/>
          <w:color w:val="auto"/>
        </w:rPr>
        <w:t>gene editing technology and T-cell expertise with Nkarta’s leading natural killer, or NK, cell discovery, development and manufacturing capabilities. Under the collaboration, we and Nkarta are co-developing and co-commercializing two donor-derived, gene-edited CAR-NK cell product candidates, one of which targets CD70, and a product candidate combining NK and T cells.</w:t>
      </w:r>
    </w:p>
    <w:p>
      <w:pPr>
        <w:spacing w:after="0" w:line="188"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i w:val="1"/>
          <w:iCs w:val="1"/>
          <w:color w:val="auto"/>
        </w:rPr>
        <w:t xml:space="preserve">Capsida. </w:t>
      </w:r>
      <w:r>
        <w:rPr>
          <w:rFonts w:ascii="Arial" w:cs="Arial" w:eastAsia="Arial" w:hAnsi="Arial"/>
          <w:sz w:val="17"/>
          <w:szCs w:val="17"/>
          <w:color w:val="auto"/>
        </w:rPr>
        <w:t>In the second quarter of 2021, we entered into a strategic collaboration agreement with Capsida Biotherapeutics, Inc., or Capsida,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develop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editing therapies delivered with engineered AAV vectors for the treatment of ALS and Friedreich’s ataxia. Under the agreement, we lead research and development of the Friedreich’s ataxia program and perform gene-editing activities for both programs, and Capsida leads research and development of the ALS program and conducts capsid engineering for both programs. Capsida’s high-throughput AAV engineering platform aims to generate capsids optimized to target specific tissue types and limits transduction of tissues and cell types that are not relevant to the target disease, potentially improving the activity and tolerability of our gene editing investigational therapies. We and Capsida each have the option to co-develop and co-commercialize the program that the other leads.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For additional information regarding the key terms of these arrangements, please see "Business – Strategic Partnerships and Collaborations".</w:t>
      </w:r>
    </w:p>
    <w:p>
      <w:pPr>
        <w:spacing w:after="0" w:line="32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Financial Overview</w:t>
      </w:r>
    </w:p>
    <w:p>
      <w:pPr>
        <w:spacing w:after="0" w:line="216"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Since our inception in October 2013, we have devoted substantially all of our resources to our research and development efforts, identifying potential product candidates, undertaking drug discovery and preclinical development activities, building and protecting our intellectual property estate, organizing and staffing our company, business planning, raising capital and providing general and administrative support for these operations. To date, we have primarily financed our operations through private placements of our preferred shares, common share issuances, convertible loans and collaboration agreements with strategic partners.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30" w:name="page131"/>
    <w:bookmarkEnd w:id="130"/>
    <w:p>
      <w:pPr>
        <w:ind w:firstLine="509"/>
        <w:spacing w:after="0" w:line="254" w:lineRule="auto"/>
        <w:rPr>
          <w:sz w:val="20"/>
          <w:szCs w:val="20"/>
          <w:color w:val="auto"/>
        </w:rPr>
      </w:pPr>
      <w:r>
        <w:rPr>
          <w:rFonts w:ascii="Arial" w:cs="Arial" w:eastAsia="Arial" w:hAnsi="Arial"/>
          <w:sz w:val="17"/>
          <w:szCs w:val="17"/>
          <w:color w:val="auto"/>
        </w:rPr>
        <w:t>While we were in a net income position in the current and certain previous years due to upfronts associated with our collaborations with Vertex, we have a history of recurring losses and expect to continue to incur losses for the foreseeable future. Our net losses may fluctuate significantly from quarter to quarter and year to year. We anticipate that our expenses will increase significantly as we continue our current research programs and development activities; seek to identify additional research programs and additional product candidates; conduct initial drug application supporting preclinical studies and initiate clinical trials for our product candidates; initiate preclinical testing and clinical trials for any other product candidates we identify and develop; maintain, expand and protect our intellectual property estate; further develop our gene editing platform; hire additional research, clinical and scientific personnel; incur facilities costs associated with such personnel growth; develop manufacturing infrastructure, including regulatory validation activities; and incur additional costs associated with operating as a public company.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31"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We have not generated any revenue to date from product sales and do not expect to do so in the near future. During the years ended December 31, 2021, 2020 and 2019, we recognized $913.1 million, $0.5 million and $289.6 million, respectively, of revenue related to our collaboration agreements with Vertex, as well as certain arrangements with Casebia prior to the Bayer Transaction.</w:t>
      </w:r>
    </w:p>
    <w:p>
      <w:pPr>
        <w:spacing w:after="0" w:line="67"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For the years ended December 31, 2021 and 2020, we generated $1.9 million and $0.2 million, respectively, of grant revenue related to certain contracts with not-for-profit entities. No grant revenue was generated in prior years.</w:t>
      </w:r>
    </w:p>
    <w:p>
      <w:pPr>
        <w:spacing w:after="0" w:line="63"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For additional information about our revenue recognition policy, see Note 2 and Note 9 of the notes to our audited consolidated financial statements included in this Annual Report on Form 10-K.</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product discovery efforts and the development of our product candidates, which include:</w:t>
      </w:r>
    </w:p>
    <w:p>
      <w:pPr>
        <w:spacing w:after="0" w:line="63"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equity-based compensation expense;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of services performed by third parties that conduct research and development and preclinical activities on our behalf;</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costs of purchasing lab supplies and non-capital equipment used in our preclinical activities and in manufacturing preclinical study materials;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consultant fees;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facility costs, including rent, depreciation and maintenance expenses;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and other payments related to acquiring and maintaining licenses under our third-party licensing agreements.</w:t>
      </w:r>
    </w:p>
    <w:p>
      <w:pPr>
        <w:spacing w:after="0" w:line="212"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Research and development costs are expensed as incurred. Nonrefundable advance payments for research and development goods or services to be received in the future are deferred and capitalized. The capitalized amounts are expensed as the related goods are delivered or the services are performed. At this time, we cannot reasonably estimate or know the nature, timing or estimated costs of the efforts that will be necessary to complete the development of any product candidates we may identify and develop. This is due to the numerous risks and uncertainties associated with developing such product candidates, including the uncertainty of:</w:t>
      </w:r>
    </w:p>
    <w:p>
      <w:pPr>
        <w:spacing w:after="0" w:line="81"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successful completion of preclinical studies and IND-enabling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non-patent exclusivity;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launching commercial sales of the product, if and when approved, whether alone or in collaboration with others;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acceptance of the product, if and when approved, by patients, the medical community and third-party payors;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effectively competing with other therapies and treatment options;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enforcing and defending intellectual property and proprietary rights and claims;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achieving desirable medicinal properties for the intended indications.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31" w:name="page132"/>
    <w:bookmarkEnd w:id="131"/>
    <w:p>
      <w:pPr>
        <w:jc w:val="both"/>
        <w:ind w:right="180" w:firstLine="509"/>
        <w:spacing w:after="0" w:line="248" w:lineRule="auto"/>
        <w:rPr>
          <w:sz w:val="20"/>
          <w:szCs w:val="20"/>
          <w:color w:val="auto"/>
        </w:rPr>
      </w:pPr>
      <w:r>
        <w:rPr>
          <w:rFonts w:ascii="Arial" w:cs="Arial" w:eastAsia="Arial" w:hAnsi="Arial"/>
          <w:sz w:val="18"/>
          <w:szCs w:val="18"/>
          <w:color w:val="auto"/>
        </w:rPr>
        <w:t>A change in the outcome of any of these variables with respect to the development of any product candidates or the subsequent commercialization of any product candidates we may successfully develop could significantly change the costs, timing and viability associated with the development of that product candidate.</w:t>
      </w:r>
    </w:p>
    <w:p>
      <w:pPr>
        <w:spacing w:after="0" w:line="182" w:lineRule="exact"/>
        <w:rPr>
          <w:sz w:val="20"/>
          <w:szCs w:val="20"/>
          <w:color w:val="auto"/>
        </w:rPr>
      </w:pPr>
    </w:p>
    <w:p>
      <w:pPr>
        <w:jc w:val="both"/>
        <w:ind w:right="180" w:firstLine="509"/>
        <w:spacing w:after="0" w:line="261" w:lineRule="auto"/>
        <w:rPr>
          <w:sz w:val="20"/>
          <w:szCs w:val="20"/>
          <w:color w:val="auto"/>
        </w:rPr>
      </w:pPr>
      <w:r>
        <w:rPr>
          <w:rFonts w:ascii="Arial" w:cs="Arial" w:eastAsia="Arial" w:hAnsi="Arial"/>
          <w:sz w:val="18"/>
          <w:szCs w:val="18"/>
          <w:color w:val="auto"/>
        </w:rPr>
        <w:t>Except for activities we perform in connection with our collaborations with Vertex and ViaCyte, as well in connection with the Bayer Transaction, we do not track research and development costs on a program-by-program basis.</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Research and development activities are central to our business model. We expect our research and development costs to increase significantly for the foreseeable future as our current development programs progress, new programs are added and as we continue to prepare regulatory filings. These increases will likely include the costs related to the implementation and expansion of clinical trial sites and related patient enrollment, monitoring, program management and manufacturing expenses for current and future clinical trials.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General and administrative expenses consist primarily of employee related expenses, including salaries, benefits and equity-based compensation, for personnel in executive, finance, accounting, business development and human resources functions. Other significant costs include facility costs not otherwise included in research and development expenses, legal fees relating to patent and corporate matters and fees for accounting and consulting services.</w:t>
      </w:r>
    </w:p>
    <w:p>
      <w:pPr>
        <w:spacing w:after="0" w:line="18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We anticipate that our general and administrative expenses will increase in the future to support continued research and development activities, and potential commercialization of our product candidates. In addition, we anticipate increased expenses related to the reimbursements of third-party patent related expenses in connection with certain of our in-licensed intellectual property.</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04"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Other income, net consists primarily of interest income earned on investments, the gain resulting from the consolidation of Casebia following the Bayer Transaction in 2019 and the loss from equity method investment from stock-based compensation awards granted to employees of Casebia, prior to consolidation in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This discussion and analysis of our financial condition and results of operations is based on our financial statements, which we have prepared in accordance with U.S. generally accepted accounting principles. 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1"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While our significant accounting policies are described in more detail in the notes to our financial statements included elsewhere in this Annual Report on Form 10-K, we believe that the following accounting policies are the most critical to aid you in fully understanding and evaluating our financial condition and results of operations.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 xml:space="preserve">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applies to all contracts with customers, except for contracts that are within the scope of other standards, such as leases and collaboration arrangements. To determine revenue recognition for arrangements that an entity determines are within the scope of ASC 606, the entity performs the following five steps:</w:t>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1) Identify the contract with the customer</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A contract with a customer exists when (i) we enter into an enforceable contract with a customer that defines each party’s rights regarding the goods or services to be transferred and identifies the related payment terms, (ii) the contract has commercial substance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32" w:name="page133"/>
    <w:bookmarkEnd w:id="132"/>
    <w:p>
      <w:pPr>
        <w:ind w:right="40"/>
        <w:spacing w:after="0" w:line="261" w:lineRule="auto"/>
        <w:rPr>
          <w:sz w:val="20"/>
          <w:szCs w:val="20"/>
          <w:color w:val="auto"/>
        </w:rPr>
      </w:pPr>
      <w:r>
        <w:rPr>
          <w:rFonts w:ascii="Arial" w:cs="Arial" w:eastAsia="Arial" w:hAnsi="Arial"/>
          <w:sz w:val="18"/>
          <w:szCs w:val="18"/>
          <w:color w:val="auto"/>
        </w:rPr>
        <w:t>and (iii) we determine that collection of substantially all consideration for goods and services that are transferred is probable based on the customer’s intent and ability to pay the promised consideration.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 Identify the performance obligations in the contract</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we must apply judgment to determine whether promised goods and services are capable of being distinct and distinct in the context of the contract. If these criteria are not met, the promised goods and services are accounted for as a combined performance obligation.</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3) Determine the transaction price</w:t>
      </w:r>
    </w:p>
    <w:p>
      <w:pPr>
        <w:spacing w:after="0" w:line="104"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The transaction price is determined based on the consideration to which we will be entitled in exchange for transferring goods and services to the customer. To the extent the transaction price includes variable consideration, such as research, development, regulatory and commercial milestones, we determine if it is probable that we will receive such amounts and there is no risk of a significant revenue reversal. When we cannot conclude that receipt of such amounts is probable, we constrain the related variable consideration resulting in its exclusion from transaction consideration. In determining the portion of the transaction consideration to be constrained, we consider the probability and uncertainty that the related research, developmental, regulatory and commercial milestones will be achieved given the nature of research and clinical development and the stage of the underlying programs. This assessment is performed at each reporting period. In making this evaluation, we consider both internal and external information available, including information from industry publications and other relevant factors. Changes to the constraint of variable consideration can have a material effect on the amount of revenue recognized in the period.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4) Allocate the transaction consideration to performance obligations in the contract</w:t>
      </w:r>
    </w:p>
    <w:p>
      <w:pPr>
        <w:spacing w:after="0" w:line="10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If the contract contains a single performance obligation, the entire transaction consideration is allocated to the single performance obligation. Contracts that contain multiple performance obligations require an allocation of the transaction consideration to each performance obligation on a relative standalone selling price basis unless the transaction consideration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In determining these estimated standalone selling prices, we make a number of significant judgements including, for licenses, management’s assumptions regarding probability weighted projected discounted cash flows for each of the collaboration development programs. The estimated standalone selling prices are sensitive to changes in assumptions, such as probabilities of scientific success, discount rate and certain assumptions that form the basis of forecasted cash flows. In developing these assumptions, management considers both internal and external information available, including information from other guideline companies within the same industry and other relevant factors. Changes to these assumptions can have a material effect on the allocation of the transaction consideration to performance obligations, as well as the amount and timing of revenue recognized.</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5) Recognize revenue when or as we satisfy a performance obligation</w:t>
      </w:r>
    </w:p>
    <w:p>
      <w:pPr>
        <w:spacing w:after="0" w:line="104"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We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Arrangements</w:t>
      </w:r>
    </w:p>
    <w:p>
      <w:pPr>
        <w:spacing w:after="0" w:line="10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 xml:space="preserve">We record the elements of our collaboration agreements that represent joint operating activities in accordance with ASC 808, </w:t>
      </w:r>
      <w:r>
        <w:rPr>
          <w:rFonts w:ascii="Arial" w:cs="Arial" w:eastAsia="Arial" w:hAnsi="Arial"/>
          <w:sz w:val="18"/>
          <w:szCs w:val="18"/>
          <w:i w:val="1"/>
          <w:iCs w:val="1"/>
          <w:color w:val="auto"/>
        </w:rPr>
        <w:t>Collaborative</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arrangements</w:t>
      </w:r>
      <w:r>
        <w:rPr>
          <w:rFonts w:ascii="Arial" w:cs="Arial" w:eastAsia="Arial" w:hAnsi="Arial"/>
          <w:sz w:val="18"/>
          <w:szCs w:val="18"/>
          <w:color w:val="auto"/>
        </w:rPr>
        <w:t>, or ASC 808. Accordingly, the elements of the collaboration agreements that represent activities in which both parties are active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and to which both parties are exposed to the significant risks and rewards that are dependent on the commercial success of the activities, are recorded as collaborative arrangements.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3" w:name="page134"/>
    <w:bookmarkEnd w:id="133"/>
    <w:p>
      <w:pPr>
        <w:ind w:firstLine="509"/>
        <w:spacing w:after="0" w:line="207" w:lineRule="exact"/>
        <w:rPr>
          <w:sz w:val="20"/>
          <w:szCs w:val="20"/>
          <w:color w:val="auto"/>
        </w:rPr>
      </w:pPr>
      <w:r>
        <w:rPr>
          <w:rFonts w:ascii="Arial" w:cs="Arial" w:eastAsia="Arial" w:hAnsi="Arial"/>
          <w:sz w:val="18"/>
          <w:szCs w:val="18"/>
          <w:color w:val="auto"/>
        </w:rPr>
        <w:t>We evaluate the proper presentation of the commercial activities and the pro</w:t>
      </w:r>
      <w:r>
        <w:rPr>
          <w:rFonts w:ascii="Arial Unicode MS" w:cs="Arial Unicode MS" w:eastAsia="Arial Unicode MS" w:hAnsi="Arial Unicode MS"/>
          <w:sz w:val="18"/>
          <w:szCs w:val="18"/>
          <w:color w:val="auto"/>
        </w:rPr>
        <w:t></w:t>
      </w:r>
      <w:r>
        <w:rPr>
          <w:rFonts w:ascii="Arial" w:cs="Arial" w:eastAsia="Arial" w:hAnsi="Arial"/>
          <w:sz w:val="18"/>
          <w:szCs w:val="18"/>
          <w:color w:val="auto"/>
        </w:rPr>
        <w:t>t and loss sharing associated with the collaboration agreements. ASC 808 states that when payments between parties in a collaborative arrangement are not within the scope of other authoritative accounting literature, the income statement classification should be based on the nature of the arrangement, the nature of its business operations and the contractual terms of the arrangement. To the extent that these payments are not within the scope of other authoritative accounting literature, the income statement classification for the payments shall be based on an analogy to authoritative accounting literature or if there is no appropriate analogy, a reasonable, rational, and consistently applied accounting policy election.</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Examples of estimated accrued research and development expenses include fees paid to:</w:t>
      </w:r>
    </w:p>
    <w:p>
      <w:pPr>
        <w:spacing w:after="0" w:line="67"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CROs in connection with 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vendors related to development, manufacturing and distribution of clinical trial materials.</w:t>
      </w:r>
    </w:p>
    <w:p>
      <w:pPr>
        <w:spacing w:after="0" w:line="212"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We base our expenses related to clinical studies on our estimates of the services received and efforts expended pursuant to contracts with multiple CROs that conduct and manage clinical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clinical expense. Payments under some of these contracts depend on factors such as the successful enrollment of subjects and the completion of clinical study milestones. In accruing service fees, we estimate the time period over which services will be performed and the level of effort to be expended in each period and adjust accordingly.</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 xml:space="preserve">We review each legal entity formed by parties related to us to determine whether or not the entity is a variable interest entity, or VIE,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If the entity is a VIE, we assess whether or not we are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we determine that we are the primary beneficiary of a VIE, we treat the VIE as a business combination and consolidate the financial statements of the VIE into our consolidated financial statements at the time that determination is made. On a quarterly basis, we evaluate whether it continues to be the primary beneficiary of any consolidated VIEs. If we determine that we are no longer the primary beneficiary of a consolidated VIE, or no longer have a variable interest in the VIE, we deconsolidate the VIE in the period that the determination is made.</w:t>
      </w:r>
    </w:p>
    <w:p>
      <w:pPr>
        <w:spacing w:after="0" w:line="168"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 xml:space="preserve">If we determine that we are the primary beneficiary of a VIE that meets the definition of a business, we measure the assets, liabilities and non-controlling interests of the newly consolidated entity at fair value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on the date we become the primary beneficiary.</w:t>
      </w:r>
    </w:p>
    <w:p>
      <w:pPr>
        <w:spacing w:after="0" w:line="182"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determined that Casebia was a VIE and concluded that we were not the primary beneficiary of the VIE prior to December 13, 2019. As such, we did not consolidate Casebia’s results into the consolidated financial statements prior to December 13, 2019. Instead, we accounted for our 50% investment in Casebia under the equity method. On December 13, 2019, Casebia became a fully-owned subsidiary of us and, as a result, we consolidated Casebia’s financial results from that date forward.</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0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Our share-based compensation programs grant awards that have included stock options, restricted stock units and restricted stock awards. Grants are awarded to employees and non-employees, including directors.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34" w:name="page135"/>
    <w:bookmarkEnd w:id="134"/>
    <w:p>
      <w:pPr>
        <w:jc w:val="both"/>
        <w:ind w:firstLine="509"/>
        <w:spacing w:after="0" w:line="243" w:lineRule="auto"/>
        <w:rPr>
          <w:sz w:val="20"/>
          <w:szCs w:val="20"/>
          <w:color w:val="auto"/>
        </w:rPr>
      </w:pPr>
      <w:r>
        <w:rPr>
          <w:rFonts w:ascii="Arial" w:cs="Arial" w:eastAsia="Arial" w:hAnsi="Arial"/>
          <w:sz w:val="18"/>
          <w:szCs w:val="18"/>
          <w:color w:val="auto"/>
        </w:rPr>
        <w:t xml:space="preserve">We account for our stock-based compensation awards in accordance with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or ASC 718. ASC 718 requires all stock-based payments to employees and non-employee directors, including grants of employee stock options and restricted stock units and modifications to existing stock options, to be recognized in the consolidated statements of operations and comprehensive loss based on their fair values. We use the Black-Scholes option pricing model to determine the fair value of options granted.</w:t>
      </w:r>
    </w:p>
    <w:p>
      <w:pPr>
        <w:spacing w:after="0" w:line="188"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We account for forfeitures as they occur instead of estimating forfeitures at the time of grant and revising those estimates in subsequent periods if actual forfeitures differ from its estimates. Stock-based compensation expense recognized in the financial statements is based on awards for which performance or service conditions are expected to be satisfied.</w:t>
      </w:r>
    </w:p>
    <w:p>
      <w:pPr>
        <w:spacing w:after="0" w:line="18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Our stock-based awards are subject to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the grant date fair value over the requisite service period using the accelerated attribution method to the extent achievement of the performance condition is probable.</w:t>
      </w:r>
    </w:p>
    <w:p>
      <w:pPr>
        <w:spacing w:after="0" w:line="189"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We expense restricted stock unit awards to employees based on the fair value of the award on a straight-line basis over the associated service period of the award.</w:t>
      </w:r>
    </w:p>
    <w:p>
      <w:pPr>
        <w:spacing w:after="0" w:line="63"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estimate the fair value of our option awards to employees, directors and non-employees using the Black-Scholes option pricing model, which requires the input of subjective assumptions, including (i) the expected stock price volatility, (ii) the calculation of expected term of the award, (iii) the risk-free interest rate and (iv) expected dividends. Due to the lack of complete company-specific historical and implied volatility data for the full expected term of the stock-based awards, we base our estimate of expected volatility on a representative group of publicly traded companies in addition to our own volatility data. For these analyses, we selected companies with comparable characteristics to our own, including enterprise value, risk profiles, position within the industry and with historical share price information sufficient to meet the expected life of the stock-based awards. We compute historical volatility data using the daily closing prices for the selected companies’ shares during the equivalent period of the calculated expected term of the stock-based awards. We will continue to apply this process until a sufficient amount of historical information regarding the volatility of our own stock price becomes available. We have estimated the expected term of our employee stock options using the “simplified” method, whereby, the expected term equals the arithmetic average of the vesting term and the original contractual term of the option due to its lack of sufficient historical data. The risk-free interest rates for periods within the expected term of the option are based on the U.S. Treasury securities with a maturity date commensurate with the expected term of the associated award. We have never paid, and do not expect to pay, dividends in the foreseeable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Refer to Note 2 of the notes to our consolidated financial statements included in this Annual Report on Form 10-K for a discussion of recent accounting pronouncements.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The following is a discussion of the components of results of operations. This section generally discusses 2021 and 2020 items and year-to-year comparisons between 2021 and 2020. Discussions of 2019 items and year-to-year comparisons between 2020 and 2019 that are not included in this Form 10-K can be found in “Management’s Discussion and Analysis of Financial Condition and Results of Operations” Part II, Item 7 of our Annual Report on Form 10-K for the fiscal year ended December 31, 2020 filed on February 16, 2021.</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Comparison of Years Ended December 31, 2021 and 2020</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results of operations for the years ended December 31, 2021 and 2020, together with the dollar change in those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items: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35" w:name="page136"/>
    <w:bookmarkEnd w:id="135"/>
    <w:tbl>
      <w:tblPr>
        <w:tblLayout w:type="fixed"/>
        <w:tblInd w:w="114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jc w:val="right"/>
              <w:ind w:right="581"/>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Period-to-</w:t>
            </w:r>
          </w:p>
        </w:tc>
      </w:tr>
      <w:tr>
        <w:trPr>
          <w:trHeight w:val="169"/>
        </w:trPr>
        <w:tc>
          <w:tcPr>
            <w:tcW w:w="49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Period Change</w:t>
            </w:r>
          </w:p>
        </w:tc>
      </w:tr>
      <w:tr>
        <w:trPr>
          <w:trHeight w:val="169"/>
        </w:trPr>
        <w:tc>
          <w:tcPr>
            <w:tcW w:w="49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Collaboration revenue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913,081</w:t>
            </w:r>
          </w:p>
        </w:tc>
        <w:tc>
          <w:tcPr>
            <w:tcW w:w="2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543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912,538</w:t>
            </w:r>
          </w:p>
        </w:tc>
        <w:tc>
          <w:tcPr>
            <w:tcW w:w="100" w:type="dxa"/>
            <w:vAlign w:val="bottom"/>
          </w:tcPr>
          <w:p>
            <w:pPr>
              <w:spacing w:after="0"/>
              <w:rPr>
                <w:sz w:val="17"/>
                <w:szCs w:val="17"/>
                <w:color w:val="auto"/>
              </w:rPr>
            </w:pPr>
          </w:p>
        </w:tc>
      </w:tr>
      <w:tr>
        <w:trPr>
          <w:trHeight w:val="203"/>
        </w:trPr>
        <w:tc>
          <w:tcPr>
            <w:tcW w:w="49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Grant revenue</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1,882</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spacing w:after="0" w:line="196" w:lineRule="exact"/>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914,963</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914,244</w:t>
            </w:r>
          </w:p>
        </w:tc>
        <w:tc>
          <w:tcPr>
            <w:tcW w:w="100" w:type="dxa"/>
            <w:vAlign w:val="bottom"/>
          </w:tcPr>
          <w:p>
            <w:pPr>
              <w:spacing w:after="0"/>
              <w:rPr>
                <w:sz w:val="17"/>
                <w:szCs w:val="17"/>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438,633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266,946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171,687</w:t>
            </w:r>
          </w:p>
        </w:tc>
        <w:tc>
          <w:tcPr>
            <w:tcW w:w="100" w:type="dxa"/>
            <w:vAlign w:val="bottom"/>
          </w:tcPr>
          <w:p>
            <w:pPr>
              <w:spacing w:after="0"/>
              <w:rPr>
                <w:sz w:val="17"/>
                <w:szCs w:val="17"/>
                <w:color w:val="auto"/>
              </w:rPr>
            </w:pPr>
          </w:p>
        </w:tc>
      </w:tr>
      <w:tr>
        <w:trPr>
          <w:trHeight w:val="203"/>
        </w:trPr>
        <w:tc>
          <w:tcPr>
            <w:tcW w:w="49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102,802</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88,208</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14,594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541,435</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355,154</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186,281</w:t>
            </w:r>
          </w:p>
        </w:tc>
        <w:tc>
          <w:tcPr>
            <w:tcW w:w="100" w:type="dxa"/>
            <w:vAlign w:val="bottom"/>
          </w:tcPr>
          <w:p>
            <w:pPr>
              <w:spacing w:after="0"/>
              <w:rPr>
                <w:sz w:val="17"/>
                <w:szCs w:val="17"/>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373,528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(354,435</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727,963</w:t>
            </w: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6,003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6,379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(376 )</w:t>
            </w:r>
          </w:p>
        </w:tc>
      </w:tr>
      <w:tr>
        <w:trPr>
          <w:trHeight w:val="196"/>
        </w:trPr>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(loss) before income taxes</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379,531</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(348,056</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727,587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40" w:type="dxa"/>
            <w:vAlign w:val="bottom"/>
          </w:tcPr>
          <w:p>
            <w:pPr>
              <w:spacing w:after="0" w:line="196" w:lineRule="exact"/>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7"/>
                <w:szCs w:val="17"/>
                <w:color w:val="auto"/>
              </w:rPr>
            </w:pP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(1,870 )</w:t>
            </w:r>
          </w:p>
        </w:tc>
        <w:tc>
          <w:tcPr>
            <w:tcW w:w="120" w:type="dxa"/>
            <w:vAlign w:val="bottom"/>
          </w:tcPr>
          <w:p>
            <w:pPr>
              <w:spacing w:after="0"/>
              <w:rPr>
                <w:sz w:val="17"/>
                <w:szCs w:val="17"/>
                <w:color w:val="auto"/>
              </w:rPr>
            </w:pPr>
          </w:p>
        </w:tc>
        <w:tc>
          <w:tcPr>
            <w:tcW w:w="126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(809 )</w:t>
            </w:r>
          </w:p>
        </w:tc>
        <w:tc>
          <w:tcPr>
            <w:tcW w:w="100" w:type="dxa"/>
            <w:vAlign w:val="bottom"/>
          </w:tcPr>
          <w:p>
            <w:pPr>
              <w:spacing w:after="0"/>
              <w:rPr>
                <w:sz w:val="17"/>
                <w:szCs w:val="17"/>
                <w:color w:val="auto"/>
              </w:rPr>
            </w:pPr>
          </w:p>
        </w:tc>
        <w:tc>
          <w:tcPr>
            <w:tcW w:w="11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(1,061 )</w:t>
            </w:r>
          </w:p>
        </w:tc>
      </w:tr>
      <w:tr>
        <w:trPr>
          <w:trHeight w:val="236"/>
        </w:trPr>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377,661</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(348,865</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726,526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-1367790</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-1367790</wp:posOffset>
            </wp:positionV>
            <wp:extent cx="6032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-1367790</wp:posOffset>
            </wp:positionV>
            <wp:extent cx="5969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-836295</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-836295</wp:posOffset>
            </wp:positionV>
            <wp:extent cx="603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-836295</wp:posOffset>
            </wp:positionV>
            <wp:extent cx="5969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-296545</wp:posOffset>
            </wp:positionV>
            <wp:extent cx="68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-296545</wp:posOffset>
            </wp:positionV>
            <wp:extent cx="6032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-296545</wp:posOffset>
            </wp:positionV>
            <wp:extent cx="5969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Collaboration Revenue</w:t>
      </w:r>
    </w:p>
    <w:p>
      <w:pPr>
        <w:spacing w:after="0" w:line="131"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Collaboration revenue was $913.1 million for the year ended December 31, 2021, compared to $0.5 million for the year ended December 31, 2020. The increase of $912.6 million was primarily due to a $900.0 million upfront payment in connection with the A&amp;R Vertex JDCA, as well as the achievement of a $12.5 million milestone under the 2019 Collaboration Agreement with Vertex, of which $12.0 million was recorded as revenue in 2021. Refer to Note 9 of the notes to our consolidated financial statements included in this Annual Report on Form 10-K for a description of revenue recognized related to Vertex.</w:t>
      </w:r>
    </w:p>
    <w:p>
      <w:pPr>
        <w:spacing w:after="0" w:line="2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Grant 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Grant revenue was $1.9 million and $0.2 million, respectively, for the years ended December 31, 2021 and 2020.</w:t>
      </w:r>
    </w:p>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were $438.6 million for the year ended December 31, 2021, compared to $266.9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increase of $171.7 million was primarily attributable to the following:</w:t>
      </w:r>
    </w:p>
    <w:p>
      <w:pPr>
        <w:spacing w:after="0" w:line="88"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$93.9 million of increased variable research and development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$32.0 million of increased facility-related expenses;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$47.0 million of increased employee compensation, benefit and other headcount related expenses, of which $24.6 million is increased stock-based compensation expense, primarily due to an increase in headcount to support overall growth; offset by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$5.0 million of incentives and credits.</w:t>
      </w:r>
    </w:p>
    <w:p>
      <w:pPr>
        <w:spacing w:after="0" w:line="32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General and administrative expenses were $102.8 million for the year ended December 31, 2021, compared to $88.2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increase of $14.6 million was primarily attributable to the following:</w:t>
      </w:r>
    </w:p>
    <w:p>
      <w:pPr>
        <w:spacing w:after="0" w:line="88" w:lineRule="exact"/>
        <w:rPr>
          <w:sz w:val="20"/>
          <w:szCs w:val="20"/>
          <w:color w:val="auto"/>
        </w:rPr>
      </w:pPr>
    </w:p>
    <w:p>
      <w:pPr>
        <w:ind w:left="102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$13.5 million of increased employee compensation, benefit and other headcount related expenses, of which $11.8 million is increased stock-based compensation expense, primarily due to an increase in headcount to support overall growth;</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$2.2 million of increased intellectual property costs; offset by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$0.9 million of incentives and credits.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76" w:right="439" w:bottom="1440" w:gutter="0" w:footer="0" w:header="0"/>
        </w:sectPr>
      </w:pPr>
    </w:p>
    <w:bookmarkStart w:id="136" w:name="page137"/>
    <w:bookmarkEnd w:id="136"/>
    <w:p>
      <w:pPr>
        <w:ind w:left="260"/>
        <w:spacing w:after="0"/>
        <w:rPr>
          <w:sz w:val="20"/>
          <w:szCs w:val="20"/>
          <w:color w:val="auto"/>
        </w:rPr>
      </w:pPr>
      <w:r>
        <w:rPr>
          <w:rFonts w:ascii="Arial" w:cs="Arial" w:eastAsia="Arial" w:hAnsi="Arial"/>
          <w:sz w:val="18"/>
          <w:szCs w:val="18"/>
          <w:i w:val="1"/>
          <w:iCs w:val="1"/>
          <w:color w:val="auto"/>
        </w:rPr>
        <w:t>Other income, net</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Other income, net, was $6.0 million for the year ended December 31, 2021, compared to $6.4 million for the year ended December 31, 2020. Other income, net, for the year ended December 31, 2021 consisted primarily of interest income earned on cash, cash equivalents and marketable securities during the year.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Sources of Liquidity</w:t>
      </w:r>
    </w:p>
    <w:p>
      <w:pPr>
        <w:spacing w:after="0" w:line="13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As of December 31, 2021, we had cash, cash equivalents and marketable securities of approximately $2,379.1 million, of which $434.0 million was held outside of the United States.</w:t>
      </w:r>
    </w:p>
    <w:p>
      <w:pPr>
        <w:spacing w:after="0" w:line="157"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With our cash on hand as of December 31, 2021, we expect cash and cash equivalents to be sufficient to fund our current operating plan through at least the next 24 months.</w:t>
      </w:r>
    </w:p>
    <w:p>
      <w:pPr>
        <w:spacing w:after="0" w:line="171" w:lineRule="exact"/>
        <w:rPr>
          <w:sz w:val="20"/>
          <w:szCs w:val="20"/>
          <w:color w:val="auto"/>
        </w:rPr>
      </w:pPr>
    </w:p>
    <w:p>
      <w:pPr>
        <w:ind w:right="140" w:firstLine="509"/>
        <w:spacing w:after="0" w:line="284" w:lineRule="auto"/>
        <w:rPr>
          <w:sz w:val="20"/>
          <w:szCs w:val="20"/>
          <w:color w:val="auto"/>
        </w:rPr>
      </w:pPr>
      <w:r>
        <w:rPr>
          <w:rFonts w:ascii="Arial" w:cs="Arial" w:eastAsia="Arial" w:hAnsi="Arial"/>
          <w:sz w:val="16"/>
          <w:szCs w:val="16"/>
          <w:color w:val="auto"/>
        </w:rPr>
        <w:t>We have predominantly incurred losses and cumulative negative cash flows from operations since our inception, and as of December 31, 2021, we had an accumulated deficit of $195.9 million. We anticipate that we will continue to incur losses for at least the next several years. We expect that our research and development and general and administrative expenses will continue to increase and, as a result, we will need additional capital to fund our operations, which we may raise through public or private equity or debt financings, strategic collaborations, or other sources.</w:t>
      </w:r>
    </w:p>
    <w:p>
      <w:pPr>
        <w:spacing w:after="0" w:line="155"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Since our initial public offering, we have primarily financed our operations through common share issuances and collaboration agreements with strategic partners. Recent sources of equity financing include:</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Public Offerings</w:t>
      </w:r>
    </w:p>
    <w:p>
      <w:pPr>
        <w:spacing w:after="0" w:line="104" w:lineRule="exact"/>
        <w:rPr>
          <w:sz w:val="20"/>
          <w:szCs w:val="20"/>
          <w:color w:val="auto"/>
        </w:rPr>
      </w:pPr>
    </w:p>
    <w:p>
      <w:pPr>
        <w:ind w:left="1020" w:right="20" w:hanging="503"/>
        <w:spacing w:after="0" w:line="243"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November 2019, we sold 4.9 million common shares through an underwritten public offering (inclusive of shares sold pursuant to the exercise of the underwriters’ option to purchase additional shares) at a public offering price of $64.50 per share for aggregate net proceeds of $297.4 million, which were net of equity issuance costs of $17.8 million. Additional equity issuance costs of $3.0 million for stamp taxes were also paid in 2019.</w:t>
      </w:r>
    </w:p>
    <w:p>
      <w:pPr>
        <w:spacing w:after="0" w:line="79" w:lineRule="exact"/>
        <w:rPr>
          <w:rFonts w:ascii="Arial" w:cs="Arial" w:eastAsia="Arial" w:hAnsi="Arial"/>
          <w:sz w:val="18"/>
          <w:szCs w:val="18"/>
          <w:color w:val="auto"/>
        </w:rPr>
      </w:pPr>
    </w:p>
    <w:p>
      <w:pPr>
        <w:ind w:left="1020" w:hanging="503"/>
        <w:spacing w:after="0" w:line="243"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July 2020, we sold 7.4 million common shares through an underwritten public offering (inclusive of shares sold pursuant to the exercise of the underwriters’ option to purchase additional shares) at a public offering price of $70.00 per share for aggregate net proceeds of $489.7 million, which were net of equity issuance costs of $27.6 million. Additional equity issuance costs of $4.9 million for stamp taxes were accrued as of December 31, 2020 and paid in 2021.</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At-the-Market Offerings</w:t>
      </w:r>
    </w:p>
    <w:p>
      <w:pPr>
        <w:spacing w:after="0" w:line="104"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the first quarter of 2019, we began to issue and sell securities under an Open Market Sale Agreement</w:t>
      </w:r>
      <w:r>
        <w:rPr>
          <w:rFonts w:ascii="Arial" w:cs="Arial" w:eastAsia="Arial" w:hAnsi="Arial"/>
          <w:sz w:val="23"/>
          <w:szCs w:val="23"/>
          <w:color w:val="auto"/>
          <w:vertAlign w:val="superscript"/>
        </w:rPr>
        <w:t>SM</w:t>
      </w:r>
      <w:r>
        <w:rPr>
          <w:rFonts w:ascii="Arial" w:cs="Arial" w:eastAsia="Arial" w:hAnsi="Arial"/>
          <w:sz w:val="17"/>
          <w:szCs w:val="17"/>
          <w:color w:val="auto"/>
        </w:rPr>
        <w:t xml:space="preserve"> entered into with Jefferies LLC, or Jefferies, in August 2018 under which we were able to offer and sell, from time to time, common shares having aggregate gross proceeds of up to $125.0 million, or the 2018 ATM. During the year ended December 31, 2019, we issued and sold an aggregate of 2.8 million common shares at an average price of $44.38 per share for aggregate net proceeds of $120.6 million, which were net of equity issuance costs of $4.4 million. In addition, we paid approximately $0.9 million in stamp taxes during the year ended December 31, 2019 and accrued an additional $0.3 million for stamp taxes as of December 31, 2019, which were paid in 2020.</w:t>
      </w:r>
    </w:p>
    <w:p>
      <w:pPr>
        <w:spacing w:after="0" w:line="81" w:lineRule="exact"/>
        <w:rPr>
          <w:rFonts w:ascii="Arial" w:cs="Arial" w:eastAsia="Arial" w:hAnsi="Arial"/>
          <w:sz w:val="17"/>
          <w:szCs w:val="17"/>
          <w:color w:val="auto"/>
        </w:rPr>
      </w:pPr>
    </w:p>
    <w:p>
      <w:pPr>
        <w:ind w:left="1020" w:right="20" w:hanging="503"/>
        <w:spacing w:after="0" w:line="230"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August 2019, we entered into a new Open Market Sale Agreement</w:t>
      </w:r>
      <w:r>
        <w:rPr>
          <w:rFonts w:ascii="Arial" w:cs="Arial" w:eastAsia="Arial" w:hAnsi="Arial"/>
          <w:sz w:val="23"/>
          <w:szCs w:val="23"/>
          <w:color w:val="auto"/>
          <w:vertAlign w:val="superscript"/>
        </w:rPr>
        <w:t>SM</w:t>
      </w:r>
      <w:r>
        <w:rPr>
          <w:rFonts w:ascii="Arial" w:cs="Arial" w:eastAsia="Arial" w:hAnsi="Arial"/>
          <w:sz w:val="17"/>
          <w:szCs w:val="17"/>
          <w:color w:val="auto"/>
        </w:rPr>
        <w:t xml:space="preserve"> with Jefferies under which we are able to offer and sell, from time to time at our sole discretion through Jefferies, as our sales agent, our common shares, or the August 2019 Sales Agreement. In August 2019, we filed a prospectus supplement with the SEC to offer and sell, from time to time, common shares having aggregate gross proceeds of up to $200.0 million, or the 2019 ATM. In connection with our entry into the August 2019 Sales Agreement, our August 2018 Open Market Sale Agreement</w:t>
      </w:r>
      <w:r>
        <w:rPr>
          <w:rFonts w:ascii="Arial" w:cs="Arial" w:eastAsia="Arial" w:hAnsi="Arial"/>
          <w:sz w:val="23"/>
          <w:szCs w:val="23"/>
          <w:color w:val="auto"/>
          <w:vertAlign w:val="superscript"/>
        </w:rPr>
        <w:t>SM</w:t>
      </w:r>
      <w:r>
        <w:rPr>
          <w:rFonts w:ascii="Arial" w:cs="Arial" w:eastAsia="Arial" w:hAnsi="Arial"/>
          <w:sz w:val="17"/>
          <w:szCs w:val="17"/>
          <w:color w:val="auto"/>
        </w:rPr>
        <w:t xml:space="preserve"> with Jefferies was mutually terminated by us and Jefferies. During the year ended December 31, 2020, we issued and sold an aggregate of 2.2 million common shares under the 2019 ATM at an average price of $89.47 per share for aggregate proceeds of $195.5 million, which were net of equity issuance costs of $4.5 million.</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37" w:name="page138"/>
    <w:bookmarkEnd w:id="137"/>
    <w:p>
      <w:pPr>
        <w:ind w:left="1020" w:right="10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December 2020, in connection with the August 2019 Sales Agreement, we filed a prospectus supplement with the SEC to offer and sell from time to time common shares having aggregate gross proceeds of up to $350.0 million, or the 2020 ATM. During the year ended December 31, 2020, we issued and sold an aggregate of 1.8 million common shares under the 2020 ATM at an average price of $169.57 per share for aggregate proceeds of $298.0 million, which were net of equity issuance costs of $4.5 million. Additional equity issuance costs for stamp taxes related to shares sold in 2020 related to the 2019 and 2020 ATM were $4.9 million, of which $4.0 million was accrued as of December 31, 2020 and paid in 2021.</w:t>
      </w:r>
    </w:p>
    <w:p>
      <w:pPr>
        <w:spacing w:after="0" w:line="81" w:lineRule="exact"/>
        <w:rPr>
          <w:rFonts w:ascii="Arial" w:cs="Arial" w:eastAsia="Arial" w:hAnsi="Arial"/>
          <w:sz w:val="18"/>
          <w:szCs w:val="18"/>
          <w:color w:val="auto"/>
        </w:rPr>
      </w:pPr>
    </w:p>
    <w:p>
      <w:pPr>
        <w:ind w:left="1020" w:right="80" w:hanging="503"/>
        <w:spacing w:after="0" w:line="248"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January 2021, we issued and sold under the 2020 ATM an aggregate of 0.3 million common shares at an average price of $162.46 per share with aggregate proceeds of $46.7 million, which were net of equity issuance costs of $0.7 million. An additional $0.5 million of stamp taxes on this amount was paid in 2021.</w:t>
      </w:r>
    </w:p>
    <w:p>
      <w:pPr>
        <w:spacing w:after="0" w:line="73" w:lineRule="exact"/>
        <w:rPr>
          <w:rFonts w:ascii="Arial" w:cs="Arial" w:eastAsia="Arial" w:hAnsi="Arial"/>
          <w:sz w:val="18"/>
          <w:szCs w:val="18"/>
          <w:color w:val="auto"/>
        </w:rPr>
      </w:pPr>
    </w:p>
    <w:p>
      <w:pPr>
        <w:ind w:left="1020" w:right="20" w:hanging="503"/>
        <w:spacing w:after="0" w:line="284"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January 2021, in connection with the August 2019 Sales Agreement, we filed a prospectus supplement with the SEC to offer and sell from time to time common shares having aggregate gross proceeds of up to $600.0 million. As of December 31, 2021, we have issued and sold an aggregate of 1.1 million common shares under the 2021 ATM at an average price of $169.82 per share for aggregate proceeds of $177.8 million, which were net of equity issuance costs of $2.4 million. An additional $1.8 million of stamp taxes on this amount was paid in 2021.</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Cash Flows</w:t>
      </w:r>
    </w:p>
    <w:p>
      <w:pPr>
        <w:spacing w:after="0" w:line="104"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Discussions of 2019 items and year-to-year comparisons between 2020 and 2019 that are not included in this Form 10-K can be found in “Management’s Discussion and Analysis of Financial Condition and Results of Operations” Part II, Item 7 of our Annual Report on Form 10-K for the fiscal year ended December 31, 2020 filed on February 16, 2021.</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each of the periods below:</w:t>
      </w:r>
    </w:p>
    <w:p>
      <w:pPr>
        <w:spacing w:after="0" w:line="200" w:lineRule="exact"/>
        <w:rPr>
          <w:sz w:val="20"/>
          <w:szCs w:val="20"/>
          <w:color w:val="auto"/>
        </w:rPr>
      </w:pPr>
    </w:p>
    <w:p>
      <w:pPr>
        <w:spacing w:after="0" w:line="314"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Years Ended December 31,</w:t>
            </w:r>
          </w:p>
        </w:tc>
      </w:tr>
      <w:tr>
        <w:trPr>
          <w:trHeight w:val="169"/>
        </w:trPr>
        <w:tc>
          <w:tcPr>
            <w:tcW w:w="576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97"/>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w w:val="71"/>
              </w:rPr>
              <w:t>thousands)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538,972</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jc w:val="center"/>
              <w:ind w:right="2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(238,366 )</w:t>
            </w: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7"/>
                <w:szCs w:val="17"/>
                <w:color w:val="auto"/>
              </w:rPr>
            </w:pPr>
          </w:p>
        </w:tc>
        <w:tc>
          <w:tcPr>
            <w:tcW w:w="136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(1,035,430 )</w:t>
            </w:r>
          </w:p>
        </w:tc>
        <w:tc>
          <w:tcPr>
            <w:tcW w:w="42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(541,170 )</w:t>
            </w:r>
          </w:p>
        </w:tc>
      </w:tr>
      <w:tr>
        <w:trPr>
          <w:trHeight w:val="203"/>
        </w:trPr>
        <w:tc>
          <w:tcPr>
            <w:tcW w:w="5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250,945</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1,016,152</w:t>
            </w:r>
          </w:p>
        </w:tc>
        <w:tc>
          <w:tcPr>
            <w:tcW w:w="100" w:type="dxa"/>
            <w:vAlign w:val="bottom"/>
            <w:shd w:val="clear" w:color="auto" w:fill="CFF0FC"/>
          </w:tcPr>
          <w:p>
            <w:pPr>
              <w:spacing w:after="0"/>
              <w:rPr>
                <w:sz w:val="17"/>
                <w:szCs w:val="17"/>
                <w:color w:val="auto"/>
              </w:rPr>
            </w:pPr>
          </w:p>
        </w:tc>
      </w:tr>
      <w:tr>
        <w:trPr>
          <w:trHeight w:val="203"/>
        </w:trPr>
        <w:tc>
          <w:tcPr>
            <w:tcW w:w="576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17"/>
                <w:szCs w:val="17"/>
                <w:color w:val="auto"/>
              </w:rPr>
            </w:pPr>
          </w:p>
        </w:tc>
        <w:tc>
          <w:tcPr>
            <w:tcW w:w="1360" w:type="dxa"/>
            <w:vAlign w:val="bottom"/>
            <w:gridSpan w:val="2"/>
          </w:tcPr>
          <w:p>
            <w:pPr>
              <w:jc w:val="right"/>
              <w:ind w:right="79"/>
              <w:spacing w:after="0" w:line="202" w:lineRule="exact"/>
              <w:rPr>
                <w:sz w:val="20"/>
                <w:szCs w:val="20"/>
                <w:color w:val="auto"/>
              </w:rPr>
            </w:pPr>
            <w:r>
              <w:rPr>
                <w:rFonts w:ascii="Arial" w:cs="Arial" w:eastAsia="Arial" w:hAnsi="Arial"/>
                <w:sz w:val="18"/>
                <w:szCs w:val="18"/>
                <w:color w:val="auto"/>
              </w:rPr>
              <w:t>(11 )</w:t>
            </w:r>
          </w:p>
        </w:tc>
        <w:tc>
          <w:tcPr>
            <w:tcW w:w="4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r>
      <w:tr>
        <w:trPr>
          <w:trHeight w:val="236"/>
        </w:trPr>
        <w:tc>
          <w:tcPr>
            <w:tcW w:w="57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(Decrease) increase in cash and restricted cash</w:t>
            </w: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(245,524</w:t>
            </w:r>
          </w:p>
        </w:tc>
        <w:tc>
          <w:tcPr>
            <w:tcW w:w="240" w:type="dxa"/>
            <w:vAlign w:val="bottom"/>
            <w:tcBorders>
              <w:bottom w:val="single" w:sz="8" w:color="CFF0FC"/>
            </w:tcBorders>
            <w:shd w:val="clear" w:color="auto" w:fill="CFF0FC"/>
          </w:tcPr>
          <w:p>
            <w:pPr>
              <w:jc w:val="right"/>
              <w:ind w:right="79"/>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FF0FC"/>
          </w:tcPr>
          <w:p>
            <w:pPr>
              <w:jc w:val="center"/>
              <w:ind w:right="23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236,656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-25400</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Net cash provided by operating activities was $538.9 million for the year ended December 31, 2021, compared to cash used in operating activities of $238.4 million for the year ended December 31, 2020. The $777.3 million increase in cash provided by operating activities was primarily driven by an increase in net income of $726.5 million, from a net loss of $348.9 million for the year ended December 31, 2020 to net income of $377.7 million for the year ended December 31, 2021. The increase in net income is primarily driven by a $900.0 million upfront payment from Vertex in connection with the A&amp;R Vertex JDCA, which, among other things, granted Vertex an exclusive worldwide license and an additional 10% economic interest in the CTX001 program and the right to control development and commercialization of CTX001, as well as a $12.5 million payment from Vertex related to a milestone under the 2019 Collaboration Agreements which was achieved in the fourth quarter of 2021. Additionally, non-cash expense increased $57.4 million, primarily related to stock-based compensation expense, depreciation and net amortization of premiums and discounts on marketable securities. The increase was offset by increased spending in our clinical and pre-clinical programs and increased payroll and payroll-related expenses to support overall growth.</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right="560" w:firstLine="509"/>
        <w:spacing w:after="0" w:line="248" w:lineRule="auto"/>
        <w:rPr>
          <w:sz w:val="20"/>
          <w:szCs w:val="20"/>
          <w:color w:val="auto"/>
        </w:rPr>
      </w:pPr>
      <w:r>
        <w:rPr>
          <w:rFonts w:ascii="Arial" w:cs="Arial" w:eastAsia="Arial" w:hAnsi="Arial"/>
          <w:sz w:val="18"/>
          <w:szCs w:val="18"/>
          <w:color w:val="auto"/>
        </w:rPr>
        <w:t>Net cash used in investing activities for the year ended December 31, 2021 was $1,035.4 million and consisted of purchases of marketable securities, net of maturities, of $953.7 million, as well as $81.7 million in purchases of property and equipment for use in research and development activities.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8" w:name="page139"/>
    <w:bookmarkEnd w:id="138"/>
    <w:p>
      <w:pPr>
        <w:ind w:left="260"/>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Net cash provided by financing activities for the year ended December 31, 2021 was $250.9 million and consisted of net proceeds of $213.2 million from the issuance of common shares in connection with our 2021 ATM, as well as net proceeds of $37.7 million from stock option exercises and ESPP contributions.</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Funding Requirements</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primary uses of capital are, and we expect will continue to be, research and development activities, compensation and related expenses, laboratory and related supplies, legal and other regulatory expenses, patent prosecution filing and maintenance costs for our licensed intellectual property and general overhead costs, including costs associated with operating as a public company. We expect our expenses to increase compared to prior periods in connection with our ongoing activities, particularly as we continue research and development and preclinical and clinical activities and initiate preclinical studies to support initial drug applications. We also anticipate that we will incur significant capital expenditures as we develop our manufacturing infrastructure and facilities.</w:t>
      </w:r>
    </w:p>
    <w:p>
      <w:pPr>
        <w:spacing w:after="0" w:line="189"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Because our research programs are still in early stages of development and the outcome of these efforts is uncertain, we cannot estimate the actual amounts necessary to successfully complete the development and commercialization of any current or future product candidates, if approved, or whether, or when, we may achieve profitability. Until such time as we can generate substantial product revenues, if ever, we expect to finance our cash needs through a combination of equity financings, debt financings and payments received in connection with our collaboration agreements. We are eligible to earn payments, in each case, on a per-product basis under our collaboration with Vertex. Except for this source of funding, we do not have any committed external source of liquidity. We intend to consider opportunities to raise additional funds through the sale of equity or debt securities when market conditions are favorable to us to do so. However, including as a result of the coronavirus pandemic, the trading prices for our common shares and other biopharmaceutical companies have been highly volatile. As a result, we may face difficulties raising capital through sales of our common shares or such sales may be on unfavorable terms. In addition, a recession, depression or other sustained adverse market event, including resulting from the spread of the coronavirus, could materially and adversely affect our business and the value of our common shares. To the extent that we raise additional capital through the future sale of equity or debt securities, the ownership interests of our shareholders will be diluted, and the terms of these securities may include liquidation or other preferences that adversely affect the rights of our existing shareholders.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Outlook</w:t>
      </w:r>
    </w:p>
    <w:p>
      <w:pPr>
        <w:spacing w:after="0" w:line="320"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auto"/>
        </w:rPr>
        <w:t>Based on our research and development plans and our timing expectations related to the progress of our programs, we expect our existing cash will enable us to fund our operating expenses and capital expenditures for at least the next 24 months without giving effect to any additional proceeds we may receive under our collaboration with Vertex and any other capital raising transactions we may complete. We have based this estimate on assumptions that may prove to be wrong, and we could use our capital resources sooner than we expect. Given our need for additional financing to support the long-term clinical development of our programs, we intend to consider additional financing opportunities when market terms are favorable to us.</w:t>
      </w:r>
    </w:p>
    <w:p>
      <w:pPr>
        <w:spacing w:after="0" w:line="159" w:lineRule="exact"/>
        <w:rPr>
          <w:sz w:val="20"/>
          <w:szCs w:val="20"/>
          <w:color w:val="auto"/>
        </w:rPr>
      </w:pPr>
    </w:p>
    <w:p>
      <w:pPr>
        <w:ind w:right="140" w:firstLine="509"/>
        <w:spacing w:after="0" w:line="253" w:lineRule="auto"/>
        <w:rPr>
          <w:sz w:val="20"/>
          <w:szCs w:val="20"/>
          <w:color w:val="auto"/>
        </w:rPr>
      </w:pPr>
      <w:r>
        <w:rPr>
          <w:rFonts w:ascii="Arial" w:cs="Arial" w:eastAsia="Arial" w:hAnsi="Arial"/>
          <w:sz w:val="17"/>
          <w:szCs w:val="17"/>
          <w:color w:val="auto"/>
        </w:rPr>
        <w:t>Our ability to generate revenue and achieve profitability depends significantly on our success in many areas, including: developing our delivery technologies and our gene-editing technology platform; selecting appropriate product candidates to develop; completing research and preclinical and clinical development of selected product candidates; obtaining regulatory approvals and marketing authorizations for product candidates for which we complete clinical trials; developing a sustainable and scalable manufacturing process for product candidates; launching and commercializing product candidates for which we obtain regulatory approvals and marketing authorizations, either directly or with a collaborator or distributor; obtaining market acceptance of our product candidates, if approved; addressing any competing technological and market developments; negotiating favorable terms in any collaboration, licensing or other arrangements into which we may enter; maintaining good relationships with our collaborators and licensors; maintaining, protecting and expanding our estate of intellectual property rights, including patents, trade secrets and know-how; and attracting, hiring and retaining qualified personnel.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9" w:name="page140"/>
    <w:bookmarkEnd w:id="139"/>
    <w:p>
      <w:pPr>
        <w:ind w:left="260"/>
        <w:spacing w:after="0"/>
        <w:rPr>
          <w:sz w:val="20"/>
          <w:szCs w:val="20"/>
          <w:color w:val="auto"/>
        </w:rPr>
      </w:pPr>
      <w:r>
        <w:rPr>
          <w:rFonts w:ascii="Arial" w:cs="Arial" w:eastAsia="Arial" w:hAnsi="Arial"/>
          <w:sz w:val="18"/>
          <w:szCs w:val="18"/>
          <w:i w:val="1"/>
          <w:iCs w:val="1"/>
          <w:color w:val="auto"/>
        </w:rPr>
        <w:t>Contractual and Other Obligations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lease and sublease obligations</w:t>
      </w:r>
    </w:p>
    <w:p>
      <w:pPr>
        <w:spacing w:after="0" w:line="104" w:lineRule="exact"/>
        <w:rPr>
          <w:sz w:val="20"/>
          <w:szCs w:val="20"/>
          <w:color w:val="auto"/>
        </w:rPr>
      </w:pPr>
    </w:p>
    <w:p>
      <w:pPr>
        <w:ind w:right="300" w:firstLine="509"/>
        <w:spacing w:after="0" w:line="279" w:lineRule="auto"/>
        <w:rPr>
          <w:sz w:val="20"/>
          <w:szCs w:val="20"/>
          <w:color w:val="auto"/>
        </w:rPr>
      </w:pPr>
      <w:r>
        <w:rPr>
          <w:rFonts w:ascii="Arial" w:cs="Arial" w:eastAsia="Arial" w:hAnsi="Arial"/>
          <w:sz w:val="16"/>
          <w:szCs w:val="16"/>
          <w:color w:val="auto"/>
        </w:rPr>
        <w:t>Our operating lease obligations primarily consist of lease payments on our research and office facilities in Cambridge, Massachusetts, as well as lease payments on our cell manufacturing facility in Framingham, Massachusetts, and lease payments on an office and laboratory facility in Boston, Massachusetts, which are described in further detail in Note 7 of our consolidated financial statements included in this Annual Report on Form 10-K. Future contractual payments on operating lease and sublease obligations due within one year of December 31, 2021 are $18.3 million, and future contractual payments on operating lease and sublease obligations due greater than one year from December 31, 2021 are $333.5 million.</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obligations</w:t>
      </w:r>
    </w:p>
    <w:p>
      <w:pPr>
        <w:spacing w:after="0" w:line="212"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Under the Invention Management Agreement signed on December 15, 2016, we are obligated to share costs related to patent maintenance, defense and prosecution for the CRISPR/Cas9 gene-editing intellectual property with California, Vienna and their licensees including Caribou, and Caribou’s licensee Intellia Therapeutics. Such costs are not quantifiable at this time.</w:t>
      </w:r>
    </w:p>
    <w:p>
      <w:pPr>
        <w:spacing w:after="0" w:line="18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In the normal course of business, we enter into agreements with contract research organizations for clinical trials and clinical supply manufacturing and with vendors for pre-clinical research studies and other services and products for operating purposes. These contracts are generally cancelable at any time by us upon less than 180 days’ prior written notice. Certain of these agreements require us to pay milestones to such third parties upon achievement of certain development, regulatory or commercial milestones as further described in Note 8 of our consolidated financial statements included in this Annual Report on Form 10-K. Amounts related to contingent milestone payments are not considered contractual obligations as they are contingent on the successful achievement of certain development, regulatory approval and commercial milestones, which may not be achieved.</w:t>
      </w:r>
    </w:p>
    <w:p>
      <w:pPr>
        <w:spacing w:after="0" w:line="162"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also have obligations to make future payments to third parties that become due and payable on the achievement of certain milestones, including future payments to third parties with whom we have entered into research, development and commercialization agreements. We have not included these commitments on our balance sheet because the achievement and timing of these milestones is not fixed and determinable.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Sensitivity</w:t>
      </w:r>
    </w:p>
    <w:p>
      <w:pPr>
        <w:spacing w:after="0" w:line="11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are exposed to market risk related to changes in interest rates. As of December 31, 2021, we had cash, cash equivalents and marketable securities of $2,379.1 million, primarily invested in U.S. treasury securities and government agency securities, corporate bonds, commercial paper and money market accounts invested in U.S. government agency securities. Due to the conservative nature of these instruments, we do not believe that we have a material exposure to interest rate risk. If interest rates were to increase or decrease by 1%, the fair value of our investment portfolio would increase or decrease by an immaterial amount.</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As a result of our foreign operations, we face exposure to movements in foreign currency exchange rates, primarily the Swiss Franc and British Pound, against the U.S. dollar. The current exposures arise primarily from cash, accounts payable and intercompany receivables and payables. Changes in foreign exchange rates affect our consolidated statement of operations and distort comparisons between periods. To date, foreign currency transaction gains and losses have not been material to our financial statements, and we have not engaged in any foreign currency hedging transactions.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consolidated financial statements required to be filed pursuant to this Item 8 are appended to this report. An index of those financial statements is found in Item 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380" w:firstLine="509"/>
        <w:spacing w:after="0" w:line="257" w:lineRule="auto"/>
        <w:rPr>
          <w:sz w:val="20"/>
          <w:szCs w:val="20"/>
          <w:color w:val="auto"/>
        </w:rPr>
      </w:pPr>
      <w:r>
        <w:rPr>
          <w:rFonts w:ascii="Arial" w:cs="Arial" w:eastAsia="Arial" w:hAnsi="Arial"/>
          <w:sz w:val="17"/>
          <w:szCs w:val="17"/>
          <w:color w:val="auto"/>
        </w:rPr>
        <w:t>Our chief executive officer and chief financial officer, after evaluating the effectiveness of our disclosure controls and procedures (as defined in Rule 13a-15(e) and Rule 15d-15(e) promulgated under the Securities Exchange Act of 1934, as amended) as of the end of the period covered by this Annual Report on Form 10-K, have concluded that, based on such evaluation, our disclosure controls and procedures were effective.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Internal control over financial reporting is defined in Rule 13a-15(f) and Rule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51"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our transactions and dispositions of the assets;</w:t>
      </w:r>
    </w:p>
    <w:p>
      <w:pPr>
        <w:spacing w:after="0" w:line="126" w:lineRule="exact"/>
        <w:rPr>
          <w:rFonts w:ascii="Arial" w:cs="Arial" w:eastAsia="Arial" w:hAnsi="Arial"/>
          <w:sz w:val="16"/>
          <w:szCs w:val="16"/>
          <w:color w:val="auto"/>
        </w:rPr>
      </w:pPr>
    </w:p>
    <w:p>
      <w:pPr>
        <w:ind w:left="1020" w:hanging="503"/>
        <w:spacing w:after="0" w:line="248"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7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5"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Our management assessed the effectiveness of the Company’s internal control over financial reporting as of December 31, 2021. In making this assessment, it used the criteria set forth in the Internal Control—Integrated Framework issued by the Committee of Sponsoring Organizations of the Treadway Commission (2013 framework)(COSO). Based on its assessment, our management has concluded that, as of December 31, 2021, the Company’s internal control over financial reporting is effective based on those criteria.</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independent registered public accounting firm, Ernst &amp; Young LLP, issued an attestation report on our internal control over financial reporting.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below.</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promulgated under the Securities Exchange Act of 1934, during the fourth quarter of 2021 that have materially affected, or are reasonably likely to materially affect, our internal control over financial reporting.</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1" w:name="page142"/>
    <w:bookmarkEnd w:id="141"/>
    <w:p>
      <w:pPr>
        <w:ind w:left="2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CRISPR Therapeutics AG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audited CRISPR Therapeutics AG’s internal control over financial reporting as of December 31, 2021, based on criteria established in Internal Control—Integrated Framework issued by the Committee of Sponsoring Organizations of the Treadway Commission (2013 framework) (the COSO criteria). In our opinion, CRISPR Therapeutics AG (the Company) maintained, in all material respects, effective internal control over financial reporting as of December 31, 2021, based on the COSO criteria.</w:t>
      </w:r>
    </w:p>
    <w:p>
      <w:pPr>
        <w:spacing w:after="0" w:line="1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2021 and 2020, the related consolidated statements of operations and comprehensive income (loss), shareholders’ equity and cash flows for each of the three years in the period ended December 31, 2021, and the related notes and our report dated February 15, 2022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right="20"/>
        <w:spacing w:after="0" w:line="24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jc w:val="both"/>
        <w:spacing w:after="0" w:line="23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ectPr>
          <w:pgSz w:w="11900" w:h="16838" w:orient="portrait"/>
          <w:cols w:equalWidth="0" w:num="1">
            <w:col w:w="10139"/>
          </w:cols>
          <w:pgMar w:left="320" w:top="324" w:right="1440" w:bottom="1440" w:gutter="0" w:footer="0" w:header="0"/>
        </w:sectPr>
      </w:pP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type w:val="continuous"/>
        </w:sectPr>
      </w:pPr>
    </w:p>
    <w:bookmarkStart w:id="144" w:name="page145"/>
    <w:bookmarkEnd w:id="144"/>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2022 Annual General Meeting of Shareholders to be filed with the SEC within 120 days after the end of the fiscal year ended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2022 Annual General Meeting of Shareholders to be filed with the SEC within 120 days after the end of the fiscal year ended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2022 Annual Meeting of Stockholders to be filed with the SEC within 120 days after the end of the fiscal year ended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2022 Annual General Meeting of Shareholders to be filed with the SEC within 120 days after the end of the fiscal year ended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2022 Annual General Meeting of Shareholders to be filed with the SEC within 120 days after the end of the fiscal year ended December 31, 2021.</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24" w:right="439" w:bottom="1440" w:gutter="0" w:footer="0" w:header="0"/>
        </w:sectPr>
      </w:pPr>
    </w:p>
    <w:bookmarkStart w:id="145" w:name="page146"/>
    <w:bookmarkEnd w:id="145"/>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(a)(1) Financial Statements.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the “Index to Consolidated Financial Statements” on page F-1 below for the list of financial statements filed as part of this report.</w:t>
      </w:r>
    </w:p>
    <w:p>
      <w:pPr>
        <w:spacing w:after="0" w:line="212"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Schedules other than that listed above have been omitted because of the absence of conditions under which they are required or because the required information is included in the financial statements or the notes thereto.</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(a)(2) Exhibits.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Exhibit Index below are filed or incorporated by reference as part of this Annual Report on Form 10-K.</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80" w:type="dxa"/>
            <w:vAlign w:val="bottom"/>
            <w:gridSpan w:val="15"/>
          </w:tcPr>
          <w:p>
            <w:pPr>
              <w:jc w:val="center"/>
              <w:ind w:right="3440"/>
              <w:spacing w:after="0"/>
              <w:rPr>
                <w:sz w:val="20"/>
                <w:szCs w:val="20"/>
                <w:color w:val="auto"/>
              </w:rPr>
            </w:pPr>
            <w:r>
              <w:rPr>
                <w:rFonts w:ascii="Arial" w:cs="Arial" w:eastAsia="Arial" w:hAnsi="Arial"/>
                <w:sz w:val="18"/>
                <w:szCs w:val="18"/>
                <w:b w:val="1"/>
                <w:bCs w:val="1"/>
                <w:color w:val="auto"/>
                <w:w w:val="92"/>
              </w:rPr>
              <w:t>Exhibit Index</w:t>
            </w:r>
          </w:p>
        </w:tc>
        <w:tc>
          <w:tcPr>
            <w:tcW w:w="0" w:type="dxa"/>
            <w:vAlign w:val="bottom"/>
          </w:tcPr>
          <w:p>
            <w:pPr>
              <w:spacing w:after="0"/>
              <w:rPr>
                <w:sz w:val="1"/>
                <w:szCs w:val="1"/>
                <w:color w:val="auto"/>
              </w:rPr>
            </w:pPr>
          </w:p>
        </w:tc>
      </w:tr>
      <w:tr>
        <w:trPr>
          <w:trHeight w:val="517"/>
        </w:trPr>
        <w:tc>
          <w:tcPr>
            <w:tcW w:w="108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80" w:type="dxa"/>
            <w:vAlign w:val="bottom"/>
            <w:gridSpan w:val="15"/>
            <w:vMerge w:val="restart"/>
          </w:tcPr>
          <w:p>
            <w:pPr>
              <w:ind w:left="2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880" w:type="dxa"/>
            <w:vAlign w:val="bottom"/>
            <w:tcBorders>
              <w:bottom w:val="single" w:sz="8" w:color="auto"/>
            </w:tcBorders>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6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0060" w:type="dxa"/>
            <w:vAlign w:val="bottom"/>
            <w:gridSpan w:val="18"/>
          </w:tcPr>
          <w:p>
            <w:pPr>
              <w:spacing w:after="0"/>
              <w:rPr>
                <w:rFonts w:ascii="Arial" w:cs="Arial" w:eastAsia="Arial" w:hAnsi="Arial"/>
                <w:sz w:val="18"/>
                <w:szCs w:val="18"/>
                <w:color w:val="auto"/>
                <w:w w:val="93"/>
              </w:rPr>
            </w:pPr>
            <w:hyperlink r:id="rId203">
              <w:r>
                <w:rPr>
                  <w:rFonts w:ascii="Arial" w:cs="Arial" w:eastAsia="Arial" w:hAnsi="Arial"/>
                  <w:sz w:val="18"/>
                  <w:szCs w:val="18"/>
                  <w:color w:val="auto"/>
                  <w:w w:val="93"/>
                </w:rPr>
                <w:t>Amended and Restated Articles of Association of CRISPR Therapeutics AG, dated June 10, 2021 (incorporated herein by reference to</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596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auto"/>
                <w:w w:val="91"/>
              </w:rPr>
            </w:pPr>
            <w:hyperlink r:id="rId203">
              <w:r>
                <w:rPr>
                  <w:rFonts w:ascii="Arial" w:cs="Arial" w:eastAsia="Arial" w:hAnsi="Arial"/>
                  <w:sz w:val="18"/>
                  <w:szCs w:val="18"/>
                  <w:color w:val="auto"/>
                  <w:w w:val="91"/>
                </w:rPr>
                <w:t>Exhibit 3.1 to the Company's Current Report on Form 8-K filed on June 14, 2021).</w:t>
              </w:r>
            </w:hyperlink>
          </w:p>
        </w:tc>
        <w:tc>
          <w:tcPr>
            <w:tcW w:w="3740" w:type="dxa"/>
            <w:vAlign w:val="bottom"/>
            <w:tcBorders>
              <w:top w:val="single" w:sz="8" w:color="0000EE"/>
            </w:tcBorders>
            <w:gridSpan w:val="6"/>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2140" w:type="dxa"/>
            <w:vAlign w:val="bottom"/>
            <w:tcBorders>
              <w:bottom w:val="single" w:sz="8" w:color="0000EE"/>
            </w:tcBorders>
            <w:gridSpan w:val="2"/>
          </w:tcPr>
          <w:p>
            <w:pPr>
              <w:spacing w:after="0"/>
              <w:rPr>
                <w:rFonts w:ascii="Arial" w:cs="Arial" w:eastAsia="Arial" w:hAnsi="Arial"/>
                <w:sz w:val="18"/>
                <w:szCs w:val="18"/>
                <w:color w:val="auto"/>
                <w:w w:val="90"/>
              </w:rPr>
            </w:pPr>
            <w:hyperlink w:anchor="page187">
              <w:r>
                <w:rPr>
                  <w:rFonts w:ascii="Arial" w:cs="Arial" w:eastAsia="Arial" w:hAnsi="Arial"/>
                  <w:sz w:val="18"/>
                  <w:szCs w:val="18"/>
                  <w:color w:val="auto"/>
                  <w:w w:val="90"/>
                </w:rPr>
                <w:t>Description of Capital Shares</w:t>
              </w:r>
            </w:hyperlink>
          </w:p>
        </w:tc>
        <w:tc>
          <w:tcPr>
            <w:tcW w:w="792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2"/>
                <w:szCs w:val="22"/>
                <w:color w:val="auto"/>
              </w:rPr>
            </w:pPr>
          </w:p>
        </w:tc>
        <w:tc>
          <w:tcPr>
            <w:tcW w:w="10060" w:type="dxa"/>
            <w:vAlign w:val="bottom"/>
            <w:gridSpan w:val="18"/>
          </w:tcPr>
          <w:p>
            <w:pPr>
              <w:spacing w:after="0"/>
              <w:rPr>
                <w:rFonts w:ascii="Arial" w:cs="Arial" w:eastAsia="Arial" w:hAnsi="Arial"/>
                <w:sz w:val="18"/>
                <w:szCs w:val="18"/>
                <w:color w:val="auto"/>
                <w:w w:val="93"/>
              </w:rPr>
            </w:pPr>
            <w:hyperlink r:id="rId204">
              <w:r>
                <w:rPr>
                  <w:rFonts w:ascii="Arial" w:cs="Arial" w:eastAsia="Arial" w:hAnsi="Arial"/>
                  <w:sz w:val="18"/>
                  <w:szCs w:val="18"/>
                  <w:color w:val="auto"/>
                  <w:w w:val="93"/>
                </w:rPr>
                <w:t>License Agreement, dated April 15, 2014, by and between CRISPR Therapeutics AG and Emmanuelle Marie Charpentier (incorporated</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EE"/>
            </w:tcBorders>
            <w:gridSpan w:val="11"/>
          </w:tcPr>
          <w:p>
            <w:pPr>
              <w:spacing w:after="0" w:line="156" w:lineRule="exact"/>
              <w:rPr>
                <w:rFonts w:ascii="Arial" w:cs="Arial" w:eastAsia="Arial" w:hAnsi="Arial"/>
                <w:sz w:val="18"/>
                <w:szCs w:val="18"/>
                <w:color w:val="auto"/>
              </w:rPr>
            </w:pPr>
            <w:hyperlink r:id="rId204">
              <w:r>
                <w:rPr>
                  <w:rFonts w:ascii="Arial" w:cs="Arial" w:eastAsia="Arial" w:hAnsi="Arial"/>
                  <w:sz w:val="18"/>
                  <w:szCs w:val="18"/>
                  <w:color w:val="auto"/>
                </w:rPr>
                <w:t>herein by reference to Exhibit 10.5 to the Company’s Registration Statement on Form S-1 filed on October 7, 2016).</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5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2"/>
                <w:szCs w:val="22"/>
                <w:color w:val="auto"/>
              </w:rPr>
            </w:pPr>
          </w:p>
        </w:tc>
        <w:tc>
          <w:tcPr>
            <w:tcW w:w="10060" w:type="dxa"/>
            <w:vAlign w:val="bottom"/>
            <w:gridSpan w:val="18"/>
          </w:tcPr>
          <w:p>
            <w:pPr>
              <w:spacing w:after="0"/>
              <w:rPr>
                <w:rFonts w:ascii="Arial" w:cs="Arial" w:eastAsia="Arial" w:hAnsi="Arial"/>
                <w:sz w:val="18"/>
                <w:szCs w:val="18"/>
                <w:color w:val="auto"/>
              </w:rPr>
            </w:pPr>
            <w:hyperlink r:id="rId205">
              <w:r>
                <w:rPr>
                  <w:rFonts w:ascii="Arial" w:cs="Arial" w:eastAsia="Arial" w:hAnsi="Arial"/>
                  <w:sz w:val="18"/>
                  <w:szCs w:val="18"/>
                  <w:color w:val="auto"/>
                </w:rPr>
                <w:t>License Agreement, dated April 15, 2014, by and between TRACR Hematology Limited and Emmanuelle Marie Charpentier</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5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40" w:type="dxa"/>
            <w:vAlign w:val="bottom"/>
            <w:gridSpan w:val="17"/>
          </w:tcPr>
          <w:p>
            <w:pPr>
              <w:spacing w:after="0" w:line="156" w:lineRule="exact"/>
              <w:rPr>
                <w:rFonts w:ascii="Arial" w:cs="Arial" w:eastAsia="Arial" w:hAnsi="Arial"/>
                <w:sz w:val="18"/>
                <w:szCs w:val="18"/>
                <w:color w:val="auto"/>
                <w:w w:val="97"/>
              </w:rPr>
            </w:pPr>
            <w:hyperlink r:id="rId205">
              <w:r>
                <w:rPr>
                  <w:rFonts w:ascii="Arial" w:cs="Arial" w:eastAsia="Arial" w:hAnsi="Arial"/>
                  <w:sz w:val="18"/>
                  <w:szCs w:val="18"/>
                  <w:color w:val="auto"/>
                  <w:w w:val="97"/>
                </w:rPr>
                <w:t>(incorporated herein by reference to Exhibit 10.6 to the Company’s Registration Statement on Form S-1 filed on October 7, 2016).</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5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10060" w:type="dxa"/>
            <w:vAlign w:val="bottom"/>
            <w:gridSpan w:val="18"/>
          </w:tcPr>
          <w:p>
            <w:pPr>
              <w:spacing w:after="0"/>
              <w:rPr>
                <w:rFonts w:ascii="Arial" w:cs="Arial" w:eastAsia="Arial" w:hAnsi="Arial"/>
                <w:sz w:val="18"/>
                <w:szCs w:val="18"/>
                <w:color w:val="auto"/>
                <w:w w:val="91"/>
              </w:rPr>
            </w:pPr>
            <w:hyperlink r:id="rId206">
              <w:r>
                <w:rPr>
                  <w:rFonts w:ascii="Arial" w:cs="Arial" w:eastAsia="Arial" w:hAnsi="Arial"/>
                  <w:sz w:val="18"/>
                  <w:szCs w:val="18"/>
                  <w:color w:val="auto"/>
                  <w:w w:val="91"/>
                </w:rPr>
                <w:t>Patent Assignment Agreement, dated November 7, 2014, by and between CRISPR Therapeutics AG, Emmanuelle Marie Charpentier, the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EE"/>
              <w:bottom w:val="single" w:sz="8" w:color="0000EE"/>
            </w:tcBorders>
            <w:gridSpan w:val="13"/>
          </w:tcPr>
          <w:p>
            <w:pPr>
              <w:spacing w:after="0" w:line="156" w:lineRule="exact"/>
              <w:rPr>
                <w:rFonts w:ascii="Arial" w:cs="Arial" w:eastAsia="Arial" w:hAnsi="Arial"/>
                <w:sz w:val="18"/>
                <w:szCs w:val="18"/>
                <w:color w:val="auto"/>
                <w:w w:val="90"/>
              </w:rPr>
            </w:pPr>
            <w:hyperlink r:id="rId206">
              <w:r>
                <w:rPr>
                  <w:rFonts w:ascii="Arial" w:cs="Arial" w:eastAsia="Arial" w:hAnsi="Arial"/>
                  <w:sz w:val="18"/>
                  <w:szCs w:val="18"/>
                  <w:color w:val="auto"/>
                  <w:w w:val="90"/>
                </w:rPr>
                <w:t>University of Vienna and Ines Fonfara (incorporated herein by reference to Exhibit 10.7 to the Company’s Registration Statement on Form</w:t>
              </w:r>
            </w:hyperlink>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160" w:type="dxa"/>
            <w:vAlign w:val="bottom"/>
            <w:tcBorders>
              <w:bottom w:val="single" w:sz="8" w:color="0000EE"/>
            </w:tcBorders>
            <w:gridSpan w:val="2"/>
          </w:tcPr>
          <w:p>
            <w:pPr>
              <w:spacing w:after="0" w:line="156" w:lineRule="exact"/>
              <w:rPr>
                <w:rFonts w:ascii="Arial" w:cs="Arial" w:eastAsia="Arial" w:hAnsi="Arial"/>
                <w:sz w:val="18"/>
                <w:szCs w:val="18"/>
                <w:color w:val="auto"/>
                <w:w w:val="90"/>
              </w:rPr>
            </w:pPr>
            <w:hyperlink r:id="rId206">
              <w:r>
                <w:rPr>
                  <w:rFonts w:ascii="Arial" w:cs="Arial" w:eastAsia="Arial" w:hAnsi="Arial"/>
                  <w:sz w:val="18"/>
                  <w:szCs w:val="18"/>
                  <w:color w:val="auto"/>
                  <w:w w:val="90"/>
                </w:rPr>
                <w:t>S-1 filed on October 7, 2016).</w:t>
              </w:r>
            </w:hyperlink>
          </w:p>
        </w:tc>
        <w:tc>
          <w:tcPr>
            <w:tcW w:w="786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10060" w:type="dxa"/>
            <w:vAlign w:val="bottom"/>
            <w:gridSpan w:val="18"/>
          </w:tcPr>
          <w:p>
            <w:pPr>
              <w:spacing w:after="0"/>
              <w:rPr>
                <w:rFonts w:ascii="Arial" w:cs="Arial" w:eastAsia="Arial" w:hAnsi="Arial"/>
                <w:sz w:val="18"/>
                <w:szCs w:val="18"/>
                <w:color w:val="auto"/>
                <w:w w:val="93"/>
              </w:rPr>
            </w:pPr>
            <w:hyperlink r:id="rId207">
              <w:r>
                <w:rPr>
                  <w:rFonts w:ascii="Arial" w:cs="Arial" w:eastAsia="Arial" w:hAnsi="Arial"/>
                  <w:sz w:val="18"/>
                  <w:szCs w:val="18"/>
                  <w:color w:val="auto"/>
                  <w:w w:val="93"/>
                </w:rPr>
                <w:t>Form of Indemnification Agreement (incorporated herein by reference to Exhibit 10.8 to the Company’s Registration Statement on Form</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16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auto"/>
                <w:w w:val="90"/>
              </w:rPr>
            </w:pPr>
            <w:hyperlink r:id="rId207">
              <w:r>
                <w:rPr>
                  <w:rFonts w:ascii="Arial" w:cs="Arial" w:eastAsia="Arial" w:hAnsi="Arial"/>
                  <w:sz w:val="18"/>
                  <w:szCs w:val="18"/>
                  <w:color w:val="auto"/>
                  <w:w w:val="90"/>
                </w:rPr>
                <w:t>S-1 filed on October 7, 2016).</w:t>
              </w:r>
            </w:hyperlink>
          </w:p>
        </w:tc>
        <w:tc>
          <w:tcPr>
            <w:tcW w:w="7720" w:type="dxa"/>
            <w:vAlign w:val="bottom"/>
            <w:tcBorders>
              <w:top w:val="single" w:sz="8" w:color="0000EE"/>
            </w:tcBorders>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8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10060" w:type="dxa"/>
            <w:vAlign w:val="bottom"/>
            <w:gridSpan w:val="18"/>
          </w:tcPr>
          <w:p>
            <w:pPr>
              <w:spacing w:after="0"/>
              <w:rPr>
                <w:rFonts w:ascii="Arial" w:cs="Arial" w:eastAsia="Arial" w:hAnsi="Arial"/>
                <w:sz w:val="18"/>
                <w:szCs w:val="18"/>
                <w:color w:val="auto"/>
                <w:w w:val="91"/>
              </w:rPr>
            </w:pPr>
            <w:hyperlink r:id="rId208">
              <w:r>
                <w:rPr>
                  <w:rFonts w:ascii="Arial" w:cs="Arial" w:eastAsia="Arial" w:hAnsi="Arial"/>
                  <w:sz w:val="18"/>
                  <w:szCs w:val="18"/>
                  <w:color w:val="auto"/>
                  <w:w w:val="91"/>
                </w:rPr>
                <w:t>Employment Agreement, dated December 1, 2017, by and between CRISPR Therapeutics AG and Rodger Novak (incorporated herein by</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EE"/>
            </w:tcBorders>
            <w:gridSpan w:val="14"/>
          </w:tcPr>
          <w:p>
            <w:pPr>
              <w:spacing w:after="0" w:line="156" w:lineRule="exact"/>
              <w:rPr>
                <w:rFonts w:ascii="Arial" w:cs="Arial" w:eastAsia="Arial" w:hAnsi="Arial"/>
                <w:sz w:val="18"/>
                <w:szCs w:val="18"/>
                <w:color w:val="auto"/>
              </w:rPr>
            </w:pPr>
            <w:hyperlink r:id="rId208">
              <w:r>
                <w:rPr>
                  <w:rFonts w:ascii="Arial" w:cs="Arial" w:eastAsia="Arial" w:hAnsi="Arial"/>
                  <w:sz w:val="18"/>
                  <w:szCs w:val="18"/>
                  <w:color w:val="auto"/>
                </w:rPr>
                <w:t>reference to Exhibit 10.2 to the Company’s Current Report on Form 8-K filed on December 21, 2017).</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80" w:type="dxa"/>
            <w:vAlign w:val="bottom"/>
            <w:gridSpan w:val="5"/>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tcPr>
          <w:p>
            <w:pPr>
              <w:ind w:left="2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10060" w:type="dxa"/>
            <w:vAlign w:val="bottom"/>
            <w:gridSpan w:val="18"/>
          </w:tcPr>
          <w:p>
            <w:pPr>
              <w:spacing w:after="0"/>
              <w:rPr>
                <w:rFonts w:ascii="Arial" w:cs="Arial" w:eastAsia="Arial" w:hAnsi="Arial"/>
                <w:sz w:val="18"/>
                <w:szCs w:val="18"/>
                <w:color w:val="auto"/>
                <w:w w:val="94"/>
              </w:rPr>
            </w:pPr>
            <w:hyperlink r:id="rId209">
              <w:r>
                <w:rPr>
                  <w:rFonts w:ascii="Arial" w:cs="Arial" w:eastAsia="Arial" w:hAnsi="Arial"/>
                  <w:sz w:val="18"/>
                  <w:szCs w:val="18"/>
                  <w:color w:val="auto"/>
                  <w:w w:val="94"/>
                </w:rPr>
                <w:t>Mandate Agreement, dated December 27, 2019, by and between CRISPR Therapeutics AG and Oriolus Consulting LLC (incorporated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EE"/>
            </w:tcBorders>
            <w:gridSpan w:val="10"/>
          </w:tcPr>
          <w:p>
            <w:pPr>
              <w:spacing w:after="0" w:line="156" w:lineRule="exact"/>
              <w:rPr>
                <w:rFonts w:ascii="Arial" w:cs="Arial" w:eastAsia="Arial" w:hAnsi="Arial"/>
                <w:sz w:val="18"/>
                <w:szCs w:val="18"/>
                <w:color w:val="auto"/>
              </w:rPr>
            </w:pPr>
            <w:hyperlink r:id="rId209">
              <w:r>
                <w:rPr>
                  <w:rFonts w:ascii="Arial" w:cs="Arial" w:eastAsia="Arial" w:hAnsi="Arial"/>
                  <w:sz w:val="18"/>
                  <w:szCs w:val="18"/>
                  <w:color w:val="auto"/>
                </w:rPr>
                <w:t>herein by reference to Exhibit 10.1 to the Company’s Current Report on Form 8-K filed on December 27, 2019).</w:t>
              </w:r>
            </w:hyperlink>
          </w:p>
        </w:tc>
        <w:tc>
          <w:tcPr>
            <w:tcW w:w="26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80" w:type="dxa"/>
            <w:vAlign w:val="bottom"/>
            <w:gridSpan w:val="5"/>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2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tcPr>
          <w:p>
            <w:pPr>
              <w:ind w:lef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2"/>
                <w:szCs w:val="22"/>
                <w:color w:val="auto"/>
              </w:rPr>
            </w:pPr>
          </w:p>
        </w:tc>
        <w:tc>
          <w:tcPr>
            <w:tcW w:w="10060" w:type="dxa"/>
            <w:vAlign w:val="bottom"/>
            <w:gridSpan w:val="18"/>
          </w:tcPr>
          <w:p>
            <w:pPr>
              <w:spacing w:after="0"/>
              <w:rPr>
                <w:rFonts w:ascii="Arial" w:cs="Arial" w:eastAsia="Arial" w:hAnsi="Arial"/>
                <w:sz w:val="18"/>
                <w:szCs w:val="18"/>
                <w:color w:val="auto"/>
                <w:w w:val="91"/>
              </w:rPr>
            </w:pPr>
            <w:hyperlink r:id="rId210">
              <w:r>
                <w:rPr>
                  <w:rFonts w:ascii="Arial" w:cs="Arial" w:eastAsia="Arial" w:hAnsi="Arial"/>
                  <w:sz w:val="18"/>
                  <w:szCs w:val="18"/>
                  <w:color w:val="auto"/>
                  <w:w w:val="91"/>
                </w:rPr>
                <w:t>Termination Agreement, dated December 27, 2019, by and between CRISPR Therapeutics AG and Rodger Novak (incorporated herein by</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EE"/>
            </w:tcBorders>
            <w:gridSpan w:val="15"/>
          </w:tcPr>
          <w:p>
            <w:pPr>
              <w:spacing w:after="0" w:line="156" w:lineRule="exact"/>
              <w:rPr>
                <w:rFonts w:ascii="Arial" w:cs="Arial" w:eastAsia="Arial" w:hAnsi="Arial"/>
                <w:sz w:val="18"/>
                <w:szCs w:val="18"/>
                <w:color w:val="auto"/>
              </w:rPr>
            </w:pPr>
            <w:hyperlink r:id="rId210">
              <w:r>
                <w:rPr>
                  <w:rFonts w:ascii="Arial" w:cs="Arial" w:eastAsia="Arial" w:hAnsi="Arial"/>
                  <w:sz w:val="18"/>
                  <w:szCs w:val="18"/>
                  <w:color w:val="auto"/>
                </w:rPr>
                <w:t>reference to Exhibit 10.2 to the Company’s Current Report on Form 8-K filed on December 27, 2019).</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736"/>
        </w:trPr>
        <w:tc>
          <w:tcPr>
            <w:tcW w:w="10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5960" w:type="dxa"/>
            <w:vAlign w:val="bottom"/>
            <w:tcBorders>
              <w:top w:val="single" w:sz="8" w:color="0000EE"/>
            </w:tcBorders>
            <w:gridSpan w:val="3"/>
          </w:tcPr>
          <w:p>
            <w:pPr>
              <w:jc w:val="right"/>
              <w:ind w:right="1339"/>
              <w:spacing w:after="0"/>
              <w:rPr>
                <w:sz w:val="20"/>
                <w:szCs w:val="20"/>
                <w:color w:val="auto"/>
              </w:rPr>
            </w:pPr>
            <w:r>
              <w:rPr>
                <w:rFonts w:ascii="Arial" w:cs="Arial" w:eastAsia="Arial" w:hAnsi="Arial"/>
                <w:sz w:val="18"/>
                <w:szCs w:val="18"/>
                <w:color w:val="auto"/>
              </w:rPr>
              <w:t>140</w:t>
            </w:r>
          </w:p>
        </w:tc>
        <w:tc>
          <w:tcPr>
            <w:tcW w:w="14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1200" w:type="dxa"/>
            <w:vAlign w:val="bottom"/>
          </w:tcPr>
          <w:p>
            <w:pPr>
              <w:ind w:left="20"/>
              <w:spacing w:after="0"/>
              <w:rPr>
                <w:sz w:val="20"/>
                <w:szCs w:val="20"/>
                <w:color w:val="auto"/>
              </w:rPr>
            </w:pPr>
            <w:r>
              <w:rPr>
                <w:rFonts w:ascii="Arial" w:cs="Arial" w:eastAsia="Arial" w:hAnsi="Arial"/>
                <w:sz w:val="18"/>
                <w:szCs w:val="18"/>
                <w:color w:val="auto"/>
              </w:rPr>
              <w:t>10.8#</w:t>
            </w:r>
          </w:p>
        </w:tc>
        <w:tc>
          <w:tcPr>
            <w:tcW w:w="10180" w:type="dxa"/>
            <w:vAlign w:val="bottom"/>
            <w:gridSpan w:val="36"/>
          </w:tcPr>
          <w:p>
            <w:pPr>
              <w:spacing w:after="0"/>
              <w:rPr>
                <w:rFonts w:ascii="Arial" w:cs="Arial" w:eastAsia="Arial" w:hAnsi="Arial"/>
                <w:sz w:val="18"/>
                <w:szCs w:val="18"/>
                <w:color w:val="auto"/>
                <w:w w:val="91"/>
              </w:rPr>
            </w:pPr>
            <w:hyperlink r:id="rId213">
              <w:r>
                <w:rPr>
                  <w:rFonts w:ascii="Arial" w:cs="Arial" w:eastAsia="Arial" w:hAnsi="Arial"/>
                  <w:sz w:val="18"/>
                  <w:szCs w:val="18"/>
                  <w:color w:val="auto"/>
                  <w:w w:val="91"/>
                </w:rPr>
                <w:t>Second Amended and Restated Employment Agreement, dated October 2, 2017, by and between CRISPR Therapeutics, Inc. and Samarth</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9540" w:type="dxa"/>
            <w:vAlign w:val="bottom"/>
            <w:tcBorders>
              <w:top w:val="single" w:sz="8" w:color="0000EE"/>
              <w:bottom w:val="single" w:sz="8" w:color="0000EE"/>
            </w:tcBorders>
            <w:gridSpan w:val="15"/>
          </w:tcPr>
          <w:p>
            <w:pPr>
              <w:spacing w:after="0" w:line="156" w:lineRule="exact"/>
              <w:rPr>
                <w:rFonts w:ascii="Arial" w:cs="Arial" w:eastAsia="Arial" w:hAnsi="Arial"/>
                <w:sz w:val="18"/>
                <w:szCs w:val="18"/>
                <w:color w:val="auto"/>
                <w:w w:val="91"/>
              </w:rPr>
            </w:pPr>
            <w:hyperlink r:id="rId213">
              <w:r>
                <w:rPr>
                  <w:rFonts w:ascii="Arial" w:cs="Arial" w:eastAsia="Arial" w:hAnsi="Arial"/>
                  <w:sz w:val="18"/>
                  <w:szCs w:val="18"/>
                  <w:color w:val="auto"/>
                  <w:w w:val="91"/>
                </w:rPr>
                <w:t>Kulkarni (incorporated herein by reference to Exhibit 10.1 to the Company’s Current Report on Form 8-K filed on October 2, 2017).</w:t>
              </w:r>
            </w:hyperlink>
          </w:p>
        </w:tc>
        <w:tc>
          <w:tcPr>
            <w:tcW w:w="440" w:type="dxa"/>
            <w:vAlign w:val="bottom"/>
            <w:tcBorders>
              <w:top w:val="single" w:sz="8" w:color="0000EE"/>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10.9#</w:t>
            </w:r>
          </w:p>
        </w:tc>
        <w:tc>
          <w:tcPr>
            <w:tcW w:w="10180" w:type="dxa"/>
            <w:vAlign w:val="bottom"/>
            <w:gridSpan w:val="36"/>
          </w:tcPr>
          <w:p>
            <w:pPr>
              <w:spacing w:after="0"/>
              <w:rPr>
                <w:rFonts w:ascii="Arial" w:cs="Arial" w:eastAsia="Arial" w:hAnsi="Arial"/>
                <w:sz w:val="18"/>
                <w:szCs w:val="18"/>
                <w:color w:val="auto"/>
                <w:w w:val="92"/>
              </w:rPr>
            </w:pPr>
            <w:hyperlink r:id="rId214">
              <w:r>
                <w:rPr>
                  <w:rFonts w:ascii="Arial" w:cs="Arial" w:eastAsia="Arial" w:hAnsi="Arial"/>
                  <w:sz w:val="18"/>
                  <w:szCs w:val="18"/>
                  <w:color w:val="auto"/>
                  <w:w w:val="92"/>
                </w:rPr>
                <w:t>Employment Agreement, dated May 31, 2017, by and between CRISPR Therapeutics, Inc. and James R. Kasinger (incorporated herein by</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18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auto"/>
                <w:w w:val="91"/>
              </w:rPr>
            </w:pPr>
            <w:hyperlink r:id="rId214">
              <w:r>
                <w:rPr>
                  <w:rFonts w:ascii="Arial" w:cs="Arial" w:eastAsia="Arial" w:hAnsi="Arial"/>
                  <w:sz w:val="18"/>
                  <w:szCs w:val="18"/>
                  <w:color w:val="auto"/>
                  <w:w w:val="91"/>
                </w:rPr>
                <w:t>reference to Exhibit 10.16 to the Company’s Annual Report on Form 10-K filed on March 8, 2018).</w:t>
              </w:r>
            </w:hyperlink>
          </w:p>
        </w:tc>
        <w:tc>
          <w:tcPr>
            <w:tcW w:w="2860" w:type="dxa"/>
            <w:vAlign w:val="bottom"/>
            <w:tcBorders>
              <w:top w:val="single" w:sz="8" w:color="0000EE"/>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10.10#</w:t>
            </w:r>
          </w:p>
        </w:tc>
        <w:tc>
          <w:tcPr>
            <w:tcW w:w="10180" w:type="dxa"/>
            <w:vAlign w:val="bottom"/>
            <w:gridSpan w:val="36"/>
          </w:tcPr>
          <w:p>
            <w:pPr>
              <w:spacing w:after="0"/>
              <w:rPr>
                <w:rFonts w:ascii="Arial" w:cs="Arial" w:eastAsia="Arial" w:hAnsi="Arial"/>
                <w:sz w:val="18"/>
                <w:szCs w:val="18"/>
                <w:color w:val="auto"/>
                <w:w w:val="92"/>
              </w:rPr>
            </w:pPr>
            <w:hyperlink r:id="rId215">
              <w:r>
                <w:rPr>
                  <w:rFonts w:ascii="Arial" w:cs="Arial" w:eastAsia="Arial" w:hAnsi="Arial"/>
                  <w:sz w:val="18"/>
                  <w:szCs w:val="18"/>
                  <w:color w:val="auto"/>
                  <w:w w:val="92"/>
                </w:rPr>
                <w:t>Employment Agreement, dated January 2, 2019, by and between CRISPR Therapeutics, Inc. and Lawrence Klein (incorporated herein by</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60" w:type="dxa"/>
            <w:vAlign w:val="bottom"/>
            <w:tcBorders>
              <w:top w:val="single" w:sz="8" w:color="0000EE"/>
            </w:tcBorders>
            <w:gridSpan w:val="25"/>
          </w:tcPr>
          <w:p>
            <w:pPr>
              <w:spacing w:after="0" w:line="156" w:lineRule="exact"/>
              <w:rPr>
                <w:rFonts w:ascii="Arial" w:cs="Arial" w:eastAsia="Arial" w:hAnsi="Arial"/>
                <w:sz w:val="18"/>
                <w:szCs w:val="18"/>
                <w:color w:val="auto"/>
              </w:rPr>
            </w:pPr>
            <w:hyperlink r:id="rId215">
              <w:r>
                <w:rPr>
                  <w:rFonts w:ascii="Arial" w:cs="Arial" w:eastAsia="Arial" w:hAnsi="Arial"/>
                  <w:sz w:val="18"/>
                  <w:szCs w:val="18"/>
                  <w:color w:val="auto"/>
                </w:rPr>
                <w:t>reference to Exhibit 10.16 to the Company’s Annual Report on Form 10-K filed on February 25,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10.11#</w:t>
            </w:r>
          </w:p>
        </w:tc>
        <w:tc>
          <w:tcPr>
            <w:tcW w:w="10180" w:type="dxa"/>
            <w:vAlign w:val="bottom"/>
            <w:gridSpan w:val="36"/>
          </w:tcPr>
          <w:p>
            <w:pPr>
              <w:spacing w:after="0"/>
              <w:rPr>
                <w:rFonts w:ascii="Arial" w:cs="Arial" w:eastAsia="Arial" w:hAnsi="Arial"/>
                <w:sz w:val="18"/>
                <w:szCs w:val="18"/>
                <w:color w:val="auto"/>
                <w:w w:val="92"/>
              </w:rPr>
            </w:pPr>
            <w:hyperlink r:id="rId216">
              <w:r>
                <w:rPr>
                  <w:rFonts w:ascii="Arial" w:cs="Arial" w:eastAsia="Arial" w:hAnsi="Arial"/>
                  <w:sz w:val="18"/>
                  <w:szCs w:val="18"/>
                  <w:color w:val="auto"/>
                  <w:w w:val="92"/>
                </w:rPr>
                <w:t>Employment Agreement, dated October 14, 2021, by and between CRISPR Therapeutics, Inc. and Brendan Smith (incorporated herein by</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220" w:type="dxa"/>
            <w:vAlign w:val="bottom"/>
            <w:tcBorders>
              <w:top w:val="single" w:sz="8" w:color="0000EE"/>
              <w:bottom w:val="single" w:sz="8" w:color="0000EE"/>
            </w:tcBorders>
            <w:gridSpan w:val="10"/>
          </w:tcPr>
          <w:p>
            <w:pPr>
              <w:spacing w:after="0" w:line="156" w:lineRule="exact"/>
              <w:rPr>
                <w:rFonts w:ascii="Arial" w:cs="Arial" w:eastAsia="Arial" w:hAnsi="Arial"/>
                <w:sz w:val="18"/>
                <w:szCs w:val="18"/>
                <w:color w:val="auto"/>
                <w:w w:val="91"/>
              </w:rPr>
            </w:pPr>
            <w:hyperlink r:id="rId216">
              <w:r>
                <w:rPr>
                  <w:rFonts w:ascii="Arial" w:cs="Arial" w:eastAsia="Arial" w:hAnsi="Arial"/>
                  <w:sz w:val="18"/>
                  <w:szCs w:val="18"/>
                  <w:color w:val="auto"/>
                  <w:w w:val="91"/>
                </w:rPr>
                <w:t>reference to Exhibit 10.1 to the Company’s Current Report on Form 8-K filed on October 14, 2021).</w:t>
              </w:r>
            </w:hyperlink>
          </w:p>
        </w:tc>
        <w:tc>
          <w:tcPr>
            <w:tcW w:w="2800" w:type="dxa"/>
            <w:vAlign w:val="bottom"/>
            <w:tcBorders>
              <w:top w:val="single" w:sz="8" w:color="0000EE"/>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10.12#</w:t>
            </w:r>
          </w:p>
        </w:tc>
        <w:tc>
          <w:tcPr>
            <w:tcW w:w="10180" w:type="dxa"/>
            <w:vAlign w:val="bottom"/>
            <w:gridSpan w:val="36"/>
          </w:tcPr>
          <w:p>
            <w:pPr>
              <w:spacing w:after="0"/>
              <w:rPr>
                <w:rFonts w:ascii="Arial" w:cs="Arial" w:eastAsia="Arial" w:hAnsi="Arial"/>
                <w:sz w:val="18"/>
                <w:szCs w:val="18"/>
                <w:color w:val="auto"/>
                <w:w w:val="92"/>
              </w:rPr>
            </w:pPr>
            <w:hyperlink r:id="rId217">
              <w:r>
                <w:rPr>
                  <w:rFonts w:ascii="Arial" w:cs="Arial" w:eastAsia="Arial" w:hAnsi="Arial"/>
                  <w:sz w:val="18"/>
                  <w:szCs w:val="18"/>
                  <w:color w:val="auto"/>
                  <w:w w:val="92"/>
                </w:rPr>
                <w:t>Senior Executive Cash Incentive Bonus Plan (incorporated herein by reference to Exhibit 10.26 to the Company’s Annual Report on Form</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tcBorders>
              <w:top w:val="single" w:sz="8" w:color="0000EE"/>
            </w:tcBorders>
            <w:gridSpan w:val="32"/>
          </w:tcPr>
          <w:p>
            <w:pPr>
              <w:spacing w:after="0" w:line="156" w:lineRule="exact"/>
              <w:rPr>
                <w:rFonts w:ascii="Arial" w:cs="Arial" w:eastAsia="Arial" w:hAnsi="Arial"/>
                <w:sz w:val="18"/>
                <w:szCs w:val="18"/>
                <w:color w:val="auto"/>
              </w:rPr>
            </w:pPr>
            <w:hyperlink r:id="rId217">
              <w:r>
                <w:rPr>
                  <w:rFonts w:ascii="Arial" w:cs="Arial" w:eastAsia="Arial" w:hAnsi="Arial"/>
                  <w:sz w:val="18"/>
                  <w:szCs w:val="18"/>
                  <w:color w:val="auto"/>
                </w:rPr>
                <w:t>10-K filed on March 8,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10.13#</w:t>
            </w:r>
          </w:p>
        </w:tc>
        <w:tc>
          <w:tcPr>
            <w:tcW w:w="10180" w:type="dxa"/>
            <w:vAlign w:val="bottom"/>
            <w:gridSpan w:val="36"/>
          </w:tcPr>
          <w:p>
            <w:pPr>
              <w:spacing w:after="0"/>
              <w:rPr>
                <w:rFonts w:ascii="Arial" w:cs="Arial" w:eastAsia="Arial" w:hAnsi="Arial"/>
                <w:sz w:val="18"/>
                <w:szCs w:val="18"/>
                <w:color w:val="auto"/>
                <w:w w:val="98"/>
              </w:rPr>
            </w:pPr>
            <w:hyperlink r:id="rId218">
              <w:r>
                <w:rPr>
                  <w:rFonts w:ascii="Arial" w:cs="Arial" w:eastAsia="Arial" w:hAnsi="Arial"/>
                  <w:sz w:val="18"/>
                  <w:szCs w:val="18"/>
                  <w:color w:val="auto"/>
                  <w:w w:val="98"/>
                </w:rPr>
                <w:t>CRISPR Therapeutics AG 2015 Stock Option and Grant Plan (incorporated herein by reference to Exhibit 10.14 to the Company’s</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70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auto"/>
                <w:w w:val="89"/>
              </w:rPr>
            </w:pPr>
            <w:hyperlink r:id="rId218">
              <w:r>
                <w:rPr>
                  <w:rFonts w:ascii="Arial" w:cs="Arial" w:eastAsia="Arial" w:hAnsi="Arial"/>
                  <w:sz w:val="18"/>
                  <w:szCs w:val="18"/>
                  <w:color w:val="auto"/>
                  <w:w w:val="89"/>
                </w:rPr>
                <w:t>Registration Statement on Form S-1 filed on September 9, 2016).</w:t>
              </w:r>
            </w:hyperlink>
          </w:p>
        </w:tc>
        <w:tc>
          <w:tcPr>
            <w:tcW w:w="4740" w:type="dxa"/>
            <w:vAlign w:val="bottom"/>
            <w:tcBorders>
              <w:top w:val="single" w:sz="8" w:color="0000EE"/>
            </w:tcBorders>
            <w:gridSpan w:val="7"/>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10.14#</w:t>
            </w:r>
          </w:p>
        </w:tc>
        <w:tc>
          <w:tcPr>
            <w:tcW w:w="10180" w:type="dxa"/>
            <w:vAlign w:val="bottom"/>
            <w:gridSpan w:val="36"/>
          </w:tcPr>
          <w:p>
            <w:pPr>
              <w:spacing w:after="0"/>
              <w:rPr>
                <w:rFonts w:ascii="Arial" w:cs="Arial" w:eastAsia="Arial" w:hAnsi="Arial"/>
                <w:sz w:val="18"/>
                <w:szCs w:val="18"/>
                <w:color w:val="auto"/>
                <w:w w:val="92"/>
              </w:rPr>
            </w:pPr>
            <w:hyperlink r:id="rId219">
              <w:r>
                <w:rPr>
                  <w:rFonts w:ascii="Arial" w:cs="Arial" w:eastAsia="Arial" w:hAnsi="Arial"/>
                  <w:sz w:val="18"/>
                  <w:szCs w:val="18"/>
                  <w:color w:val="auto"/>
                  <w:w w:val="92"/>
                </w:rPr>
                <w:t>CRISPR Therapeutics AG Amended and Restated 2016 Stock Option and Incentive Plan (incorporated herein by reference to Exhibit 10.1</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504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auto"/>
                <w:w w:val="90"/>
              </w:rPr>
            </w:pPr>
            <w:hyperlink r:id="rId219">
              <w:r>
                <w:rPr>
                  <w:rFonts w:ascii="Arial" w:cs="Arial" w:eastAsia="Arial" w:hAnsi="Arial"/>
                  <w:sz w:val="18"/>
                  <w:szCs w:val="18"/>
                  <w:color w:val="auto"/>
                  <w:w w:val="90"/>
                </w:rPr>
                <w:t>to the Company’s Current Report on Form 8-K filed on June 2, 2017).</w:t>
              </w:r>
            </w:hyperlink>
          </w:p>
        </w:tc>
        <w:tc>
          <w:tcPr>
            <w:tcW w:w="5080" w:type="dxa"/>
            <w:vAlign w:val="bottom"/>
            <w:tcBorders>
              <w:top w:val="single" w:sz="8" w:color="0000EE"/>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10.14.1#</w:t>
            </w:r>
          </w:p>
        </w:tc>
        <w:tc>
          <w:tcPr>
            <w:tcW w:w="10180" w:type="dxa"/>
            <w:vAlign w:val="bottom"/>
            <w:gridSpan w:val="36"/>
          </w:tcPr>
          <w:p>
            <w:pPr>
              <w:spacing w:after="0"/>
              <w:rPr>
                <w:rFonts w:ascii="Arial" w:cs="Arial" w:eastAsia="Arial" w:hAnsi="Arial"/>
                <w:sz w:val="18"/>
                <w:szCs w:val="18"/>
                <w:color w:val="auto"/>
                <w:w w:val="94"/>
              </w:rPr>
            </w:pPr>
            <w:hyperlink r:id="rId220">
              <w:r>
                <w:rPr>
                  <w:rFonts w:ascii="Arial" w:cs="Arial" w:eastAsia="Arial" w:hAnsi="Arial"/>
                  <w:sz w:val="18"/>
                  <w:szCs w:val="18"/>
                  <w:color w:val="auto"/>
                  <w:w w:val="94"/>
                </w:rPr>
                <w:t>Form of Incentive Stock Option Agreement under CRISPR Therapeutics AG’s Amended and Restated 2016 Stock Option and Incentive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EE"/>
            </w:tcBorders>
            <w:gridSpan w:val="20"/>
          </w:tcPr>
          <w:p>
            <w:pPr>
              <w:spacing w:after="0" w:line="156" w:lineRule="exact"/>
              <w:rPr>
                <w:rFonts w:ascii="Arial" w:cs="Arial" w:eastAsia="Arial" w:hAnsi="Arial"/>
                <w:sz w:val="18"/>
                <w:szCs w:val="18"/>
                <w:color w:val="auto"/>
                <w:w w:val="94"/>
              </w:rPr>
            </w:pPr>
            <w:hyperlink r:id="rId220">
              <w:r>
                <w:rPr>
                  <w:rFonts w:ascii="Arial" w:cs="Arial" w:eastAsia="Arial" w:hAnsi="Arial"/>
                  <w:sz w:val="18"/>
                  <w:szCs w:val="18"/>
                  <w:color w:val="auto"/>
                  <w:w w:val="94"/>
                </w:rPr>
                <w:t>Plan (incorporated herein by reference to Exhibit 10.2 to the Company’s Current Report on Form 10-Q filed on November 8,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60" w:type="dxa"/>
            <w:vAlign w:val="bottom"/>
            <w:gridSpan w:val="4"/>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10.14.2#</w:t>
            </w:r>
          </w:p>
        </w:tc>
        <w:tc>
          <w:tcPr>
            <w:tcW w:w="10180" w:type="dxa"/>
            <w:vAlign w:val="bottom"/>
            <w:gridSpan w:val="36"/>
          </w:tcPr>
          <w:p>
            <w:pPr>
              <w:spacing w:after="0"/>
              <w:rPr>
                <w:rFonts w:ascii="Arial" w:cs="Arial" w:eastAsia="Arial" w:hAnsi="Arial"/>
                <w:sz w:val="18"/>
                <w:szCs w:val="18"/>
                <w:color w:val="auto"/>
                <w:w w:val="92"/>
              </w:rPr>
            </w:pPr>
            <w:hyperlink r:id="rId221">
              <w:r>
                <w:rPr>
                  <w:rFonts w:ascii="Arial" w:cs="Arial" w:eastAsia="Arial" w:hAnsi="Arial"/>
                  <w:sz w:val="18"/>
                  <w:szCs w:val="18"/>
                  <w:color w:val="auto"/>
                  <w:w w:val="92"/>
                </w:rPr>
                <w:t>Form of Non-Qualified Stock Option Agreement for Company Employees under CRISPR Therapeutics AG’s Amended and Restated 2016</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tcBorders>
              <w:top w:val="single" w:sz="8" w:color="0000EE"/>
            </w:tcBorders>
            <w:gridSpan w:val="34"/>
          </w:tcPr>
          <w:p>
            <w:pPr>
              <w:spacing w:after="0" w:line="156" w:lineRule="exact"/>
              <w:rPr>
                <w:rFonts w:ascii="Arial" w:cs="Arial" w:eastAsia="Arial" w:hAnsi="Arial"/>
                <w:sz w:val="18"/>
                <w:szCs w:val="18"/>
                <w:color w:val="auto"/>
                <w:w w:val="94"/>
              </w:rPr>
            </w:pPr>
            <w:hyperlink r:id="rId221">
              <w:r>
                <w:rPr>
                  <w:rFonts w:ascii="Arial" w:cs="Arial" w:eastAsia="Arial" w:hAnsi="Arial"/>
                  <w:sz w:val="18"/>
                  <w:szCs w:val="18"/>
                  <w:color w:val="auto"/>
                  <w:w w:val="94"/>
                </w:rPr>
                <w:t>Stock Option and Incentive Plan (incorporated herein by reference to Exhibit 10.3 to the Company’s Current Report on Form 10-Q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EE"/>
            </w:tcBorders>
            <w:gridSpan w:val="19"/>
          </w:tcPr>
          <w:p>
            <w:pPr>
              <w:spacing w:after="0" w:line="156" w:lineRule="exact"/>
              <w:rPr>
                <w:rFonts w:ascii="Arial" w:cs="Arial" w:eastAsia="Arial" w:hAnsi="Arial"/>
                <w:sz w:val="18"/>
                <w:szCs w:val="18"/>
                <w:color w:val="auto"/>
              </w:rPr>
            </w:pPr>
            <w:hyperlink r:id="rId221">
              <w:r>
                <w:rPr>
                  <w:rFonts w:ascii="Arial" w:cs="Arial" w:eastAsia="Arial" w:hAnsi="Arial"/>
                  <w:sz w:val="18"/>
                  <w:szCs w:val="18"/>
                  <w:color w:val="auto"/>
                </w:rPr>
                <w:t>on November 8,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60" w:type="dxa"/>
            <w:vAlign w:val="bottom"/>
            <w:gridSpan w:val="4"/>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10.14.3#</w:t>
            </w:r>
          </w:p>
        </w:tc>
        <w:tc>
          <w:tcPr>
            <w:tcW w:w="10180" w:type="dxa"/>
            <w:vAlign w:val="bottom"/>
            <w:gridSpan w:val="36"/>
          </w:tcPr>
          <w:p>
            <w:pPr>
              <w:spacing w:after="0"/>
              <w:rPr>
                <w:rFonts w:ascii="Arial" w:cs="Arial" w:eastAsia="Arial" w:hAnsi="Arial"/>
                <w:sz w:val="18"/>
                <w:szCs w:val="18"/>
                <w:color w:val="auto"/>
                <w:w w:val="94"/>
              </w:rPr>
            </w:pPr>
            <w:hyperlink r:id="rId222">
              <w:r>
                <w:rPr>
                  <w:rFonts w:ascii="Arial" w:cs="Arial" w:eastAsia="Arial" w:hAnsi="Arial"/>
                  <w:sz w:val="18"/>
                  <w:szCs w:val="18"/>
                  <w:color w:val="auto"/>
                  <w:w w:val="94"/>
                </w:rPr>
                <w:t>Form of Non-Qualified Stock Option Agreement for Non-Employee Directors under CRISPR Therapeutics AG’s Amended and Restated</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EE"/>
            </w:tcBorders>
            <w:gridSpan w:val="24"/>
          </w:tcPr>
          <w:p>
            <w:pPr>
              <w:spacing w:after="0" w:line="156" w:lineRule="exact"/>
              <w:rPr>
                <w:rFonts w:ascii="Arial" w:cs="Arial" w:eastAsia="Arial" w:hAnsi="Arial"/>
                <w:sz w:val="18"/>
                <w:szCs w:val="18"/>
                <w:color w:val="auto"/>
                <w:w w:val="92"/>
              </w:rPr>
            </w:pPr>
            <w:hyperlink r:id="rId222">
              <w:r>
                <w:rPr>
                  <w:rFonts w:ascii="Arial" w:cs="Arial" w:eastAsia="Arial" w:hAnsi="Arial"/>
                  <w:sz w:val="18"/>
                  <w:szCs w:val="18"/>
                  <w:color w:val="auto"/>
                  <w:w w:val="92"/>
                </w:rPr>
                <w:t>2016 Stock Option and Incentive Plan (incorporated herein by reference to Exhibit 10.4 to the Company’s Current Report on Form 10-Q</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4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auto"/>
                <w:w w:val="90"/>
              </w:rPr>
            </w:pPr>
            <w:hyperlink r:id="rId222">
              <w:r>
                <w:rPr>
                  <w:rFonts w:ascii="Arial" w:cs="Arial" w:eastAsia="Arial" w:hAnsi="Arial"/>
                  <w:sz w:val="18"/>
                  <w:szCs w:val="18"/>
                  <w:color w:val="auto"/>
                  <w:w w:val="90"/>
                </w:rPr>
                <w:t>filed on November 8, 2017).</w:t>
              </w:r>
            </w:hyperlink>
          </w:p>
        </w:tc>
        <w:tc>
          <w:tcPr>
            <w:tcW w:w="7840" w:type="dxa"/>
            <w:vAlign w:val="bottom"/>
            <w:tcBorders>
              <w:top w:val="single" w:sz="8" w:color="0000EE"/>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10.14.4#</w:t>
            </w:r>
          </w:p>
        </w:tc>
        <w:tc>
          <w:tcPr>
            <w:tcW w:w="10180" w:type="dxa"/>
            <w:vAlign w:val="bottom"/>
            <w:gridSpan w:val="36"/>
          </w:tcPr>
          <w:p>
            <w:pPr>
              <w:spacing w:after="0"/>
              <w:rPr>
                <w:rFonts w:ascii="Arial" w:cs="Arial" w:eastAsia="Arial" w:hAnsi="Arial"/>
                <w:sz w:val="18"/>
                <w:szCs w:val="18"/>
                <w:color w:val="auto"/>
                <w:w w:val="93"/>
              </w:rPr>
            </w:pPr>
            <w:hyperlink r:id="rId223">
              <w:r>
                <w:rPr>
                  <w:rFonts w:ascii="Arial" w:cs="Arial" w:eastAsia="Arial" w:hAnsi="Arial"/>
                  <w:sz w:val="18"/>
                  <w:szCs w:val="18"/>
                  <w:color w:val="auto"/>
                  <w:w w:val="93"/>
                </w:rPr>
                <w:t>Form of Restricted Stock Award Agreement under CRISPR Therapeutics AG’s Amended and Restated 2016 Stock Option and Incentive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EE"/>
            </w:tcBorders>
            <w:gridSpan w:val="22"/>
          </w:tcPr>
          <w:p>
            <w:pPr>
              <w:spacing w:after="0" w:line="156" w:lineRule="exact"/>
              <w:rPr>
                <w:rFonts w:ascii="Arial" w:cs="Arial" w:eastAsia="Arial" w:hAnsi="Arial"/>
                <w:sz w:val="18"/>
                <w:szCs w:val="18"/>
                <w:color w:val="auto"/>
                <w:w w:val="95"/>
              </w:rPr>
            </w:pPr>
            <w:hyperlink r:id="rId223">
              <w:r>
                <w:rPr>
                  <w:rFonts w:ascii="Arial" w:cs="Arial" w:eastAsia="Arial" w:hAnsi="Arial"/>
                  <w:sz w:val="18"/>
                  <w:szCs w:val="18"/>
                  <w:color w:val="auto"/>
                  <w:w w:val="95"/>
                </w:rPr>
                <w:t>Plan (incorporated herein by reference to Exhibit 10.5 to the Company’s Current Report on Form 10-Q filed on November 8, 2017).</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20" w:type="dxa"/>
            <w:vAlign w:val="bottom"/>
            <w:gridSpan w:val="6"/>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10.14.5#</w:t>
            </w:r>
          </w:p>
        </w:tc>
        <w:tc>
          <w:tcPr>
            <w:tcW w:w="10180" w:type="dxa"/>
            <w:vAlign w:val="bottom"/>
            <w:gridSpan w:val="36"/>
          </w:tcPr>
          <w:p>
            <w:pPr>
              <w:spacing w:after="0"/>
              <w:rPr>
                <w:rFonts w:ascii="Arial" w:cs="Arial" w:eastAsia="Arial" w:hAnsi="Arial"/>
                <w:sz w:val="18"/>
                <w:szCs w:val="18"/>
                <w:color w:val="auto"/>
                <w:w w:val="95"/>
              </w:rPr>
            </w:pPr>
            <w:hyperlink r:id="rId224">
              <w:r>
                <w:rPr>
                  <w:rFonts w:ascii="Arial" w:cs="Arial" w:eastAsia="Arial" w:hAnsi="Arial"/>
                  <w:sz w:val="18"/>
                  <w:szCs w:val="18"/>
                  <w:color w:val="auto"/>
                  <w:w w:val="95"/>
                </w:rPr>
                <w:t>Form of Restricted Stock Award Agreement for Company Employees under CRISPR Therapeutics AG’s Amended and Restated 2016</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20" w:type="dxa"/>
            <w:vAlign w:val="bottom"/>
            <w:gridSpan w:val="6"/>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160" w:type="dxa"/>
            <w:vAlign w:val="bottom"/>
            <w:gridSpan w:val="35"/>
          </w:tcPr>
          <w:p>
            <w:pPr>
              <w:spacing w:after="0" w:line="156" w:lineRule="exact"/>
              <w:rPr>
                <w:rFonts w:ascii="Arial" w:cs="Arial" w:eastAsia="Arial" w:hAnsi="Arial"/>
                <w:sz w:val="18"/>
                <w:szCs w:val="18"/>
                <w:color w:val="auto"/>
                <w:w w:val="94"/>
              </w:rPr>
            </w:pPr>
            <w:hyperlink r:id="rId224">
              <w:r>
                <w:rPr>
                  <w:rFonts w:ascii="Arial" w:cs="Arial" w:eastAsia="Arial" w:hAnsi="Arial"/>
                  <w:sz w:val="18"/>
                  <w:szCs w:val="18"/>
                  <w:color w:val="auto"/>
                  <w:w w:val="94"/>
                </w:rPr>
                <w:t>Stock Option and Incentive Plan (incorporated herein by reference to Exhibit 10.6 to the Company’s Current Report on Form 10-Q filed</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EE"/>
            </w:tcBorders>
            <w:gridSpan w:val="19"/>
          </w:tcPr>
          <w:p>
            <w:pPr>
              <w:spacing w:after="0" w:line="156" w:lineRule="exact"/>
              <w:rPr>
                <w:rFonts w:ascii="Arial" w:cs="Arial" w:eastAsia="Arial" w:hAnsi="Arial"/>
                <w:sz w:val="18"/>
                <w:szCs w:val="18"/>
                <w:color w:val="auto"/>
              </w:rPr>
            </w:pPr>
            <w:hyperlink r:id="rId224">
              <w:r>
                <w:rPr>
                  <w:rFonts w:ascii="Arial" w:cs="Arial" w:eastAsia="Arial" w:hAnsi="Arial"/>
                  <w:sz w:val="18"/>
                  <w:szCs w:val="18"/>
                  <w:color w:val="auto"/>
                </w:rPr>
                <w:t>on November 8, 2017).</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10.14.6#</w:t>
            </w:r>
          </w:p>
        </w:tc>
        <w:tc>
          <w:tcPr>
            <w:tcW w:w="10180" w:type="dxa"/>
            <w:vAlign w:val="bottom"/>
            <w:gridSpan w:val="36"/>
          </w:tcPr>
          <w:p>
            <w:pPr>
              <w:spacing w:after="0"/>
              <w:rPr>
                <w:rFonts w:ascii="Arial" w:cs="Arial" w:eastAsia="Arial" w:hAnsi="Arial"/>
                <w:sz w:val="18"/>
                <w:szCs w:val="18"/>
                <w:color w:val="auto"/>
                <w:w w:val="93"/>
              </w:rPr>
            </w:pPr>
            <w:hyperlink r:id="rId225">
              <w:r>
                <w:rPr>
                  <w:rFonts w:ascii="Arial" w:cs="Arial" w:eastAsia="Arial" w:hAnsi="Arial"/>
                  <w:sz w:val="18"/>
                  <w:szCs w:val="18"/>
                  <w:color w:val="auto"/>
                  <w:w w:val="93"/>
                </w:rPr>
                <w:t>Form of Restricted Stock Award Agreement for Non-Employee Directors under CRISPR Therapeutics AG’s Amended and Restated 2016</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0" w:type="dxa"/>
            <w:vAlign w:val="bottom"/>
            <w:tcBorders>
              <w:top w:val="single" w:sz="8" w:color="0000EE"/>
            </w:tcBorders>
            <w:gridSpan w:val="27"/>
          </w:tcPr>
          <w:p>
            <w:pPr>
              <w:spacing w:after="0" w:line="156" w:lineRule="exact"/>
              <w:rPr>
                <w:rFonts w:ascii="Arial" w:cs="Arial" w:eastAsia="Arial" w:hAnsi="Arial"/>
                <w:sz w:val="18"/>
                <w:szCs w:val="18"/>
                <w:color w:val="auto"/>
                <w:w w:val="93"/>
              </w:rPr>
            </w:pPr>
            <w:hyperlink r:id="rId225">
              <w:r>
                <w:rPr>
                  <w:rFonts w:ascii="Arial" w:cs="Arial" w:eastAsia="Arial" w:hAnsi="Arial"/>
                  <w:sz w:val="18"/>
                  <w:szCs w:val="18"/>
                  <w:color w:val="auto"/>
                  <w:w w:val="93"/>
                </w:rPr>
                <w:t>Stock Option and Incentive Plan (incorporated herein by reference to Exhibit 10.7 to the Company’s Current Report on Form 10-Q filed</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EE"/>
            </w:tcBorders>
            <w:gridSpan w:val="19"/>
          </w:tcPr>
          <w:p>
            <w:pPr>
              <w:spacing w:after="0" w:line="156" w:lineRule="exact"/>
              <w:rPr>
                <w:rFonts w:ascii="Arial" w:cs="Arial" w:eastAsia="Arial" w:hAnsi="Arial"/>
                <w:sz w:val="18"/>
                <w:szCs w:val="18"/>
                <w:color w:val="auto"/>
              </w:rPr>
            </w:pPr>
            <w:hyperlink r:id="rId225">
              <w:r>
                <w:rPr>
                  <w:rFonts w:ascii="Arial" w:cs="Arial" w:eastAsia="Arial" w:hAnsi="Arial"/>
                  <w:sz w:val="18"/>
                  <w:szCs w:val="18"/>
                  <w:color w:val="auto"/>
                </w:rPr>
                <w:t>on November 8, 2017).</w:t>
              </w:r>
            </w:hyperlink>
          </w:p>
        </w:tc>
        <w:tc>
          <w:tcPr>
            <w:tcW w:w="80" w:type="dxa"/>
            <w:vAlign w:val="bottom"/>
            <w:gridSpan w:val="4"/>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10.15#</w:t>
            </w:r>
          </w:p>
        </w:tc>
        <w:tc>
          <w:tcPr>
            <w:tcW w:w="10180" w:type="dxa"/>
            <w:vAlign w:val="bottom"/>
            <w:gridSpan w:val="36"/>
          </w:tcPr>
          <w:p>
            <w:pPr>
              <w:spacing w:after="0"/>
              <w:rPr>
                <w:rFonts w:ascii="Arial" w:cs="Arial" w:eastAsia="Arial" w:hAnsi="Arial"/>
                <w:sz w:val="18"/>
                <w:szCs w:val="18"/>
                <w:color w:val="auto"/>
                <w:w w:val="92"/>
              </w:rPr>
            </w:pPr>
            <w:hyperlink r:id="rId226">
              <w:r>
                <w:rPr>
                  <w:rFonts w:ascii="Arial" w:cs="Arial" w:eastAsia="Arial" w:hAnsi="Arial"/>
                  <w:sz w:val="18"/>
                  <w:szCs w:val="18"/>
                  <w:color w:val="auto"/>
                  <w:w w:val="92"/>
                </w:rPr>
                <w:t>CRISPR Therapeutics AG 2018 Stock Option and Incentive Plan and forms of agreements thereunder (incorporated herein by reference to</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tcBorders>
              <w:top w:val="single" w:sz="8" w:color="0000EE"/>
            </w:tcBorders>
            <w:gridSpan w:val="31"/>
          </w:tcPr>
          <w:p>
            <w:pPr>
              <w:spacing w:after="0" w:line="156" w:lineRule="exact"/>
              <w:rPr>
                <w:rFonts w:ascii="Arial" w:cs="Arial" w:eastAsia="Arial" w:hAnsi="Arial"/>
                <w:sz w:val="18"/>
                <w:szCs w:val="18"/>
                <w:color w:val="auto"/>
              </w:rPr>
            </w:pPr>
            <w:hyperlink r:id="rId226">
              <w:r>
                <w:rPr>
                  <w:rFonts w:ascii="Arial" w:cs="Arial" w:eastAsia="Arial" w:hAnsi="Arial"/>
                  <w:sz w:val="18"/>
                  <w:szCs w:val="18"/>
                  <w:color w:val="auto"/>
                </w:rPr>
                <w:t>Exhibit 99.1 to the Company’s Registration Statement on Form S-8 filed on June 1, 2018).</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20" w:type="dxa"/>
            <w:vAlign w:val="bottom"/>
            <w:gridSpan w:val="6"/>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10.15.1#</w:t>
            </w:r>
          </w:p>
        </w:tc>
        <w:tc>
          <w:tcPr>
            <w:tcW w:w="10180" w:type="dxa"/>
            <w:vAlign w:val="bottom"/>
            <w:gridSpan w:val="36"/>
          </w:tcPr>
          <w:p>
            <w:pPr>
              <w:spacing w:after="0"/>
              <w:rPr>
                <w:rFonts w:ascii="Arial" w:cs="Arial" w:eastAsia="Arial" w:hAnsi="Arial"/>
                <w:sz w:val="18"/>
                <w:szCs w:val="18"/>
                <w:color w:val="auto"/>
                <w:w w:val="93"/>
              </w:rPr>
            </w:pPr>
            <w:hyperlink r:id="rId227">
              <w:r>
                <w:rPr>
                  <w:rFonts w:ascii="Arial" w:cs="Arial" w:eastAsia="Arial" w:hAnsi="Arial"/>
                  <w:sz w:val="18"/>
                  <w:szCs w:val="18"/>
                  <w:color w:val="auto"/>
                  <w:w w:val="93"/>
                </w:rPr>
                <w:t>Form of Incentive Stock Option Agreement under CRISPR Therapeutics AG’s 2018 Stock Option and Incentive Plan (incorporated herein</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EE"/>
            </w:tcBorders>
            <w:gridSpan w:val="30"/>
          </w:tcPr>
          <w:p>
            <w:pPr>
              <w:spacing w:after="0" w:line="156" w:lineRule="exact"/>
              <w:rPr>
                <w:rFonts w:ascii="Arial" w:cs="Arial" w:eastAsia="Arial" w:hAnsi="Arial"/>
                <w:sz w:val="18"/>
                <w:szCs w:val="18"/>
                <w:color w:val="auto"/>
              </w:rPr>
            </w:pPr>
            <w:hyperlink r:id="rId227">
              <w:r>
                <w:rPr>
                  <w:rFonts w:ascii="Arial" w:cs="Arial" w:eastAsia="Arial" w:hAnsi="Arial"/>
                  <w:sz w:val="18"/>
                  <w:szCs w:val="18"/>
                  <w:color w:val="auto"/>
                </w:rPr>
                <w:t>by reference to Exhibit 99.2 to the Company’s Registration Statement on Form S-8 filed on June 1, 2018).</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140" w:type="dxa"/>
            <w:vAlign w:val="bottom"/>
            <w:gridSpan w:val="10"/>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10.15.2#</w:t>
            </w:r>
          </w:p>
        </w:tc>
        <w:tc>
          <w:tcPr>
            <w:tcW w:w="10180" w:type="dxa"/>
            <w:vAlign w:val="bottom"/>
            <w:gridSpan w:val="36"/>
          </w:tcPr>
          <w:p>
            <w:pPr>
              <w:spacing w:after="0"/>
              <w:rPr>
                <w:rFonts w:ascii="Arial" w:cs="Arial" w:eastAsia="Arial" w:hAnsi="Arial"/>
                <w:sz w:val="18"/>
                <w:szCs w:val="18"/>
                <w:color w:val="auto"/>
                <w:w w:val="97"/>
              </w:rPr>
            </w:pPr>
            <w:hyperlink r:id="rId228">
              <w:r>
                <w:rPr>
                  <w:rFonts w:ascii="Arial" w:cs="Arial" w:eastAsia="Arial" w:hAnsi="Arial"/>
                  <w:sz w:val="18"/>
                  <w:szCs w:val="18"/>
                  <w:color w:val="auto"/>
                  <w:w w:val="97"/>
                </w:rPr>
                <w:t>Form of Non-Qualified Stock Option Agreement for Company Employees under CRISPR Therapeutics AG’s 2018 Stock Option and</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140" w:type="dxa"/>
            <w:vAlign w:val="bottom"/>
            <w:gridSpan w:val="1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160" w:type="dxa"/>
            <w:vAlign w:val="bottom"/>
            <w:gridSpan w:val="35"/>
          </w:tcPr>
          <w:p>
            <w:pPr>
              <w:spacing w:after="0" w:line="156" w:lineRule="exact"/>
              <w:rPr>
                <w:rFonts w:ascii="Arial" w:cs="Arial" w:eastAsia="Arial" w:hAnsi="Arial"/>
                <w:sz w:val="18"/>
                <w:szCs w:val="18"/>
                <w:color w:val="auto"/>
                <w:w w:val="94"/>
              </w:rPr>
            </w:pPr>
            <w:hyperlink r:id="rId228">
              <w:r>
                <w:rPr>
                  <w:rFonts w:ascii="Arial" w:cs="Arial" w:eastAsia="Arial" w:hAnsi="Arial"/>
                  <w:sz w:val="18"/>
                  <w:szCs w:val="18"/>
                  <w:color w:val="auto"/>
                  <w:w w:val="94"/>
                </w:rPr>
                <w:t>Incentive Plan (incorporated herein by reference to Exhibit 99.3 to the Company’s Registration Statement on Form S-8 filed on June 1,</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auto"/>
                <w:w w:val="90"/>
              </w:rPr>
            </w:pPr>
            <w:hyperlink r:id="rId228">
              <w:r>
                <w:rPr>
                  <w:rFonts w:ascii="Arial" w:cs="Arial" w:eastAsia="Arial" w:hAnsi="Arial"/>
                  <w:sz w:val="18"/>
                  <w:szCs w:val="18"/>
                  <w:color w:val="auto"/>
                  <w:w w:val="90"/>
                </w:rPr>
                <w:t>2018).</w:t>
              </w:r>
            </w:hyperlink>
          </w:p>
        </w:tc>
        <w:tc>
          <w:tcPr>
            <w:tcW w:w="118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4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1460" w:type="dxa"/>
            <w:vAlign w:val="bottom"/>
            <w:tcBorders>
              <w:top w:val="single" w:sz="8" w:color="0000EE"/>
            </w:tcBorders>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8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10.15.3#</w:t>
            </w:r>
          </w:p>
        </w:tc>
        <w:tc>
          <w:tcPr>
            <w:tcW w:w="10180" w:type="dxa"/>
            <w:vAlign w:val="bottom"/>
            <w:gridSpan w:val="36"/>
          </w:tcPr>
          <w:p>
            <w:pPr>
              <w:spacing w:after="0"/>
              <w:rPr>
                <w:rFonts w:ascii="Arial" w:cs="Arial" w:eastAsia="Arial" w:hAnsi="Arial"/>
                <w:sz w:val="18"/>
                <w:szCs w:val="18"/>
                <w:color w:val="auto"/>
                <w:w w:val="94"/>
              </w:rPr>
            </w:pPr>
            <w:hyperlink r:id="rId229">
              <w:r>
                <w:rPr>
                  <w:rFonts w:ascii="Arial" w:cs="Arial" w:eastAsia="Arial" w:hAnsi="Arial"/>
                  <w:sz w:val="18"/>
                  <w:szCs w:val="18"/>
                  <w:color w:val="auto"/>
                  <w:w w:val="94"/>
                </w:rPr>
                <w:t>Form of Non-Qualified Stock Option Agreement for Non-Employee Directors under CRISPR Therapeutics AG’s 2018 Stock Option and</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EE"/>
            </w:tcBorders>
            <w:gridSpan w:val="23"/>
          </w:tcPr>
          <w:p>
            <w:pPr>
              <w:spacing w:after="0" w:line="156" w:lineRule="exact"/>
              <w:rPr>
                <w:rFonts w:ascii="Arial" w:cs="Arial" w:eastAsia="Arial" w:hAnsi="Arial"/>
                <w:sz w:val="18"/>
                <w:szCs w:val="18"/>
                <w:color w:val="auto"/>
                <w:w w:val="92"/>
              </w:rPr>
            </w:pPr>
            <w:hyperlink r:id="rId229">
              <w:r>
                <w:rPr>
                  <w:rFonts w:ascii="Arial" w:cs="Arial" w:eastAsia="Arial" w:hAnsi="Arial"/>
                  <w:sz w:val="18"/>
                  <w:szCs w:val="18"/>
                  <w:color w:val="auto"/>
                  <w:w w:val="92"/>
                </w:rPr>
                <w:t>Incentive Plan (incorporated herein by reference to Exhibit 99.4 to the Company’s Registration Statement on Form S-8 filed on June 1,</w:t>
              </w:r>
            </w:hyperlink>
          </w:p>
        </w:tc>
        <w:tc>
          <w:tcPr>
            <w:tcW w:w="2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Borders>
              <w:top w:val="single" w:sz="8" w:color="0000EE"/>
              <w:bottom w:val="single" w:sz="8" w:color="0000EE"/>
            </w:tcBorders>
          </w:tcPr>
          <w:p>
            <w:pPr>
              <w:spacing w:after="0" w:line="156" w:lineRule="exact"/>
              <w:rPr>
                <w:rFonts w:ascii="Arial" w:cs="Arial" w:eastAsia="Arial" w:hAnsi="Arial"/>
                <w:sz w:val="18"/>
                <w:szCs w:val="18"/>
                <w:color w:val="auto"/>
                <w:w w:val="86"/>
              </w:rPr>
            </w:pPr>
            <w:hyperlink r:id="rId229">
              <w:r>
                <w:rPr>
                  <w:rFonts w:ascii="Arial" w:cs="Arial" w:eastAsia="Arial" w:hAnsi="Arial"/>
                  <w:sz w:val="18"/>
                  <w:szCs w:val="18"/>
                  <w:color w:val="auto"/>
                  <w:w w:val="86"/>
                </w:rPr>
                <w:t>2018).</w:t>
              </w:r>
            </w:hyperlink>
          </w:p>
        </w:tc>
        <w:tc>
          <w:tcPr>
            <w:tcW w:w="20" w:type="dxa"/>
            <w:vAlign w:val="bottom"/>
            <w:tcBorders>
              <w:top w:val="single" w:sz="8" w:color="0000EE"/>
            </w:tcBorders>
          </w:tcPr>
          <w:p>
            <w:pPr>
              <w:spacing w:after="0"/>
              <w:rPr>
                <w:sz w:val="13"/>
                <w:szCs w:val="13"/>
                <w:color w:val="auto"/>
              </w:rPr>
            </w:pPr>
          </w:p>
        </w:tc>
        <w:tc>
          <w:tcPr>
            <w:tcW w:w="118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4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1460" w:type="dxa"/>
            <w:vAlign w:val="bottom"/>
            <w:tcBorders>
              <w:top w:val="single" w:sz="8" w:color="0000EE"/>
            </w:tcBorders>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8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6"/>
        </w:trPr>
        <w:tc>
          <w:tcPr>
            <w:tcW w:w="1200" w:type="dxa"/>
            <w:vAlign w:val="bottom"/>
          </w:tcPr>
          <w:p>
            <w:pPr>
              <w:spacing w:after="0"/>
              <w:rPr>
                <w:sz w:val="24"/>
                <w:szCs w:val="24"/>
                <w:color w:val="auto"/>
              </w:rPr>
            </w:pPr>
          </w:p>
        </w:tc>
        <w:tc>
          <w:tcPr>
            <w:tcW w:w="4720" w:type="dxa"/>
            <w:vAlign w:val="bottom"/>
            <w:gridSpan w:val="7"/>
          </w:tcPr>
          <w:p>
            <w:pPr>
              <w:ind w:left="4280"/>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1200" w:type="dxa"/>
            <w:vAlign w:val="bottom"/>
          </w:tcPr>
          <w:p>
            <w:pPr>
              <w:ind w:left="20"/>
              <w:spacing w:after="0"/>
              <w:rPr>
                <w:sz w:val="20"/>
                <w:szCs w:val="20"/>
                <w:color w:val="auto"/>
              </w:rPr>
            </w:pPr>
            <w:r>
              <w:rPr>
                <w:rFonts w:ascii="Arial" w:cs="Arial" w:eastAsia="Arial" w:hAnsi="Arial"/>
                <w:sz w:val="18"/>
                <w:szCs w:val="18"/>
                <w:color w:val="auto"/>
              </w:rPr>
              <w:t>10.15.4#</w:t>
            </w:r>
          </w:p>
        </w:tc>
        <w:tc>
          <w:tcPr>
            <w:tcW w:w="10060" w:type="dxa"/>
            <w:vAlign w:val="bottom"/>
            <w:gridSpan w:val="36"/>
          </w:tcPr>
          <w:p>
            <w:pPr>
              <w:spacing w:after="0"/>
              <w:rPr>
                <w:rFonts w:ascii="Arial" w:cs="Arial" w:eastAsia="Arial" w:hAnsi="Arial"/>
                <w:sz w:val="18"/>
                <w:szCs w:val="18"/>
                <w:color w:val="auto"/>
                <w:w w:val="97"/>
              </w:rPr>
            </w:pPr>
            <w:hyperlink r:id="rId232">
              <w:r>
                <w:rPr>
                  <w:rFonts w:ascii="Arial" w:cs="Arial" w:eastAsia="Arial" w:hAnsi="Arial"/>
                  <w:sz w:val="18"/>
                  <w:szCs w:val="18"/>
                  <w:color w:val="auto"/>
                  <w:w w:val="97"/>
                </w:rPr>
                <w:t>Form of Restricted Stock Award under CRISPR Therapeutics AG’s 2018 Stock Option and Incentive Plan (incorporated herein by</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EE"/>
            </w:tcBorders>
            <w:gridSpan w:val="16"/>
          </w:tcPr>
          <w:p>
            <w:pPr>
              <w:spacing w:after="0" w:line="156" w:lineRule="exact"/>
              <w:rPr>
                <w:rFonts w:ascii="Arial" w:cs="Arial" w:eastAsia="Arial" w:hAnsi="Arial"/>
                <w:sz w:val="18"/>
                <w:szCs w:val="18"/>
                <w:color w:val="auto"/>
              </w:rPr>
            </w:pPr>
            <w:hyperlink r:id="rId232">
              <w:r>
                <w:rPr>
                  <w:rFonts w:ascii="Arial" w:cs="Arial" w:eastAsia="Arial" w:hAnsi="Arial"/>
                  <w:sz w:val="18"/>
                  <w:szCs w:val="18"/>
                  <w:color w:val="auto"/>
                </w:rPr>
                <w:t>reference to Exhibit 99.5 to the Company’s Registration Statement on Form S-8 filed on June 1,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10.15.5#</w:t>
            </w:r>
          </w:p>
        </w:tc>
        <w:tc>
          <w:tcPr>
            <w:tcW w:w="10060" w:type="dxa"/>
            <w:vAlign w:val="bottom"/>
            <w:gridSpan w:val="36"/>
          </w:tcPr>
          <w:p>
            <w:pPr>
              <w:spacing w:after="0"/>
              <w:rPr>
                <w:rFonts w:ascii="Arial" w:cs="Arial" w:eastAsia="Arial" w:hAnsi="Arial"/>
                <w:sz w:val="18"/>
                <w:szCs w:val="18"/>
                <w:color w:val="auto"/>
                <w:w w:val="91"/>
              </w:rPr>
            </w:pPr>
            <w:hyperlink r:id="rId233">
              <w:r>
                <w:rPr>
                  <w:rFonts w:ascii="Arial" w:cs="Arial" w:eastAsia="Arial" w:hAnsi="Arial"/>
                  <w:sz w:val="18"/>
                  <w:szCs w:val="18"/>
                  <w:color w:val="auto"/>
                  <w:w w:val="91"/>
                </w:rPr>
                <w:t>Form of Restricted Stock Award Agreement for Company Employees under CRISPR Therapeutics AG’s 2018 Stock Option and Incentive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9500" w:type="dxa"/>
            <w:vAlign w:val="bottom"/>
            <w:tcBorders>
              <w:top w:val="single" w:sz="8" w:color="0000EE"/>
              <w:bottom w:val="single" w:sz="8" w:color="0000EE"/>
            </w:tcBorders>
            <w:gridSpan w:val="21"/>
          </w:tcPr>
          <w:p>
            <w:pPr>
              <w:spacing w:after="0" w:line="156" w:lineRule="exact"/>
              <w:rPr>
                <w:rFonts w:ascii="Arial" w:cs="Arial" w:eastAsia="Arial" w:hAnsi="Arial"/>
                <w:sz w:val="18"/>
                <w:szCs w:val="18"/>
                <w:color w:val="auto"/>
                <w:w w:val="90"/>
              </w:rPr>
            </w:pPr>
            <w:hyperlink r:id="rId233">
              <w:r>
                <w:rPr>
                  <w:rFonts w:ascii="Arial" w:cs="Arial" w:eastAsia="Arial" w:hAnsi="Arial"/>
                  <w:sz w:val="18"/>
                  <w:szCs w:val="18"/>
                  <w:color w:val="auto"/>
                  <w:w w:val="90"/>
                </w:rPr>
                <w:t>Plan (incorporated herein by reference to Exhibit 99.6 to the Company’s Registration Statement on Form S-8 filed on June 1, 2018).</w:t>
              </w:r>
            </w:hyperlink>
          </w:p>
        </w:tc>
        <w:tc>
          <w:tcPr>
            <w:tcW w:w="500" w:type="dxa"/>
            <w:vAlign w:val="bottom"/>
            <w:tcBorders>
              <w:top w:val="single" w:sz="8" w:color="0000EE"/>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10.15.6#</w:t>
            </w:r>
          </w:p>
        </w:tc>
        <w:tc>
          <w:tcPr>
            <w:tcW w:w="10060" w:type="dxa"/>
            <w:vAlign w:val="bottom"/>
            <w:gridSpan w:val="36"/>
          </w:tcPr>
          <w:p>
            <w:pPr>
              <w:spacing w:after="0"/>
              <w:rPr>
                <w:rFonts w:ascii="Arial" w:cs="Arial" w:eastAsia="Arial" w:hAnsi="Arial"/>
                <w:sz w:val="18"/>
                <w:szCs w:val="18"/>
                <w:color w:val="auto"/>
                <w:w w:val="94"/>
              </w:rPr>
            </w:pPr>
            <w:hyperlink r:id="rId234">
              <w:r>
                <w:rPr>
                  <w:rFonts w:ascii="Arial" w:cs="Arial" w:eastAsia="Arial" w:hAnsi="Arial"/>
                  <w:sz w:val="18"/>
                  <w:szCs w:val="18"/>
                  <w:color w:val="auto"/>
                  <w:w w:val="94"/>
                </w:rPr>
                <w:t>Form of Restricted Stock Award for Non-Employee Directors under CRISPR Therapeutics AG’s 2018 Stock Option and Incentive Plan</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9140" w:type="dxa"/>
            <w:vAlign w:val="bottom"/>
            <w:tcBorders>
              <w:top w:val="single" w:sz="8" w:color="0000EE"/>
              <w:bottom w:val="single" w:sz="8" w:color="0000EE"/>
            </w:tcBorders>
            <w:gridSpan w:val="12"/>
          </w:tcPr>
          <w:p>
            <w:pPr>
              <w:spacing w:after="0" w:line="156" w:lineRule="exact"/>
              <w:rPr>
                <w:rFonts w:ascii="Arial" w:cs="Arial" w:eastAsia="Arial" w:hAnsi="Arial"/>
                <w:sz w:val="18"/>
                <w:szCs w:val="18"/>
                <w:color w:val="auto"/>
                <w:w w:val="90"/>
              </w:rPr>
            </w:pPr>
            <w:hyperlink r:id="rId234">
              <w:r>
                <w:rPr>
                  <w:rFonts w:ascii="Arial" w:cs="Arial" w:eastAsia="Arial" w:hAnsi="Arial"/>
                  <w:sz w:val="18"/>
                  <w:szCs w:val="18"/>
                  <w:color w:val="auto"/>
                  <w:w w:val="90"/>
                </w:rPr>
                <w:t>(incorporated herein by reference to Exhibit 99.7 to the Company’s Registration Statement on Form S-8 filed on June 1, 2018).</w:t>
              </w:r>
            </w:hyperlink>
          </w:p>
        </w:tc>
        <w:tc>
          <w:tcPr>
            <w:tcW w:w="660" w:type="dxa"/>
            <w:vAlign w:val="bottom"/>
            <w:tcBorders>
              <w:top w:val="single" w:sz="8" w:color="0000EE"/>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10.16#</w:t>
            </w:r>
          </w:p>
        </w:tc>
        <w:tc>
          <w:tcPr>
            <w:tcW w:w="10060" w:type="dxa"/>
            <w:vAlign w:val="bottom"/>
            <w:gridSpan w:val="36"/>
          </w:tcPr>
          <w:p>
            <w:pPr>
              <w:spacing w:after="0"/>
              <w:rPr>
                <w:rFonts w:ascii="Arial" w:cs="Arial" w:eastAsia="Arial" w:hAnsi="Arial"/>
                <w:sz w:val="18"/>
                <w:szCs w:val="18"/>
                <w:color w:val="auto"/>
                <w:w w:val="97"/>
              </w:rPr>
            </w:pPr>
            <w:hyperlink r:id="rId235">
              <w:r>
                <w:rPr>
                  <w:rFonts w:ascii="Arial" w:cs="Arial" w:eastAsia="Arial" w:hAnsi="Arial"/>
                  <w:sz w:val="18"/>
                  <w:szCs w:val="18"/>
                  <w:color w:val="auto"/>
                  <w:w w:val="97"/>
                </w:rPr>
                <w:t>Amendment No.1 to the 2018 Stock Option and Incentive Plan (incorporated herein by reference to Appendix A to the Company’s</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080" w:type="dxa"/>
            <w:vAlign w:val="bottom"/>
            <w:gridSpan w:val="8"/>
          </w:tcPr>
          <w:p>
            <w:pPr>
              <w:spacing w:after="0" w:line="156" w:lineRule="exact"/>
              <w:rPr>
                <w:rFonts w:ascii="Arial" w:cs="Arial" w:eastAsia="Arial" w:hAnsi="Arial"/>
                <w:sz w:val="18"/>
                <w:szCs w:val="18"/>
                <w:color w:val="auto"/>
                <w:highlight w:val="white"/>
                <w:w w:val="92"/>
              </w:rPr>
            </w:pPr>
            <w:hyperlink r:id="rId235">
              <w:r>
                <w:rPr>
                  <w:rFonts w:ascii="Arial" w:cs="Arial" w:eastAsia="Arial" w:hAnsi="Arial"/>
                  <w:sz w:val="18"/>
                  <w:szCs w:val="18"/>
                  <w:color w:val="auto"/>
                  <w:highlight w:val="white"/>
                  <w:w w:val="92"/>
                </w:rPr>
                <w:t>Definitive Proxy Statement on Schedule 14A filed on April 30, 2019).</w:t>
              </w:r>
            </w:hyperlink>
          </w:p>
        </w:tc>
        <w:tc>
          <w:tcPr>
            <w:tcW w:w="1280" w:type="dxa"/>
            <w:vAlign w:val="bottom"/>
            <w:tcBorders>
              <w:top w:val="single" w:sz="8" w:color="0000EE"/>
            </w:tcBorders>
          </w:tcPr>
          <w:p>
            <w:pPr>
              <w:spacing w:after="0"/>
              <w:rPr>
                <w:sz w:val="13"/>
                <w:szCs w:val="13"/>
                <w:color w:val="auto"/>
              </w:rPr>
            </w:pPr>
          </w:p>
        </w:tc>
        <w:tc>
          <w:tcPr>
            <w:tcW w:w="8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48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gridSpan w:val="2"/>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gridSpan w:val="2"/>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10.17#</w:t>
            </w:r>
          </w:p>
        </w:tc>
        <w:tc>
          <w:tcPr>
            <w:tcW w:w="10060" w:type="dxa"/>
            <w:vAlign w:val="bottom"/>
            <w:gridSpan w:val="36"/>
          </w:tcPr>
          <w:p>
            <w:pPr>
              <w:spacing w:after="0"/>
              <w:rPr>
                <w:rFonts w:ascii="Arial" w:cs="Arial" w:eastAsia="Arial" w:hAnsi="Arial"/>
                <w:sz w:val="18"/>
                <w:szCs w:val="18"/>
                <w:color w:val="auto"/>
                <w:w w:val="97"/>
              </w:rPr>
            </w:pPr>
            <w:hyperlink r:id="rId236">
              <w:r>
                <w:rPr>
                  <w:rFonts w:ascii="Arial" w:cs="Arial" w:eastAsia="Arial" w:hAnsi="Arial"/>
                  <w:sz w:val="18"/>
                  <w:szCs w:val="18"/>
                  <w:color w:val="auto"/>
                  <w:w w:val="97"/>
                </w:rPr>
                <w:t>Amendment No.2 to the 2018 Stock Option and Incentive Plan (incorporated herein by reference to Appendix A to the Company’s</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EE"/>
            </w:tcBorders>
            <w:gridSpan w:val="19"/>
          </w:tcPr>
          <w:p>
            <w:pPr>
              <w:spacing w:after="0" w:line="156" w:lineRule="exact"/>
              <w:rPr>
                <w:rFonts w:ascii="Arial" w:cs="Arial" w:eastAsia="Arial" w:hAnsi="Arial"/>
                <w:sz w:val="18"/>
                <w:szCs w:val="18"/>
                <w:color w:val="auto"/>
              </w:rPr>
            </w:pPr>
            <w:hyperlink r:id="rId236">
              <w:r>
                <w:rPr>
                  <w:rFonts w:ascii="Arial" w:cs="Arial" w:eastAsia="Arial" w:hAnsi="Arial"/>
                  <w:sz w:val="18"/>
                  <w:szCs w:val="18"/>
                  <w:color w:val="auto"/>
                </w:rPr>
                <w:t>Definitive Proxy Statement on Schedule 14A filed on April 24, 2020).</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10.18#</w:t>
            </w:r>
          </w:p>
        </w:tc>
        <w:tc>
          <w:tcPr>
            <w:tcW w:w="10060" w:type="dxa"/>
            <w:vAlign w:val="bottom"/>
            <w:gridSpan w:val="36"/>
          </w:tcPr>
          <w:p>
            <w:pPr>
              <w:spacing w:after="0"/>
              <w:rPr>
                <w:rFonts w:ascii="Arial" w:cs="Arial" w:eastAsia="Arial" w:hAnsi="Arial"/>
                <w:sz w:val="18"/>
                <w:szCs w:val="18"/>
                <w:color w:val="auto"/>
                <w:w w:val="95"/>
              </w:rPr>
            </w:pPr>
            <w:hyperlink r:id="rId237">
              <w:r>
                <w:rPr>
                  <w:rFonts w:ascii="Arial" w:cs="Arial" w:eastAsia="Arial" w:hAnsi="Arial"/>
                  <w:sz w:val="18"/>
                  <w:szCs w:val="18"/>
                  <w:color w:val="auto"/>
                  <w:w w:val="95"/>
                </w:rPr>
                <w:t>CRISPR Therapeutics AG 2016 Employee Stock Purchase Plan (incorporated herein by reference to Exhibit 10.16 to the Company’s</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70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auto"/>
                <w:w w:val="89"/>
              </w:rPr>
            </w:pPr>
            <w:hyperlink r:id="rId237">
              <w:r>
                <w:rPr>
                  <w:rFonts w:ascii="Arial" w:cs="Arial" w:eastAsia="Arial" w:hAnsi="Arial"/>
                  <w:sz w:val="18"/>
                  <w:szCs w:val="18"/>
                  <w:color w:val="auto"/>
                  <w:w w:val="89"/>
                </w:rPr>
                <w:t>Registration Statement on Form S-1 filed on September 9, 2016).</w:t>
              </w:r>
            </w:hyperlink>
          </w:p>
        </w:tc>
        <w:tc>
          <w:tcPr>
            <w:tcW w:w="4920" w:type="dxa"/>
            <w:vAlign w:val="bottom"/>
            <w:tcBorders>
              <w:top w:val="single" w:sz="8" w:color="0000EE"/>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10.19†</w:t>
            </w:r>
          </w:p>
        </w:tc>
        <w:tc>
          <w:tcPr>
            <w:tcW w:w="10060" w:type="dxa"/>
            <w:vAlign w:val="bottom"/>
            <w:gridSpan w:val="36"/>
          </w:tcPr>
          <w:p>
            <w:pPr>
              <w:spacing w:after="0"/>
              <w:rPr>
                <w:rFonts w:ascii="Arial" w:cs="Arial" w:eastAsia="Arial" w:hAnsi="Arial"/>
                <w:sz w:val="18"/>
                <w:szCs w:val="18"/>
                <w:color w:val="auto"/>
                <w:w w:val="99"/>
              </w:rPr>
            </w:pPr>
            <w:hyperlink r:id="rId238">
              <w:r>
                <w:rPr>
                  <w:rFonts w:ascii="Arial" w:cs="Arial" w:eastAsia="Arial" w:hAnsi="Arial"/>
                  <w:sz w:val="18"/>
                  <w:szCs w:val="18"/>
                  <w:color w:val="auto"/>
                  <w:w w:val="99"/>
                </w:rPr>
                <w:t>Consent to Assignments, Licensing and Common Ownership and Invention Management Agreement for a Programmable DNA</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40" w:type="dxa"/>
            <w:vAlign w:val="bottom"/>
            <w:gridSpan w:val="35"/>
          </w:tcPr>
          <w:p>
            <w:pPr>
              <w:spacing w:after="0" w:line="156" w:lineRule="exact"/>
              <w:rPr>
                <w:rFonts w:ascii="Arial" w:cs="Arial" w:eastAsia="Arial" w:hAnsi="Arial"/>
                <w:sz w:val="18"/>
                <w:szCs w:val="18"/>
                <w:color w:val="auto"/>
                <w:w w:val="96"/>
              </w:rPr>
            </w:pPr>
            <w:hyperlink r:id="rId238">
              <w:r>
                <w:rPr>
                  <w:rFonts w:ascii="Arial" w:cs="Arial" w:eastAsia="Arial" w:hAnsi="Arial"/>
                  <w:sz w:val="18"/>
                  <w:szCs w:val="18"/>
                  <w:color w:val="auto"/>
                  <w:w w:val="96"/>
                </w:rPr>
                <w:t>Restriction Enzyme for Genome Editing, dated December 15, 2016, by and among CRISPR Therapeutics AG, The Regents of the</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EE"/>
              <w:bottom w:val="single" w:sz="8" w:color="0000EE"/>
            </w:tcBorders>
            <w:gridSpan w:val="15"/>
          </w:tcPr>
          <w:p>
            <w:pPr>
              <w:spacing w:after="0" w:line="156" w:lineRule="exact"/>
              <w:rPr>
                <w:rFonts w:ascii="Arial" w:cs="Arial" w:eastAsia="Arial" w:hAnsi="Arial"/>
                <w:sz w:val="18"/>
                <w:szCs w:val="18"/>
                <w:color w:val="auto"/>
                <w:w w:val="92"/>
              </w:rPr>
            </w:pPr>
            <w:hyperlink r:id="rId238">
              <w:r>
                <w:rPr>
                  <w:rFonts w:ascii="Arial" w:cs="Arial" w:eastAsia="Arial" w:hAnsi="Arial"/>
                  <w:sz w:val="18"/>
                  <w:szCs w:val="18"/>
                  <w:color w:val="auto"/>
                  <w:w w:val="92"/>
                </w:rPr>
                <w:t>University of California, University of Vienna, Dr. Emmanuelle Charpentier, Intellia Therapeutics, Inc., Caribou Biosciences, Inc.,</w:t>
              </w:r>
            </w:hyperlink>
          </w:p>
        </w:tc>
        <w:tc>
          <w:tcPr>
            <w:tcW w:w="40" w:type="dxa"/>
            <w:vAlign w:val="bottom"/>
            <w:tcBorders>
              <w:bottom w:val="single" w:sz="8" w:color="0000EE"/>
            </w:tcBorders>
            <w:gridSpan w:val="2"/>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80" w:type="dxa"/>
            <w:vAlign w:val="bottom"/>
            <w:tcBorders>
              <w:bottom w:val="single" w:sz="8" w:color="0000EE"/>
            </w:tcBorders>
            <w:gridSpan w:val="10"/>
          </w:tcPr>
          <w:p>
            <w:pPr>
              <w:spacing w:after="0" w:line="156" w:lineRule="exact"/>
              <w:rPr>
                <w:rFonts w:ascii="Arial" w:cs="Arial" w:eastAsia="Arial" w:hAnsi="Arial"/>
                <w:sz w:val="18"/>
                <w:szCs w:val="18"/>
                <w:color w:val="auto"/>
                <w:w w:val="97"/>
              </w:rPr>
            </w:pPr>
            <w:hyperlink r:id="rId238">
              <w:r>
                <w:rPr>
                  <w:rFonts w:ascii="Arial" w:cs="Arial" w:eastAsia="Arial" w:hAnsi="Arial"/>
                  <w:sz w:val="18"/>
                  <w:szCs w:val="18"/>
                  <w:color w:val="auto"/>
                  <w:w w:val="97"/>
                </w:rPr>
                <w:t>ERS</w:t>
              </w:r>
            </w:hyperlink>
          </w:p>
        </w:tc>
        <w:tc>
          <w:tcPr>
            <w:tcW w:w="22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35"/>
          </w:tcPr>
          <w:p>
            <w:pPr>
              <w:spacing w:after="0" w:line="156" w:lineRule="exact"/>
              <w:rPr>
                <w:rFonts w:ascii="Arial" w:cs="Arial" w:eastAsia="Arial" w:hAnsi="Arial"/>
                <w:sz w:val="18"/>
                <w:szCs w:val="18"/>
                <w:color w:val="auto"/>
                <w:w w:val="91"/>
              </w:rPr>
            </w:pPr>
            <w:hyperlink r:id="rId238">
              <w:r>
                <w:rPr>
                  <w:rFonts w:ascii="Arial" w:cs="Arial" w:eastAsia="Arial" w:hAnsi="Arial"/>
                  <w:sz w:val="18"/>
                  <w:szCs w:val="18"/>
                  <w:color w:val="auto"/>
                  <w:w w:val="91"/>
                </w:rPr>
                <w:t>Genomics Ltd., and TRACR Hematology Ltd. (incorporated herein by reference to Exhibit 10.1 to the Company’s Current Report on Form</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44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auto"/>
                <w:w w:val="91"/>
              </w:rPr>
            </w:pPr>
            <w:hyperlink r:id="rId238">
              <w:r>
                <w:rPr>
                  <w:rFonts w:ascii="Arial" w:cs="Arial" w:eastAsia="Arial" w:hAnsi="Arial"/>
                  <w:sz w:val="18"/>
                  <w:szCs w:val="18"/>
                  <w:color w:val="auto"/>
                  <w:w w:val="91"/>
                </w:rPr>
                <w:t>8-K filed on December 16, 2016).</w:t>
              </w:r>
            </w:hyperlink>
          </w:p>
        </w:tc>
        <w:tc>
          <w:tcPr>
            <w:tcW w:w="7580" w:type="dxa"/>
            <w:vAlign w:val="bottom"/>
            <w:tcBorders>
              <w:top w:val="single" w:sz="8" w:color="0000EE"/>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10.20†</w:t>
            </w:r>
          </w:p>
        </w:tc>
        <w:tc>
          <w:tcPr>
            <w:tcW w:w="10060" w:type="dxa"/>
            <w:vAlign w:val="bottom"/>
            <w:gridSpan w:val="36"/>
          </w:tcPr>
          <w:p>
            <w:pPr>
              <w:spacing w:after="0"/>
              <w:rPr>
                <w:rFonts w:ascii="Arial" w:cs="Arial" w:eastAsia="Arial" w:hAnsi="Arial"/>
                <w:sz w:val="18"/>
                <w:szCs w:val="18"/>
                <w:color w:val="auto"/>
                <w:w w:val="95"/>
              </w:rPr>
            </w:pPr>
            <w:hyperlink r:id="rId239">
              <w:r>
                <w:rPr>
                  <w:rFonts w:ascii="Arial" w:cs="Arial" w:eastAsia="Arial" w:hAnsi="Arial"/>
                  <w:sz w:val="18"/>
                  <w:szCs w:val="18"/>
                  <w:color w:val="auto"/>
                  <w:w w:val="95"/>
                </w:rPr>
                <w:t>Strategic Collaboration, Option and License Agreement, dated October 26, 2015, by and among CRISPR Therapeutics AG, CRISPR</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EE"/>
              <w:bottom w:val="single" w:sz="8" w:color="0000EE"/>
            </w:tcBorders>
            <w:gridSpan w:val="20"/>
          </w:tcPr>
          <w:p>
            <w:pPr>
              <w:spacing w:after="0" w:line="156" w:lineRule="exact"/>
              <w:rPr>
                <w:rFonts w:ascii="Arial" w:cs="Arial" w:eastAsia="Arial" w:hAnsi="Arial"/>
                <w:sz w:val="18"/>
                <w:szCs w:val="18"/>
                <w:color w:val="auto"/>
                <w:w w:val="91"/>
              </w:rPr>
            </w:pPr>
            <w:hyperlink r:id="rId239">
              <w:r>
                <w:rPr>
                  <w:rFonts w:ascii="Arial" w:cs="Arial" w:eastAsia="Arial" w:hAnsi="Arial"/>
                  <w:sz w:val="18"/>
                  <w:szCs w:val="18"/>
                  <w:color w:val="auto"/>
                  <w:w w:val="91"/>
                </w:rPr>
                <w:t>Therapeutics Limited, CRISPR Therapeutics, Inc., TRACR Hematology Limited, Vertex Pharmaceuticals, Incorporated and Vertex</w:t>
              </w:r>
            </w:hyperlink>
          </w:p>
        </w:tc>
        <w:tc>
          <w:tcPr>
            <w:tcW w:w="120" w:type="dxa"/>
            <w:vAlign w:val="bottom"/>
            <w:tcBorders>
              <w:top w:val="single" w:sz="8" w:color="0000EE"/>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gridSpan w:val="35"/>
          </w:tcPr>
          <w:p>
            <w:pPr>
              <w:spacing w:after="0" w:line="156" w:lineRule="exact"/>
              <w:rPr>
                <w:rFonts w:ascii="Arial" w:cs="Arial" w:eastAsia="Arial" w:hAnsi="Arial"/>
                <w:sz w:val="18"/>
                <w:szCs w:val="18"/>
                <w:color w:val="auto"/>
                <w:w w:val="91"/>
              </w:rPr>
            </w:pPr>
            <w:hyperlink r:id="rId239">
              <w:r>
                <w:rPr>
                  <w:rFonts w:ascii="Arial" w:cs="Arial" w:eastAsia="Arial" w:hAnsi="Arial"/>
                  <w:sz w:val="18"/>
                  <w:szCs w:val="18"/>
                  <w:color w:val="auto"/>
                  <w:w w:val="91"/>
                </w:rPr>
                <w:t>Pharmaceuticals (Europe) Limited (incorporated herein by reference to Exhibit 10.4 to the Company’s Registration Statement on Form S-1</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186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auto"/>
                <w:w w:val="90"/>
              </w:rPr>
            </w:pPr>
            <w:hyperlink r:id="rId239">
              <w:r>
                <w:rPr>
                  <w:rFonts w:ascii="Arial" w:cs="Arial" w:eastAsia="Arial" w:hAnsi="Arial"/>
                  <w:sz w:val="18"/>
                  <w:szCs w:val="18"/>
                  <w:color w:val="auto"/>
                  <w:w w:val="90"/>
                </w:rPr>
                <w:t>filed on October 7, 2016).</w:t>
              </w:r>
            </w:hyperlink>
          </w:p>
        </w:tc>
        <w:tc>
          <w:tcPr>
            <w:tcW w:w="8160" w:type="dxa"/>
            <w:vAlign w:val="bottom"/>
            <w:tcBorders>
              <w:top w:val="single" w:sz="8" w:color="0000EE"/>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10.21†</w:t>
            </w:r>
          </w:p>
        </w:tc>
        <w:tc>
          <w:tcPr>
            <w:tcW w:w="10060" w:type="dxa"/>
            <w:vAlign w:val="bottom"/>
            <w:gridSpan w:val="36"/>
          </w:tcPr>
          <w:p>
            <w:pPr>
              <w:spacing w:after="0"/>
              <w:rPr>
                <w:rFonts w:ascii="Arial" w:cs="Arial" w:eastAsia="Arial" w:hAnsi="Arial"/>
                <w:sz w:val="18"/>
                <w:szCs w:val="18"/>
                <w:color w:val="auto"/>
              </w:rPr>
            </w:pPr>
            <w:hyperlink r:id="rId240">
              <w:r>
                <w:rPr>
                  <w:rFonts w:ascii="Arial" w:cs="Arial" w:eastAsia="Arial" w:hAnsi="Arial"/>
                  <w:sz w:val="18"/>
                  <w:szCs w:val="18"/>
                  <w:color w:val="auto"/>
                </w:rPr>
                <w:t>Amendment No. 1 to the Strategic Collaboration, Option and License Agreement by and between, on the one hand, Vertex</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EE"/>
            </w:tcBorders>
            <w:gridSpan w:val="11"/>
          </w:tcPr>
          <w:p>
            <w:pPr>
              <w:spacing w:after="0" w:line="156" w:lineRule="exact"/>
              <w:rPr>
                <w:rFonts w:ascii="Arial" w:cs="Arial" w:eastAsia="Arial" w:hAnsi="Arial"/>
                <w:sz w:val="18"/>
                <w:szCs w:val="18"/>
                <w:color w:val="auto"/>
                <w:w w:val="89"/>
              </w:rPr>
            </w:pPr>
            <w:hyperlink r:id="rId240">
              <w:r>
                <w:rPr>
                  <w:rFonts w:ascii="Arial" w:cs="Arial" w:eastAsia="Arial" w:hAnsi="Arial"/>
                  <w:sz w:val="18"/>
                  <w:szCs w:val="18"/>
                  <w:color w:val="auto"/>
                  <w:w w:val="89"/>
                </w:rPr>
                <w:t>Pharmaceuticals Incorporated and Vertex Pharmaceuticals (Europe) Limited, and on the other hand, CRISPR Therapeutics</w:t>
              </w:r>
            </w:hyperlink>
          </w:p>
        </w:tc>
        <w:tc>
          <w:tcPr>
            <w:tcW w:w="1200" w:type="dxa"/>
            <w:vAlign w:val="bottom"/>
            <w:gridSpan w:val="24"/>
          </w:tcPr>
          <w:p>
            <w:pPr>
              <w:ind w:left="20"/>
              <w:spacing w:after="0" w:line="156" w:lineRule="exact"/>
              <w:rPr>
                <w:rFonts w:ascii="Arial" w:cs="Arial" w:eastAsia="Arial" w:hAnsi="Arial"/>
                <w:sz w:val="18"/>
                <w:szCs w:val="18"/>
                <w:color w:val="auto"/>
              </w:rPr>
            </w:pPr>
            <w:hyperlink r:id="rId240">
              <w:r>
                <w:rPr>
                  <w:rFonts w:ascii="Arial" w:cs="Arial" w:eastAsia="Arial" w:hAnsi="Arial"/>
                  <w:sz w:val="18"/>
                  <w:szCs w:val="18"/>
                  <w:color w:val="auto"/>
                </w:rPr>
                <w:t>AG, CRISPR</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EE"/>
            </w:tcBorders>
            <w:gridSpan w:val="30"/>
          </w:tcPr>
          <w:p>
            <w:pPr>
              <w:spacing w:after="0" w:line="156" w:lineRule="exact"/>
              <w:rPr>
                <w:rFonts w:ascii="Arial" w:cs="Arial" w:eastAsia="Arial" w:hAnsi="Arial"/>
                <w:sz w:val="18"/>
                <w:szCs w:val="18"/>
                <w:color w:val="auto"/>
                <w:w w:val="95"/>
              </w:rPr>
            </w:pPr>
            <w:hyperlink r:id="rId240">
              <w:r>
                <w:rPr>
                  <w:rFonts w:ascii="Arial" w:cs="Arial" w:eastAsia="Arial" w:hAnsi="Arial"/>
                  <w:sz w:val="18"/>
                  <w:szCs w:val="18"/>
                  <w:color w:val="auto"/>
                  <w:w w:val="95"/>
                </w:rPr>
                <w:t>Therapeutics, Inc., CRISPR Therapeutics Limited and TRACR Hematology Ltd., dated as of December 12, 2017 (incorporated by</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EE"/>
            </w:tcBorders>
            <w:gridSpan w:val="18"/>
          </w:tcPr>
          <w:p>
            <w:pPr>
              <w:spacing w:after="0" w:line="156" w:lineRule="exact"/>
              <w:rPr>
                <w:rFonts w:ascii="Arial" w:cs="Arial" w:eastAsia="Arial" w:hAnsi="Arial"/>
                <w:sz w:val="18"/>
                <w:szCs w:val="18"/>
                <w:color w:val="auto"/>
              </w:rPr>
            </w:pPr>
            <w:hyperlink r:id="rId240">
              <w:r>
                <w:rPr>
                  <w:rFonts w:ascii="Arial" w:cs="Arial" w:eastAsia="Arial" w:hAnsi="Arial"/>
                  <w:sz w:val="18"/>
                  <w:szCs w:val="18"/>
                  <w:color w:val="auto"/>
                </w:rPr>
                <w:t>reference to Exhibit 10.2 to the Company’s Current Report on Form 8-K filed on December 18, 2017).</w:t>
              </w:r>
            </w:hyperlink>
          </w:p>
        </w:tc>
        <w:tc>
          <w:tcPr>
            <w:tcW w:w="10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10.22†</w:t>
            </w:r>
          </w:p>
        </w:tc>
        <w:tc>
          <w:tcPr>
            <w:tcW w:w="10060" w:type="dxa"/>
            <w:vAlign w:val="bottom"/>
            <w:gridSpan w:val="36"/>
          </w:tcPr>
          <w:p>
            <w:pPr>
              <w:spacing w:after="0"/>
              <w:rPr>
                <w:rFonts w:ascii="Arial" w:cs="Arial" w:eastAsia="Arial" w:hAnsi="Arial"/>
                <w:sz w:val="18"/>
                <w:szCs w:val="18"/>
                <w:color w:val="auto"/>
              </w:rPr>
            </w:pPr>
            <w:hyperlink r:id="rId241">
              <w:r>
                <w:rPr>
                  <w:rFonts w:ascii="Arial" w:cs="Arial" w:eastAsia="Arial" w:hAnsi="Arial"/>
                  <w:sz w:val="18"/>
                  <w:szCs w:val="18"/>
                  <w:color w:val="auto"/>
                </w:rPr>
                <w:t>Amendment No. 2 to the Strategic Collaboration, Option and License Agreement by and between, on the one hand, Vertex</w:t>
              </w:r>
            </w:hyperlink>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EE"/>
            </w:tcBorders>
            <w:gridSpan w:val="11"/>
          </w:tcPr>
          <w:p>
            <w:pPr>
              <w:spacing w:after="0" w:line="156" w:lineRule="exact"/>
              <w:rPr>
                <w:rFonts w:ascii="Arial" w:cs="Arial" w:eastAsia="Arial" w:hAnsi="Arial"/>
                <w:sz w:val="18"/>
                <w:szCs w:val="18"/>
                <w:color w:val="auto"/>
                <w:w w:val="89"/>
              </w:rPr>
            </w:pPr>
            <w:hyperlink r:id="rId241">
              <w:r>
                <w:rPr>
                  <w:rFonts w:ascii="Arial" w:cs="Arial" w:eastAsia="Arial" w:hAnsi="Arial"/>
                  <w:sz w:val="18"/>
                  <w:szCs w:val="18"/>
                  <w:color w:val="auto"/>
                  <w:w w:val="89"/>
                </w:rPr>
                <w:t>Pharmaceuticals Incorporated and Vertex Pharmaceuticals (Europe) Limited, and on the other hand, CRISPR Therapeutics</w:t>
              </w:r>
            </w:hyperlink>
          </w:p>
        </w:tc>
        <w:tc>
          <w:tcPr>
            <w:tcW w:w="1200" w:type="dxa"/>
            <w:vAlign w:val="bottom"/>
            <w:gridSpan w:val="24"/>
          </w:tcPr>
          <w:p>
            <w:pPr>
              <w:ind w:left="20"/>
              <w:spacing w:after="0" w:line="156" w:lineRule="exact"/>
              <w:rPr>
                <w:rFonts w:ascii="Arial" w:cs="Arial" w:eastAsia="Arial" w:hAnsi="Arial"/>
                <w:sz w:val="18"/>
                <w:szCs w:val="18"/>
                <w:color w:val="auto"/>
              </w:rPr>
            </w:pPr>
            <w:hyperlink r:id="rId241">
              <w:r>
                <w:rPr>
                  <w:rFonts w:ascii="Arial" w:cs="Arial" w:eastAsia="Arial" w:hAnsi="Arial"/>
                  <w:sz w:val="18"/>
                  <w:szCs w:val="18"/>
                  <w:color w:val="auto"/>
                </w:rPr>
                <w:t>AG, CRISPR</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60" w:type="dxa"/>
            <w:vAlign w:val="bottom"/>
            <w:tcBorders>
              <w:top w:val="single" w:sz="8" w:color="0000EE"/>
            </w:tcBorders>
            <w:gridSpan w:val="30"/>
          </w:tcPr>
          <w:p>
            <w:pPr>
              <w:spacing w:after="0" w:line="156" w:lineRule="exact"/>
              <w:rPr>
                <w:rFonts w:ascii="Arial" w:cs="Arial" w:eastAsia="Arial" w:hAnsi="Arial"/>
                <w:sz w:val="18"/>
                <w:szCs w:val="18"/>
                <w:color w:val="auto"/>
                <w:w w:val="95"/>
              </w:rPr>
            </w:pPr>
            <w:hyperlink r:id="rId241">
              <w:r>
                <w:rPr>
                  <w:rFonts w:ascii="Arial" w:cs="Arial" w:eastAsia="Arial" w:hAnsi="Arial"/>
                  <w:sz w:val="18"/>
                  <w:szCs w:val="18"/>
                  <w:color w:val="auto"/>
                  <w:w w:val="95"/>
                </w:rPr>
                <w:t>Therapeutics, Inc., CRISPR Therapeutics Limited and TRACR Hematology Ltd., dated as of June 6, 2019 (incorporated herein by</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EE"/>
            </w:tcBorders>
            <w:gridSpan w:val="17"/>
          </w:tcPr>
          <w:p>
            <w:pPr>
              <w:spacing w:after="0" w:line="156" w:lineRule="exact"/>
              <w:rPr>
                <w:rFonts w:ascii="Arial" w:cs="Arial" w:eastAsia="Arial" w:hAnsi="Arial"/>
                <w:sz w:val="18"/>
                <w:szCs w:val="18"/>
                <w:color w:val="auto"/>
              </w:rPr>
            </w:pPr>
            <w:hyperlink r:id="rId241">
              <w:r>
                <w:rPr>
                  <w:rFonts w:ascii="Arial" w:cs="Arial" w:eastAsia="Arial" w:hAnsi="Arial"/>
                  <w:sz w:val="18"/>
                  <w:szCs w:val="18"/>
                  <w:color w:val="auto"/>
                </w:rPr>
                <w:t>reference to Exhibit 10.1 to the Company’s Quarterly Report on Form 10-Q filed on July 29, 2019).</w:t>
              </w:r>
            </w:hyperlink>
          </w:p>
        </w:tc>
        <w:tc>
          <w:tcPr>
            <w:tcW w:w="120" w:type="dxa"/>
            <w:vAlign w:val="bottom"/>
            <w:gridSpan w:val="5"/>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10.23†</w:t>
            </w:r>
          </w:p>
        </w:tc>
        <w:tc>
          <w:tcPr>
            <w:tcW w:w="10060" w:type="dxa"/>
            <w:vAlign w:val="bottom"/>
            <w:gridSpan w:val="36"/>
          </w:tcPr>
          <w:p>
            <w:pPr>
              <w:spacing w:after="0"/>
              <w:rPr>
                <w:rFonts w:ascii="Arial" w:cs="Arial" w:eastAsia="Arial" w:hAnsi="Arial"/>
                <w:sz w:val="18"/>
                <w:szCs w:val="18"/>
                <w:color w:val="auto"/>
                <w:w w:val="94"/>
              </w:rPr>
            </w:pPr>
            <w:hyperlink r:id="rId242">
              <w:r>
                <w:rPr>
                  <w:rFonts w:ascii="Arial" w:cs="Arial" w:eastAsia="Arial" w:hAnsi="Arial"/>
                  <w:sz w:val="18"/>
                  <w:szCs w:val="18"/>
                  <w:color w:val="auto"/>
                  <w:w w:val="94"/>
                </w:rPr>
                <w:t>Strategic Collaboration and License Agreement dated June 6, 2019, between CRISPR Therapeutics AG and Vertex Pharmaceuticals</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200" w:type="dxa"/>
            <w:vAlign w:val="bottom"/>
            <w:tcBorders>
              <w:right w:val="single" w:sz="8" w:color="0000EE"/>
            </w:tcBorders>
            <w:gridSpan w:val="8"/>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Borders>
              <w:bottom w:val="single" w:sz="8" w:color="0000EE"/>
            </w:tcBorders>
            <w:vMerge w:val="continue"/>
          </w:tcPr>
          <w:p>
            <w:pPr>
              <w:spacing w:after="0"/>
              <w:rPr>
                <w:sz w:val="13"/>
                <w:szCs w:val="13"/>
                <w:color w:val="auto"/>
              </w:rPr>
            </w:pPr>
          </w:p>
        </w:tc>
        <w:tc>
          <w:tcPr>
            <w:tcW w:w="9860" w:type="dxa"/>
            <w:vAlign w:val="bottom"/>
            <w:tcBorders>
              <w:bottom w:val="single" w:sz="8" w:color="0000EE"/>
            </w:tcBorders>
            <w:gridSpan w:val="30"/>
          </w:tcPr>
          <w:p>
            <w:pPr>
              <w:spacing w:after="0" w:line="156" w:lineRule="exact"/>
              <w:rPr>
                <w:rFonts w:ascii="Arial" w:cs="Arial" w:eastAsia="Arial" w:hAnsi="Arial"/>
                <w:sz w:val="18"/>
                <w:szCs w:val="18"/>
                <w:color w:val="auto"/>
                <w:w w:val="91"/>
              </w:rPr>
            </w:pPr>
            <w:hyperlink r:id="rId242">
              <w:r>
                <w:rPr>
                  <w:rFonts w:ascii="Arial" w:cs="Arial" w:eastAsia="Arial" w:hAnsi="Arial"/>
                  <w:sz w:val="18"/>
                  <w:szCs w:val="18"/>
                  <w:color w:val="auto"/>
                  <w:w w:val="91"/>
                </w:rPr>
                <w:t>Incorporated (incorporated herein by reference to Exhibit 10.2 to the Company’s Quarterly Report on Form 10-Q filed on July 29, 2019).</w:t>
              </w:r>
            </w:hyperlink>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10.24†</w:t>
            </w:r>
          </w:p>
        </w:tc>
        <w:tc>
          <w:tcPr>
            <w:tcW w:w="10060" w:type="dxa"/>
            <w:vAlign w:val="bottom"/>
            <w:gridSpan w:val="36"/>
          </w:tcPr>
          <w:p>
            <w:pPr>
              <w:spacing w:after="0"/>
              <w:rPr>
                <w:rFonts w:ascii="Arial" w:cs="Arial" w:eastAsia="Arial" w:hAnsi="Arial"/>
                <w:sz w:val="18"/>
                <w:szCs w:val="18"/>
                <w:color w:val="auto"/>
                <w:w w:val="93"/>
              </w:rPr>
            </w:pPr>
            <w:hyperlink r:id="rId243">
              <w:r>
                <w:rPr>
                  <w:rFonts w:ascii="Arial" w:cs="Arial" w:eastAsia="Arial" w:hAnsi="Arial"/>
                  <w:sz w:val="18"/>
                  <w:szCs w:val="18"/>
                  <w:color w:val="auto"/>
                  <w:w w:val="93"/>
                </w:rPr>
                <w:t>First Amendment to the Strategic Collaboration and License Agreement dated March 17, 2021, between CRISPR Therapeutics AG and</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200" w:type="dxa"/>
            <w:vAlign w:val="bottom"/>
            <w:tcBorders>
              <w:right w:val="single" w:sz="8" w:color="0000EE"/>
            </w:tcBorders>
            <w:gridSpan w:val="8"/>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10040" w:type="dxa"/>
            <w:vAlign w:val="bottom"/>
            <w:gridSpan w:val="35"/>
          </w:tcPr>
          <w:p>
            <w:pPr>
              <w:spacing w:after="0" w:line="156" w:lineRule="exact"/>
              <w:rPr>
                <w:rFonts w:ascii="Arial" w:cs="Arial" w:eastAsia="Arial" w:hAnsi="Arial"/>
                <w:sz w:val="18"/>
                <w:szCs w:val="18"/>
                <w:color w:val="auto"/>
                <w:w w:val="92"/>
              </w:rPr>
            </w:pPr>
            <w:hyperlink r:id="rId243">
              <w:r>
                <w:rPr>
                  <w:rFonts w:ascii="Arial" w:cs="Arial" w:eastAsia="Arial" w:hAnsi="Arial"/>
                  <w:sz w:val="18"/>
                  <w:szCs w:val="18"/>
                  <w:color w:val="auto"/>
                  <w:w w:val="92"/>
                </w:rPr>
                <w:t>Vertex Pharmaceuticals Incorporated (incorporated herein by reference to Exhibit 10.3 to the Company’s Quarterly Report on Form 10-Q</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EE"/>
            </w:tcBorders>
            <w:gridSpan w:val="32"/>
          </w:tcPr>
          <w:p>
            <w:pPr>
              <w:spacing w:after="0" w:line="156" w:lineRule="exact"/>
              <w:rPr>
                <w:rFonts w:ascii="Arial" w:cs="Arial" w:eastAsia="Arial" w:hAnsi="Arial"/>
                <w:sz w:val="18"/>
                <w:szCs w:val="18"/>
                <w:color w:val="auto"/>
              </w:rPr>
            </w:pPr>
            <w:hyperlink r:id="rId243">
              <w:r>
                <w:rPr>
                  <w:rFonts w:ascii="Arial" w:cs="Arial" w:eastAsia="Arial" w:hAnsi="Arial"/>
                  <w:sz w:val="18"/>
                  <w:szCs w:val="18"/>
                  <w:color w:val="auto"/>
                </w:rPr>
                <w:t>filed on April 27, 2021).</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10.25†^</w:t>
            </w:r>
          </w:p>
        </w:tc>
        <w:tc>
          <w:tcPr>
            <w:tcW w:w="10060" w:type="dxa"/>
            <w:vAlign w:val="bottom"/>
            <w:gridSpan w:val="36"/>
          </w:tcPr>
          <w:p>
            <w:pPr>
              <w:spacing w:after="0"/>
              <w:rPr>
                <w:rFonts w:ascii="Arial" w:cs="Arial" w:eastAsia="Arial" w:hAnsi="Arial"/>
                <w:sz w:val="18"/>
                <w:szCs w:val="18"/>
                <w:color w:val="auto"/>
                <w:w w:val="96"/>
              </w:rPr>
            </w:pPr>
            <w:hyperlink r:id="rId244">
              <w:r>
                <w:rPr>
                  <w:rFonts w:ascii="Arial" w:cs="Arial" w:eastAsia="Arial" w:hAnsi="Arial"/>
                  <w:sz w:val="18"/>
                  <w:szCs w:val="18"/>
                  <w:color w:val="auto"/>
                  <w:w w:val="96"/>
                </w:rPr>
                <w:t>Amended and Restated Joint Development and Commercialization Agreement between, on the one hand, Vertex Pharmaceuticals</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EE"/>
              <w:bottom w:val="single" w:sz="8" w:color="0000EE"/>
            </w:tcBorders>
            <w:gridSpan w:val="14"/>
          </w:tcPr>
          <w:p>
            <w:pPr>
              <w:spacing w:after="0" w:line="156" w:lineRule="exact"/>
              <w:rPr>
                <w:rFonts w:ascii="Arial" w:cs="Arial" w:eastAsia="Arial" w:hAnsi="Arial"/>
                <w:sz w:val="18"/>
                <w:szCs w:val="18"/>
                <w:color w:val="auto"/>
                <w:w w:val="87"/>
              </w:rPr>
            </w:pPr>
            <w:hyperlink r:id="rId244">
              <w:r>
                <w:rPr>
                  <w:rFonts w:ascii="Arial" w:cs="Arial" w:eastAsia="Arial" w:hAnsi="Arial"/>
                  <w:sz w:val="18"/>
                  <w:szCs w:val="18"/>
                  <w:color w:val="auto"/>
                  <w:w w:val="87"/>
                </w:rPr>
                <w:t>Incorporated and Vertex Pharmaceuticals (Europe) Limited, and on the other hand, CRISPR Therapeutics AG, CRISPR Therapeutics</w:t>
              </w:r>
            </w:hyperlink>
          </w:p>
        </w:tc>
        <w:tc>
          <w:tcPr>
            <w:tcW w:w="200" w:type="dxa"/>
            <w:vAlign w:val="bottom"/>
            <w:tcBorders>
              <w:bottom w:val="single" w:sz="8" w:color="0000EE"/>
            </w:tcBorders>
            <w:gridSpan w:val="8"/>
          </w:tcPr>
          <w:p>
            <w:pPr>
              <w:spacing w:after="0"/>
              <w:rPr>
                <w:sz w:val="13"/>
                <w:szCs w:val="13"/>
                <w:color w:val="auto"/>
              </w:rPr>
            </w:pPr>
          </w:p>
        </w:tc>
        <w:tc>
          <w:tcPr>
            <w:tcW w:w="100" w:type="dxa"/>
            <w:vAlign w:val="bottom"/>
            <w:tcBorders>
              <w:bottom w:val="single" w:sz="8" w:color="0000EE"/>
            </w:tcBorders>
            <w:gridSpan w:val="3"/>
          </w:tcPr>
          <w:p>
            <w:pPr>
              <w:spacing w:after="0"/>
              <w:rPr>
                <w:sz w:val="13"/>
                <w:szCs w:val="13"/>
                <w:color w:val="auto"/>
              </w:rPr>
            </w:pPr>
          </w:p>
        </w:tc>
        <w:tc>
          <w:tcPr>
            <w:tcW w:w="2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gridSpan w:val="25"/>
          </w:tcPr>
          <w:p>
            <w:pPr>
              <w:spacing w:after="0" w:line="156" w:lineRule="exact"/>
              <w:rPr>
                <w:rFonts w:ascii="Arial" w:cs="Arial" w:eastAsia="Arial" w:hAnsi="Arial"/>
                <w:sz w:val="18"/>
                <w:szCs w:val="18"/>
                <w:color w:val="auto"/>
                <w:w w:val="93"/>
              </w:rPr>
            </w:pPr>
            <w:hyperlink r:id="rId244">
              <w:r>
                <w:rPr>
                  <w:rFonts w:ascii="Arial" w:cs="Arial" w:eastAsia="Arial" w:hAnsi="Arial"/>
                  <w:sz w:val="18"/>
                  <w:szCs w:val="18"/>
                  <w:color w:val="auto"/>
                  <w:w w:val="93"/>
                </w:rPr>
                <w:t>Limited, CRISPR Therapeutics, Inc., and TRACR Hematology Ltd., dated as of April 16, 2021 (incorporated herein by reference to</w:t>
              </w:r>
            </w:hyperlink>
          </w:p>
        </w:tc>
        <w:tc>
          <w:tcPr>
            <w:tcW w:w="2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EE"/>
            </w:tcBorders>
            <w:gridSpan w:val="22"/>
          </w:tcPr>
          <w:p>
            <w:pPr>
              <w:spacing w:after="0" w:line="156" w:lineRule="exact"/>
              <w:rPr>
                <w:rFonts w:ascii="Arial" w:cs="Arial" w:eastAsia="Arial" w:hAnsi="Arial"/>
                <w:sz w:val="18"/>
                <w:szCs w:val="18"/>
                <w:color w:val="auto"/>
              </w:rPr>
            </w:pPr>
            <w:hyperlink r:id="rId244">
              <w:r>
                <w:rPr>
                  <w:rFonts w:ascii="Arial" w:cs="Arial" w:eastAsia="Arial" w:hAnsi="Arial"/>
                  <w:sz w:val="18"/>
                  <w:szCs w:val="18"/>
                  <w:color w:val="auto"/>
                </w:rPr>
                <w:t>Exhibit 10.4 to the Company’s Quarterly Report on Form 10-Q filed on April 27, 2021).</w:t>
              </w:r>
            </w:hyperlink>
          </w:p>
        </w:tc>
        <w:tc>
          <w:tcPr>
            <w:tcW w:w="30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20" w:type="dxa"/>
            <w:vAlign w:val="bottom"/>
            <w:gridSpan w:val="4"/>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3500" w:type="dxa"/>
            <w:vAlign w:val="bottom"/>
            <w:gridSpan w:val="2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10.26†</w:t>
            </w:r>
          </w:p>
        </w:tc>
        <w:tc>
          <w:tcPr>
            <w:tcW w:w="10060" w:type="dxa"/>
            <w:vAlign w:val="bottom"/>
            <w:gridSpan w:val="36"/>
          </w:tcPr>
          <w:p>
            <w:pPr>
              <w:spacing w:after="0"/>
              <w:rPr>
                <w:rFonts w:ascii="Arial" w:cs="Arial" w:eastAsia="Arial" w:hAnsi="Arial"/>
                <w:sz w:val="18"/>
                <w:szCs w:val="18"/>
                <w:color w:val="auto"/>
                <w:w w:val="91"/>
              </w:rPr>
            </w:pPr>
            <w:hyperlink r:id="rId245">
              <w:r>
                <w:rPr>
                  <w:rFonts w:ascii="Arial" w:cs="Arial" w:eastAsia="Arial" w:hAnsi="Arial"/>
                  <w:sz w:val="18"/>
                  <w:szCs w:val="18"/>
                  <w:color w:val="auto"/>
                  <w:w w:val="91"/>
                </w:rPr>
                <w:t>Joint Venture Termination Agreement, dated December 13, 2019, among Bayer Healthcare LLC (and certain affiliates of Bayer Healthcare</w:t>
              </w:r>
            </w:hyperlink>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EE"/>
            </w:tcBorders>
            <w:gridSpan w:val="34"/>
          </w:tcPr>
          <w:p>
            <w:pPr>
              <w:spacing w:after="0" w:line="156" w:lineRule="exact"/>
              <w:rPr>
                <w:rFonts w:ascii="Arial" w:cs="Arial" w:eastAsia="Arial" w:hAnsi="Arial"/>
                <w:sz w:val="18"/>
                <w:szCs w:val="18"/>
                <w:color w:val="auto"/>
                <w:w w:val="93"/>
              </w:rPr>
            </w:pPr>
            <w:hyperlink r:id="rId245">
              <w:r>
                <w:rPr>
                  <w:rFonts w:ascii="Arial" w:cs="Arial" w:eastAsia="Arial" w:hAnsi="Arial"/>
                  <w:sz w:val="18"/>
                  <w:szCs w:val="18"/>
                  <w:color w:val="auto"/>
                  <w:w w:val="93"/>
                </w:rPr>
                <w:t>LLC for purposes of Article II), CRISPR Therapeutics AG (and certain subsidiaries of CRISPR Therapeutics AG for purposes of Article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EE"/>
            </w:tcBorders>
            <w:gridSpan w:val="31"/>
          </w:tcPr>
          <w:p>
            <w:pPr>
              <w:spacing w:after="0" w:line="156" w:lineRule="exact"/>
              <w:rPr>
                <w:rFonts w:ascii="Arial" w:cs="Arial" w:eastAsia="Arial" w:hAnsi="Arial"/>
                <w:sz w:val="18"/>
                <w:szCs w:val="18"/>
                <w:color w:val="auto"/>
                <w:w w:val="92"/>
              </w:rPr>
            </w:pPr>
            <w:hyperlink r:id="rId245">
              <w:r>
                <w:rPr>
                  <w:rFonts w:ascii="Arial" w:cs="Arial" w:eastAsia="Arial" w:hAnsi="Arial"/>
                  <w:sz w:val="18"/>
                  <w:szCs w:val="18"/>
                  <w:color w:val="auto"/>
                  <w:w w:val="92"/>
                </w:rPr>
                <w:t>II), and Casebia Therapeutics Limited Liability Partnership (incorporated herein by reference to Exhibit 10.29 to the Company’s Annual</w:t>
              </w:r>
            </w:hyperlink>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tcBorders>
              <w:top w:val="single" w:sz="8" w:color="0000EE"/>
            </w:tcBorders>
            <w:gridSpan w:val="29"/>
          </w:tcPr>
          <w:p>
            <w:pPr>
              <w:spacing w:after="0" w:line="156" w:lineRule="exact"/>
              <w:rPr>
                <w:rFonts w:ascii="Arial" w:cs="Arial" w:eastAsia="Arial" w:hAnsi="Arial"/>
                <w:sz w:val="18"/>
                <w:szCs w:val="18"/>
                <w:color w:val="auto"/>
              </w:rPr>
            </w:pPr>
            <w:hyperlink r:id="rId245">
              <w:r>
                <w:rPr>
                  <w:rFonts w:ascii="Arial" w:cs="Arial" w:eastAsia="Arial" w:hAnsi="Arial"/>
                  <w:sz w:val="18"/>
                  <w:szCs w:val="18"/>
                  <w:color w:val="auto"/>
                </w:rPr>
                <w:t>Report on Form 10-K filed on February 12, 2020).</w:t>
              </w:r>
            </w:hyperlink>
          </w:p>
        </w:tc>
        <w:tc>
          <w:tcPr>
            <w:tcW w:w="2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736"/>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Borders>
              <w:top w:val="single" w:sz="8" w:color="0000EE"/>
            </w:tcBorders>
            <w:gridSpan w:val="4"/>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-1182370</wp:posOffset>
            </wp:positionV>
            <wp:extent cx="25400"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25400" cy="12890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07"/>
        </w:trPr>
        <w:tc>
          <w:tcPr>
            <w:tcW w:w="1200" w:type="dxa"/>
            <w:vAlign w:val="bottom"/>
          </w:tcPr>
          <w:p>
            <w:pPr>
              <w:ind w:left="20"/>
              <w:spacing w:after="0"/>
              <w:rPr>
                <w:sz w:val="20"/>
                <w:szCs w:val="20"/>
                <w:color w:val="auto"/>
              </w:rPr>
            </w:pPr>
            <w:r>
              <w:rPr>
                <w:rFonts w:ascii="Arial" w:cs="Arial" w:eastAsia="Arial" w:hAnsi="Arial"/>
                <w:sz w:val="18"/>
                <w:szCs w:val="18"/>
                <w:color w:val="auto"/>
              </w:rPr>
              <w:t>10.27†</w:t>
            </w:r>
          </w:p>
        </w:tc>
        <w:tc>
          <w:tcPr>
            <w:tcW w:w="10040" w:type="dxa"/>
            <w:vAlign w:val="bottom"/>
            <w:gridSpan w:val="29"/>
          </w:tcPr>
          <w:p>
            <w:pPr>
              <w:spacing w:after="0"/>
              <w:rPr>
                <w:rFonts w:ascii="Arial" w:cs="Arial" w:eastAsia="Arial" w:hAnsi="Arial"/>
                <w:sz w:val="18"/>
                <w:szCs w:val="18"/>
                <w:color w:val="auto"/>
                <w:w w:val="94"/>
              </w:rPr>
            </w:pPr>
            <w:hyperlink r:id="rId249">
              <w:r>
                <w:rPr>
                  <w:rFonts w:ascii="Arial" w:cs="Arial" w:eastAsia="Arial" w:hAnsi="Arial"/>
                  <w:sz w:val="18"/>
                  <w:szCs w:val="18"/>
                  <w:color w:val="auto"/>
                  <w:w w:val="94"/>
                </w:rPr>
                <w:t>Retirement Agreement, dated December 13, 2019, among Casebia Therapeutics Limited Liability Partnership, Bayer HealthCare LLC,</w:t>
              </w:r>
            </w:hyperlink>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EE"/>
              <w:bottom w:val="single" w:sz="8" w:color="0000EE"/>
            </w:tcBorders>
            <w:gridSpan w:val="21"/>
          </w:tcPr>
          <w:p>
            <w:pPr>
              <w:spacing w:after="0" w:line="156" w:lineRule="exact"/>
              <w:rPr>
                <w:rFonts w:ascii="Arial" w:cs="Arial" w:eastAsia="Arial" w:hAnsi="Arial"/>
                <w:sz w:val="18"/>
                <w:szCs w:val="18"/>
                <w:color w:val="auto"/>
                <w:w w:val="90"/>
              </w:rPr>
            </w:pPr>
            <w:hyperlink r:id="rId249">
              <w:r>
                <w:rPr>
                  <w:rFonts w:ascii="Arial" w:cs="Arial" w:eastAsia="Arial" w:hAnsi="Arial"/>
                  <w:sz w:val="18"/>
                  <w:szCs w:val="18"/>
                  <w:color w:val="auto"/>
                  <w:w w:val="90"/>
                </w:rPr>
                <w:t>CRISPR Therapeutics AG and CRISPR Therapeutics, Inc. (incorporated herein by reference to Exhibit 10.30 to the Company’s Annual</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23"/>
          </w:tcPr>
          <w:p>
            <w:pPr>
              <w:spacing w:after="0" w:line="156" w:lineRule="exact"/>
              <w:rPr>
                <w:rFonts w:ascii="Arial" w:cs="Arial" w:eastAsia="Arial" w:hAnsi="Arial"/>
                <w:sz w:val="18"/>
                <w:szCs w:val="18"/>
                <w:color w:val="auto"/>
              </w:rPr>
            </w:pPr>
            <w:hyperlink r:id="rId249">
              <w:r>
                <w:rPr>
                  <w:rFonts w:ascii="Arial" w:cs="Arial" w:eastAsia="Arial" w:hAnsi="Arial"/>
                  <w:sz w:val="18"/>
                  <w:szCs w:val="18"/>
                  <w:color w:val="auto"/>
                </w:rPr>
                <w:t>Report on Form 10-K filed on February 12, 2020).</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10.28†</w:t>
            </w:r>
          </w:p>
        </w:tc>
        <w:tc>
          <w:tcPr>
            <w:tcW w:w="10040" w:type="dxa"/>
            <w:vAlign w:val="bottom"/>
            <w:gridSpan w:val="29"/>
          </w:tcPr>
          <w:p>
            <w:pPr>
              <w:spacing w:after="0"/>
              <w:rPr>
                <w:rFonts w:ascii="Arial" w:cs="Arial" w:eastAsia="Arial" w:hAnsi="Arial"/>
                <w:sz w:val="18"/>
                <w:szCs w:val="18"/>
                <w:color w:val="auto"/>
                <w:w w:val="93"/>
              </w:rPr>
            </w:pPr>
            <w:hyperlink r:id="rId250">
              <w:r>
                <w:rPr>
                  <w:rFonts w:ascii="Arial" w:cs="Arial" w:eastAsia="Arial" w:hAnsi="Arial"/>
                  <w:sz w:val="18"/>
                  <w:szCs w:val="18"/>
                  <w:color w:val="auto"/>
                  <w:w w:val="93"/>
                </w:rPr>
                <w:t>Option Agreement, dated December 13, 2019, between CRISPR Therapeutics AG and Bayer HealthCare LLC (incorporated herein by</w:t>
              </w:r>
            </w:hyperlink>
          </w:p>
        </w:tc>
      </w:tr>
      <w:tr>
        <w:trPr>
          <w:trHeight w:val="155"/>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46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auto"/>
                <w:w w:val="91"/>
              </w:rPr>
            </w:pPr>
            <w:hyperlink r:id="rId250">
              <w:r>
                <w:rPr>
                  <w:rFonts w:ascii="Arial" w:cs="Arial" w:eastAsia="Arial" w:hAnsi="Arial"/>
                  <w:sz w:val="18"/>
                  <w:szCs w:val="18"/>
                  <w:color w:val="auto"/>
                  <w:w w:val="91"/>
                </w:rPr>
                <w:t>reference to Exhibit 10.31 to the Company’s Annual Report on Form 10-K filed on February 12, 2020).</w:t>
              </w:r>
            </w:hyperlink>
          </w:p>
        </w:tc>
        <w:tc>
          <w:tcPr>
            <w:tcW w:w="2260" w:type="dxa"/>
            <w:vAlign w:val="bottom"/>
            <w:tcBorders>
              <w:top w:val="single" w:sz="8" w:color="0000EE"/>
            </w:tcBorders>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10.29</w:t>
            </w:r>
          </w:p>
        </w:tc>
        <w:tc>
          <w:tcPr>
            <w:tcW w:w="10040" w:type="dxa"/>
            <w:vAlign w:val="bottom"/>
            <w:gridSpan w:val="29"/>
          </w:tcPr>
          <w:p>
            <w:pPr>
              <w:spacing w:after="0"/>
              <w:rPr>
                <w:rFonts w:ascii="Arial" w:cs="Arial" w:eastAsia="Arial" w:hAnsi="Arial"/>
                <w:sz w:val="18"/>
                <w:szCs w:val="18"/>
                <w:color w:val="auto"/>
                <w:w w:val="90"/>
              </w:rPr>
            </w:pPr>
            <w:hyperlink r:id="rId251">
              <w:r>
                <w:rPr>
                  <w:rFonts w:ascii="Arial" w:cs="Arial" w:eastAsia="Arial" w:hAnsi="Arial"/>
                  <w:sz w:val="18"/>
                  <w:szCs w:val="18"/>
                  <w:color w:val="auto"/>
                  <w:w w:val="90"/>
                </w:rPr>
                <w:t>Consent to Sublease, dated May 16, 2016, by and between CRISPR Therapeutics, Inc. and Pfizer Inc. (incorporated herein by reference to</w:t>
              </w:r>
            </w:hyperlink>
          </w:p>
        </w:tc>
      </w:tr>
      <w:tr>
        <w:trPr>
          <w:trHeight w:val="156"/>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704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auto"/>
                <w:w w:val="90"/>
              </w:rPr>
            </w:pPr>
            <w:hyperlink r:id="rId251">
              <w:r>
                <w:rPr>
                  <w:rFonts w:ascii="Arial" w:cs="Arial" w:eastAsia="Arial" w:hAnsi="Arial"/>
                  <w:sz w:val="18"/>
                  <w:szCs w:val="18"/>
                  <w:color w:val="auto"/>
                  <w:w w:val="90"/>
                </w:rPr>
                <w:t>Exhibit 10.17 to the Company’s Registration Statement on Form S-1 filed on September 9, 2016).</w:t>
              </w:r>
            </w:hyperlink>
          </w:p>
        </w:tc>
        <w:tc>
          <w:tcPr>
            <w:tcW w:w="2940" w:type="dxa"/>
            <w:vAlign w:val="bottom"/>
            <w:tcBorders>
              <w:top w:val="single" w:sz="8" w:color="0000EE"/>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10.30†</w:t>
            </w:r>
          </w:p>
        </w:tc>
        <w:tc>
          <w:tcPr>
            <w:tcW w:w="10040" w:type="dxa"/>
            <w:vAlign w:val="bottom"/>
            <w:gridSpan w:val="29"/>
          </w:tcPr>
          <w:p>
            <w:pPr>
              <w:spacing w:after="0"/>
              <w:rPr>
                <w:rFonts w:ascii="Arial" w:cs="Arial" w:eastAsia="Arial" w:hAnsi="Arial"/>
                <w:sz w:val="18"/>
                <w:szCs w:val="18"/>
                <w:color w:val="auto"/>
                <w:w w:val="89"/>
              </w:rPr>
            </w:pPr>
            <w:hyperlink r:id="rId252">
              <w:r>
                <w:rPr>
                  <w:rFonts w:ascii="Arial" w:cs="Arial" w:eastAsia="Arial" w:hAnsi="Arial"/>
                  <w:sz w:val="18"/>
                  <w:szCs w:val="18"/>
                  <w:color w:val="auto"/>
                  <w:w w:val="89"/>
                </w:rPr>
                <w:t>Assignment of Sublease and Sub-Sublease, dated December 13, 2019, between Casebia Therapeutics LLC and CRISPR Therapeutics, Inc.</w:t>
              </w:r>
            </w:hyperlink>
          </w:p>
        </w:tc>
      </w:tr>
      <w:tr>
        <w:trPr>
          <w:trHeight w:val="156"/>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9180" w:type="dxa"/>
            <w:vAlign w:val="bottom"/>
            <w:tcBorders>
              <w:top w:val="single" w:sz="8" w:color="0000EE"/>
              <w:bottom w:val="single" w:sz="8" w:color="0000EE"/>
            </w:tcBorders>
            <w:gridSpan w:val="13"/>
          </w:tcPr>
          <w:p>
            <w:pPr>
              <w:spacing w:after="0" w:line="156" w:lineRule="exact"/>
              <w:rPr>
                <w:rFonts w:ascii="Arial" w:cs="Arial" w:eastAsia="Arial" w:hAnsi="Arial"/>
                <w:sz w:val="18"/>
                <w:szCs w:val="18"/>
                <w:color w:val="auto"/>
                <w:w w:val="91"/>
              </w:rPr>
            </w:pPr>
            <w:hyperlink r:id="rId252">
              <w:r>
                <w:rPr>
                  <w:rFonts w:ascii="Arial" w:cs="Arial" w:eastAsia="Arial" w:hAnsi="Arial"/>
                  <w:sz w:val="18"/>
                  <w:szCs w:val="18"/>
                  <w:color w:val="auto"/>
                  <w:w w:val="91"/>
                </w:rPr>
                <w:t>(incorporated herein by reference to Exhibit 10.32 to the Company’s Annual Report on Form 10-K filed on February 12, 2020).</w:t>
              </w:r>
            </w:hyperlink>
          </w:p>
        </w:tc>
        <w:tc>
          <w:tcPr>
            <w:tcW w:w="820" w:type="dxa"/>
            <w:vAlign w:val="bottom"/>
            <w:tcBorders>
              <w:top w:val="single" w:sz="8" w:color="0000EE"/>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10.31†^</w:t>
            </w:r>
          </w:p>
        </w:tc>
        <w:tc>
          <w:tcPr>
            <w:tcW w:w="10040" w:type="dxa"/>
            <w:vAlign w:val="bottom"/>
            <w:gridSpan w:val="29"/>
          </w:tcPr>
          <w:p>
            <w:pPr>
              <w:spacing w:after="0"/>
              <w:rPr>
                <w:rFonts w:ascii="Arial" w:cs="Arial" w:eastAsia="Arial" w:hAnsi="Arial"/>
                <w:sz w:val="18"/>
                <w:szCs w:val="18"/>
                <w:color w:val="auto"/>
                <w:w w:val="93"/>
              </w:rPr>
            </w:pPr>
            <w:hyperlink r:id="rId253">
              <w:r>
                <w:rPr>
                  <w:rFonts w:ascii="Arial" w:cs="Arial" w:eastAsia="Arial" w:hAnsi="Arial"/>
                  <w:sz w:val="18"/>
                  <w:szCs w:val="18"/>
                  <w:color w:val="auto"/>
                  <w:w w:val="93"/>
                </w:rPr>
                <w:t>Letter Agreement dated April 29, 2021 by and between CRISPR Therapeutics, Inc. and Pfizer Inc. (incorporated herein by reference to</w:t>
              </w:r>
            </w:hyperlink>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EE"/>
            </w:tcBorders>
            <w:gridSpan w:val="22"/>
          </w:tcPr>
          <w:p>
            <w:pPr>
              <w:spacing w:after="0" w:line="156" w:lineRule="exact"/>
              <w:rPr>
                <w:rFonts w:ascii="Arial" w:cs="Arial" w:eastAsia="Arial" w:hAnsi="Arial"/>
                <w:sz w:val="18"/>
                <w:szCs w:val="18"/>
                <w:color w:val="auto"/>
              </w:rPr>
            </w:pPr>
            <w:hyperlink r:id="rId253">
              <w:r>
                <w:rPr>
                  <w:rFonts w:ascii="Arial" w:cs="Arial" w:eastAsia="Arial" w:hAnsi="Arial"/>
                  <w:sz w:val="18"/>
                  <w:szCs w:val="18"/>
                  <w:color w:val="auto"/>
                </w:rPr>
                <w:t>Exhibit 10.2 to the Company’s Quarterly Report on Form 10-Q filed on July 29, 2021).</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10.32†*</w:t>
            </w:r>
          </w:p>
        </w:tc>
        <w:tc>
          <w:tcPr>
            <w:tcW w:w="7460" w:type="dxa"/>
            <w:vAlign w:val="bottom"/>
            <w:tcBorders>
              <w:bottom w:val="single" w:sz="8" w:color="0000EE"/>
            </w:tcBorders>
            <w:gridSpan w:val="11"/>
          </w:tcPr>
          <w:p>
            <w:pPr>
              <w:spacing w:after="0"/>
              <w:rPr>
                <w:rFonts w:ascii="Arial" w:cs="Arial" w:eastAsia="Arial" w:hAnsi="Arial"/>
                <w:sz w:val="18"/>
                <w:szCs w:val="18"/>
                <w:color w:val="auto"/>
                <w:w w:val="90"/>
              </w:rPr>
            </w:pPr>
            <w:hyperlink w:anchor="page190">
              <w:r>
                <w:rPr>
                  <w:rFonts w:ascii="Arial" w:cs="Arial" w:eastAsia="Arial" w:hAnsi="Arial"/>
                  <w:sz w:val="18"/>
                  <w:szCs w:val="18"/>
                  <w:color w:val="auto"/>
                  <w:w w:val="90"/>
                </w:rPr>
                <w:t>Letter Agreement dated December 16, 2021 by and between CRISPR Therapeutics, Inc. and Pfizer Inc.</w:t>
              </w:r>
            </w:hyperlink>
          </w:p>
        </w:tc>
        <w:tc>
          <w:tcPr>
            <w:tcW w:w="2580" w:type="dxa"/>
            <w:vAlign w:val="bottom"/>
            <w:gridSpan w:val="18"/>
          </w:tcPr>
          <w:p>
            <w:pPr>
              <w:spacing w:after="0"/>
              <w:rPr>
                <w:sz w:val="22"/>
                <w:szCs w:val="22"/>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10.33^</w:t>
            </w:r>
          </w:p>
        </w:tc>
        <w:tc>
          <w:tcPr>
            <w:tcW w:w="10040" w:type="dxa"/>
            <w:vAlign w:val="bottom"/>
            <w:gridSpan w:val="29"/>
          </w:tcPr>
          <w:p>
            <w:pPr>
              <w:spacing w:after="0"/>
              <w:rPr>
                <w:rFonts w:ascii="Arial" w:cs="Arial" w:eastAsia="Arial" w:hAnsi="Arial"/>
                <w:sz w:val="18"/>
                <w:szCs w:val="18"/>
                <w:color w:val="auto"/>
                <w:w w:val="91"/>
              </w:rPr>
            </w:pPr>
            <w:hyperlink r:id="rId254">
              <w:r>
                <w:rPr>
                  <w:rFonts w:ascii="Arial" w:cs="Arial" w:eastAsia="Arial" w:hAnsi="Arial"/>
                  <w:sz w:val="18"/>
                  <w:szCs w:val="18"/>
                  <w:color w:val="auto"/>
                  <w:w w:val="91"/>
                </w:rPr>
                <w:t>Lease, dated May 5, 2020, by and between CRISPR Therapeutics, Inc. and CRP/KING 33 NY AVE. OWNER, L.L.C. (incorporated herein</w:t>
              </w:r>
            </w:hyperlink>
          </w:p>
        </w:tc>
      </w:tr>
      <w:tr>
        <w:trPr>
          <w:trHeight w:val="155"/>
        </w:trPr>
        <w:tc>
          <w:tcPr>
            <w:tcW w:w="1200" w:type="dxa"/>
            <w:vAlign w:val="bottom"/>
          </w:tcPr>
          <w:p>
            <w:pPr>
              <w:spacing w:after="0"/>
              <w:rPr>
                <w:sz w:val="13"/>
                <w:szCs w:val="13"/>
                <w:color w:val="auto"/>
              </w:rPr>
            </w:pPr>
          </w:p>
        </w:tc>
        <w:tc>
          <w:tcPr>
            <w:tcW w:w="10020" w:type="dxa"/>
            <w:vAlign w:val="bottom"/>
            <w:tcBorders>
              <w:top w:val="single" w:sz="8" w:color="0000EE"/>
            </w:tcBorders>
            <w:gridSpan w:val="28"/>
          </w:tcPr>
          <w:p>
            <w:pPr>
              <w:spacing w:after="0" w:line="156" w:lineRule="exact"/>
              <w:rPr>
                <w:rFonts w:ascii="Arial" w:cs="Arial" w:eastAsia="Arial" w:hAnsi="Arial"/>
                <w:sz w:val="18"/>
                <w:szCs w:val="18"/>
                <w:color w:val="auto"/>
              </w:rPr>
            </w:pPr>
            <w:hyperlink r:id="rId254">
              <w:r>
                <w:rPr>
                  <w:rFonts w:ascii="Arial" w:cs="Arial" w:eastAsia="Arial" w:hAnsi="Arial"/>
                  <w:sz w:val="18"/>
                  <w:szCs w:val="18"/>
                  <w:color w:val="auto"/>
                </w:rPr>
                <w:t>by reference to Exhibit 10.1 to the Company’s Quarterly Report on Form 10-Q filed on April 27, 2021).</w:t>
              </w:r>
            </w:hyperlink>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10.34^</w:t>
            </w:r>
          </w:p>
        </w:tc>
        <w:tc>
          <w:tcPr>
            <w:tcW w:w="10040" w:type="dxa"/>
            <w:vAlign w:val="bottom"/>
            <w:gridSpan w:val="29"/>
          </w:tcPr>
          <w:p>
            <w:pPr>
              <w:spacing w:after="0"/>
              <w:rPr>
                <w:rFonts w:ascii="Arial" w:cs="Arial" w:eastAsia="Arial" w:hAnsi="Arial"/>
                <w:sz w:val="18"/>
                <w:szCs w:val="18"/>
                <w:color w:val="auto"/>
                <w:w w:val="92"/>
              </w:rPr>
            </w:pPr>
            <w:hyperlink r:id="rId255">
              <w:r>
                <w:rPr>
                  <w:rFonts w:ascii="Arial" w:cs="Arial" w:eastAsia="Arial" w:hAnsi="Arial"/>
                  <w:sz w:val="18"/>
                  <w:szCs w:val="18"/>
                  <w:color w:val="auto"/>
                  <w:w w:val="92"/>
                </w:rPr>
                <w:t>First Amendment to Lease dated December 2, 2020, by and between CRISPR Therapeutics, Inc. and CRP/KING 33 NY AVE. OWNER,</w:t>
              </w:r>
            </w:hyperlink>
          </w:p>
        </w:tc>
      </w:tr>
      <w:tr>
        <w:trPr>
          <w:trHeight w:val="155"/>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9500" w:type="dxa"/>
            <w:vAlign w:val="bottom"/>
            <w:tcBorders>
              <w:top w:val="single" w:sz="8" w:color="0000EE"/>
              <w:bottom w:val="single" w:sz="8" w:color="0000EE"/>
            </w:tcBorders>
            <w:gridSpan w:val="14"/>
          </w:tcPr>
          <w:p>
            <w:pPr>
              <w:spacing w:after="0" w:line="156" w:lineRule="exact"/>
              <w:rPr>
                <w:rFonts w:ascii="Arial" w:cs="Arial" w:eastAsia="Arial" w:hAnsi="Arial"/>
                <w:sz w:val="18"/>
                <w:szCs w:val="18"/>
                <w:color w:val="auto"/>
                <w:w w:val="92"/>
              </w:rPr>
            </w:pPr>
            <w:hyperlink r:id="rId255">
              <w:r>
                <w:rPr>
                  <w:rFonts w:ascii="Arial" w:cs="Arial" w:eastAsia="Arial" w:hAnsi="Arial"/>
                  <w:sz w:val="18"/>
                  <w:szCs w:val="18"/>
                  <w:color w:val="auto"/>
                  <w:w w:val="92"/>
                </w:rPr>
                <w:t>L.L.C. (incorporated herein by reference to Exhibit 10.2 to the Company’s Quarterly Report on Form 10-Q filed on April 27, 2021).</w:t>
              </w:r>
            </w:hyperlink>
          </w:p>
        </w:tc>
        <w:tc>
          <w:tcPr>
            <w:tcW w:w="380" w:type="dxa"/>
            <w:vAlign w:val="bottom"/>
            <w:tcBorders>
              <w:top w:val="single" w:sz="8" w:color="0000EE"/>
            </w:tcBorders>
            <w:gridSpan w:val="11"/>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10.35^</w:t>
            </w:r>
          </w:p>
        </w:tc>
        <w:tc>
          <w:tcPr>
            <w:tcW w:w="10040" w:type="dxa"/>
            <w:vAlign w:val="bottom"/>
            <w:gridSpan w:val="29"/>
          </w:tcPr>
          <w:p>
            <w:pPr>
              <w:spacing w:after="0"/>
              <w:rPr>
                <w:rFonts w:ascii="Arial" w:cs="Arial" w:eastAsia="Arial" w:hAnsi="Arial"/>
                <w:sz w:val="18"/>
                <w:szCs w:val="18"/>
                <w:color w:val="auto"/>
                <w:w w:val="95"/>
              </w:rPr>
            </w:pPr>
            <w:hyperlink r:id="rId256">
              <w:r>
                <w:rPr>
                  <w:rFonts w:ascii="Arial" w:cs="Arial" w:eastAsia="Arial" w:hAnsi="Arial"/>
                  <w:sz w:val="18"/>
                  <w:szCs w:val="18"/>
                  <w:color w:val="auto"/>
                  <w:w w:val="95"/>
                </w:rPr>
                <w:t>Second Amendment to Lease dated April __, 2021, by and between CRISPR Therapeutics, Inc. and 33 NYA OWNER (DE) LLC, as</w:t>
              </w:r>
            </w:hyperlink>
          </w:p>
        </w:tc>
      </w:tr>
      <w:tr>
        <w:trPr>
          <w:trHeight w:val="156"/>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EE"/>
              <w:bottom w:val="single" w:sz="8" w:color="0000EE"/>
            </w:tcBorders>
            <w:gridSpan w:val="15"/>
          </w:tcPr>
          <w:p>
            <w:pPr>
              <w:spacing w:after="0" w:line="156" w:lineRule="exact"/>
              <w:rPr>
                <w:rFonts w:ascii="Arial" w:cs="Arial" w:eastAsia="Arial" w:hAnsi="Arial"/>
                <w:sz w:val="18"/>
                <w:szCs w:val="18"/>
                <w:color w:val="auto"/>
                <w:w w:val="91"/>
              </w:rPr>
            </w:pPr>
            <w:hyperlink r:id="rId256">
              <w:r>
                <w:rPr>
                  <w:rFonts w:ascii="Arial" w:cs="Arial" w:eastAsia="Arial" w:hAnsi="Arial"/>
                  <w:sz w:val="18"/>
                  <w:szCs w:val="18"/>
                  <w:color w:val="auto"/>
                  <w:w w:val="91"/>
                </w:rPr>
                <w:t>successor in interest to CRP/KING 33 NY AVE. OWNER, L.L.C. (incorporated herein by reference to Exhibit 10.1 to the Company’s</w:t>
              </w:r>
            </w:hyperlink>
          </w:p>
        </w:tc>
        <w:tc>
          <w:tcPr>
            <w:tcW w:w="2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tcPr>
          <w:p>
            <w:pPr>
              <w:spacing w:after="0"/>
              <w:rPr>
                <w:sz w:val="13"/>
                <w:szCs w:val="13"/>
                <w:color w:val="auto"/>
              </w:rPr>
            </w:pPr>
          </w:p>
        </w:tc>
        <w:tc>
          <w:tcPr>
            <w:tcW w:w="4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155"/>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20" w:type="dxa"/>
            <w:vAlign w:val="bottom"/>
            <w:tcBorders>
              <w:bottom w:val="single" w:sz="8" w:color="0000EE"/>
            </w:tcBorders>
            <w:gridSpan w:val="5"/>
          </w:tcPr>
          <w:p>
            <w:pPr>
              <w:spacing w:after="0" w:line="156" w:lineRule="exact"/>
              <w:rPr>
                <w:rFonts w:ascii="Arial" w:cs="Arial" w:eastAsia="Arial" w:hAnsi="Arial"/>
                <w:sz w:val="18"/>
                <w:szCs w:val="18"/>
                <w:color w:val="auto"/>
                <w:w w:val="91"/>
              </w:rPr>
            </w:pPr>
            <w:hyperlink r:id="rId256">
              <w:r>
                <w:rPr>
                  <w:rFonts w:ascii="Arial" w:cs="Arial" w:eastAsia="Arial" w:hAnsi="Arial"/>
                  <w:sz w:val="18"/>
                  <w:szCs w:val="18"/>
                  <w:color w:val="auto"/>
                  <w:w w:val="91"/>
                </w:rPr>
                <w:t>Quarterly Report on Form 10-Q filed on July 29, 2021).</w:t>
              </w:r>
            </w:hyperlink>
          </w:p>
        </w:tc>
        <w:tc>
          <w:tcPr>
            <w:tcW w:w="566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10.36†</w:t>
            </w:r>
          </w:p>
        </w:tc>
        <w:tc>
          <w:tcPr>
            <w:tcW w:w="10040" w:type="dxa"/>
            <w:vAlign w:val="bottom"/>
            <w:gridSpan w:val="29"/>
          </w:tcPr>
          <w:p>
            <w:pPr>
              <w:spacing w:after="0"/>
              <w:rPr>
                <w:rFonts w:ascii="Arial" w:cs="Arial" w:eastAsia="Arial" w:hAnsi="Arial"/>
                <w:sz w:val="18"/>
                <w:szCs w:val="18"/>
                <w:color w:val="auto"/>
                <w:w w:val="94"/>
              </w:rPr>
            </w:pPr>
            <w:hyperlink r:id="rId257">
              <w:r>
                <w:rPr>
                  <w:rFonts w:ascii="Arial" w:cs="Arial" w:eastAsia="Arial" w:hAnsi="Arial"/>
                  <w:sz w:val="18"/>
                  <w:szCs w:val="18"/>
                  <w:color w:val="auto"/>
                  <w:w w:val="94"/>
                </w:rPr>
                <w:t>Lease, dated July 24, 2020, by and between CRISPR Therapeutics, Inc. and 105 W First Street Owner, L.L.C. (incorporated herein by</w:t>
              </w:r>
            </w:hyperlink>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EE"/>
            </w:tcBorders>
            <w:gridSpan w:val="19"/>
          </w:tcPr>
          <w:p>
            <w:pPr>
              <w:spacing w:after="0" w:line="156" w:lineRule="exact"/>
              <w:rPr>
                <w:rFonts w:ascii="Arial" w:cs="Arial" w:eastAsia="Arial" w:hAnsi="Arial"/>
                <w:sz w:val="18"/>
                <w:szCs w:val="18"/>
                <w:color w:val="auto"/>
              </w:rPr>
            </w:pPr>
            <w:hyperlink r:id="rId257">
              <w:r>
                <w:rPr>
                  <w:rFonts w:ascii="Arial" w:cs="Arial" w:eastAsia="Arial" w:hAnsi="Arial"/>
                  <w:sz w:val="18"/>
                  <w:szCs w:val="18"/>
                  <w:color w:val="auto"/>
                </w:rPr>
                <w:t>reference to Exhibit 10.1 to the Company’s Quarterly Report on Form 10-Q filed on July 27, 2020).</w:t>
              </w:r>
            </w:hyperlink>
          </w:p>
        </w:tc>
        <w:tc>
          <w:tcPr>
            <w:tcW w:w="100" w:type="dxa"/>
            <w:vAlign w:val="bottom"/>
            <w:gridSpan w:val="5"/>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10.37*</w:t>
            </w:r>
          </w:p>
        </w:tc>
        <w:tc>
          <w:tcPr>
            <w:tcW w:w="8900" w:type="dxa"/>
            <w:vAlign w:val="bottom"/>
            <w:tcBorders>
              <w:bottom w:val="single" w:sz="8" w:color="0000EE"/>
            </w:tcBorders>
            <w:gridSpan w:val="13"/>
          </w:tcPr>
          <w:p>
            <w:pPr>
              <w:spacing w:after="0"/>
              <w:rPr>
                <w:rFonts w:ascii="Arial" w:cs="Arial" w:eastAsia="Arial" w:hAnsi="Arial"/>
                <w:sz w:val="18"/>
                <w:szCs w:val="18"/>
                <w:color w:val="auto"/>
                <w:w w:val="90"/>
              </w:rPr>
            </w:pPr>
            <w:hyperlink w:anchor="page192">
              <w:r>
                <w:rPr>
                  <w:rFonts w:ascii="Arial" w:cs="Arial" w:eastAsia="Arial" w:hAnsi="Arial"/>
                  <w:sz w:val="18"/>
                  <w:szCs w:val="18"/>
                  <w:color w:val="auto"/>
                  <w:w w:val="90"/>
                </w:rPr>
                <w:t>Letter Agreement dated January 6, 2022, by and between CRISPR Therapeutics, Inc. and 105 W First Street Owner, L.L.C.</w:t>
              </w:r>
            </w:hyperlink>
          </w:p>
        </w:tc>
        <w:tc>
          <w:tcPr>
            <w:tcW w:w="1140" w:type="dxa"/>
            <w:vAlign w:val="bottom"/>
            <w:gridSpan w:val="16"/>
          </w:tcPr>
          <w:p>
            <w:pPr>
              <w:spacing w:after="0"/>
              <w:rPr>
                <w:sz w:val="22"/>
                <w:szCs w:val="22"/>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21.1*</w:t>
            </w:r>
          </w:p>
        </w:tc>
        <w:tc>
          <w:tcPr>
            <w:tcW w:w="2140" w:type="dxa"/>
            <w:vAlign w:val="bottom"/>
            <w:tcBorders>
              <w:bottom w:val="single" w:sz="8" w:color="0000EE"/>
            </w:tcBorders>
            <w:gridSpan w:val="2"/>
          </w:tcPr>
          <w:p>
            <w:pPr>
              <w:spacing w:after="0"/>
              <w:rPr>
                <w:rFonts w:ascii="Arial" w:cs="Arial" w:eastAsia="Arial" w:hAnsi="Arial"/>
                <w:sz w:val="18"/>
                <w:szCs w:val="18"/>
                <w:color w:val="auto"/>
                <w:w w:val="90"/>
              </w:rPr>
            </w:pPr>
            <w:hyperlink w:anchor="page196">
              <w:r>
                <w:rPr>
                  <w:rFonts w:ascii="Arial" w:cs="Arial" w:eastAsia="Arial" w:hAnsi="Arial"/>
                  <w:sz w:val="18"/>
                  <w:szCs w:val="18"/>
                  <w:color w:val="auto"/>
                  <w:w w:val="90"/>
                </w:rPr>
                <w:t>Subsidiaries of the Registrant</w:t>
              </w:r>
            </w:hyperlink>
          </w:p>
        </w:tc>
        <w:tc>
          <w:tcPr>
            <w:tcW w:w="7900" w:type="dxa"/>
            <w:vAlign w:val="bottom"/>
            <w:gridSpan w:val="27"/>
          </w:tcPr>
          <w:p>
            <w:pPr>
              <w:spacing w:after="0"/>
              <w:rPr>
                <w:sz w:val="22"/>
                <w:szCs w:val="22"/>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23.1*</w:t>
            </w:r>
          </w:p>
        </w:tc>
        <w:tc>
          <w:tcPr>
            <w:tcW w:w="10040" w:type="dxa"/>
            <w:vAlign w:val="bottom"/>
            <w:gridSpan w:val="29"/>
          </w:tcPr>
          <w:p>
            <w:pPr>
              <w:spacing w:after="0"/>
              <w:rPr>
                <w:rFonts w:ascii="Arial" w:cs="Arial" w:eastAsia="Arial" w:hAnsi="Arial"/>
                <w:sz w:val="18"/>
                <w:szCs w:val="18"/>
                <w:color w:val="auto"/>
              </w:rPr>
            </w:pPr>
            <w:hyperlink w:anchor="page197">
              <w:r>
                <w:rPr>
                  <w:rFonts w:ascii="Arial" w:cs="Arial" w:eastAsia="Arial" w:hAnsi="Arial"/>
                  <w:sz w:val="18"/>
                  <w:szCs w:val="18"/>
                  <w:color w:val="auto"/>
                </w:rPr>
                <w:t>Consent of Ernst &amp; Young LLP</w:t>
              </w:r>
            </w:hyperlink>
          </w:p>
        </w:tc>
      </w:tr>
      <w:tr>
        <w:trPr>
          <w:trHeight w:val="20"/>
        </w:trPr>
        <w:tc>
          <w:tcPr>
            <w:tcW w:w="120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62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439"/>
        </w:trPr>
        <w:tc>
          <w:tcPr>
            <w:tcW w:w="1200" w:type="dxa"/>
            <w:vAlign w:val="bottom"/>
          </w:tcPr>
          <w:p>
            <w:pPr>
              <w:ind w:left="20"/>
              <w:spacing w:after="0"/>
              <w:rPr>
                <w:sz w:val="20"/>
                <w:szCs w:val="20"/>
                <w:color w:val="auto"/>
              </w:rPr>
            </w:pPr>
            <w:r>
              <w:rPr>
                <w:rFonts w:ascii="Arial" w:cs="Arial" w:eastAsia="Arial" w:hAnsi="Arial"/>
                <w:sz w:val="18"/>
                <w:szCs w:val="18"/>
                <w:color w:val="auto"/>
              </w:rPr>
              <w:t>31.1*</w:t>
            </w:r>
          </w:p>
        </w:tc>
        <w:tc>
          <w:tcPr>
            <w:tcW w:w="10040" w:type="dxa"/>
            <w:vAlign w:val="bottom"/>
            <w:gridSpan w:val="29"/>
          </w:tcPr>
          <w:p>
            <w:pPr>
              <w:spacing w:after="0"/>
              <w:rPr>
                <w:rFonts w:ascii="Arial" w:cs="Arial" w:eastAsia="Arial" w:hAnsi="Arial"/>
                <w:sz w:val="18"/>
                <w:szCs w:val="18"/>
                <w:color w:val="auto"/>
                <w:w w:val="95"/>
              </w:rPr>
            </w:pPr>
            <w:hyperlink w:anchor="page198">
              <w:r>
                <w:rPr>
                  <w:rFonts w:ascii="Arial" w:cs="Arial" w:eastAsia="Arial" w:hAnsi="Arial"/>
                  <w:sz w:val="18"/>
                  <w:szCs w:val="18"/>
                  <w:color w:val="auto"/>
                  <w:w w:val="95"/>
                </w:rPr>
                <w:t>Certification of Principal Executive Officer Pursuant to Rules 13a-14(a) and 15d-14(a) under the Securities Exchange Act of 1934, as</w:t>
              </w:r>
            </w:hyperlink>
          </w:p>
        </w:tc>
      </w:tr>
      <w:tr>
        <w:trPr>
          <w:trHeight w:val="155"/>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98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auto"/>
                <w:w w:val="90"/>
              </w:rPr>
            </w:pPr>
            <w:hyperlink w:anchor="page198">
              <w:r>
                <w:rPr>
                  <w:rFonts w:ascii="Arial" w:cs="Arial" w:eastAsia="Arial" w:hAnsi="Arial"/>
                  <w:sz w:val="18"/>
                  <w:szCs w:val="18"/>
                  <w:color w:val="auto"/>
                  <w:w w:val="90"/>
                </w:rPr>
                <w:t>Adopted Pursuant to Section 302 of the Sarbanes-Oxley Act of 2002.</w:t>
              </w:r>
            </w:hyperlink>
          </w:p>
        </w:tc>
        <w:tc>
          <w:tcPr>
            <w:tcW w:w="4660" w:type="dxa"/>
            <w:vAlign w:val="bottom"/>
            <w:tcBorders>
              <w:top w:val="single" w:sz="8" w:color="0000EE"/>
            </w:tcBorders>
            <w:gridSpan w:val="11"/>
          </w:tcPr>
          <w:p>
            <w:pPr>
              <w:spacing w:after="0"/>
              <w:rPr>
                <w:sz w:val="13"/>
                <w:szCs w:val="13"/>
                <w:color w:val="auto"/>
              </w:rPr>
            </w:pPr>
          </w:p>
        </w:tc>
        <w:tc>
          <w:tcPr>
            <w:tcW w:w="160" w:type="dxa"/>
            <w:vAlign w:val="bottom"/>
            <w:gridSpan w:val="7"/>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264"/>
        </w:trPr>
        <w:tc>
          <w:tcPr>
            <w:tcW w:w="1200" w:type="dxa"/>
            <w:vAlign w:val="bottom"/>
          </w:tcPr>
          <w:p>
            <w:pPr>
              <w:ind w:left="20"/>
              <w:spacing w:after="0"/>
              <w:rPr>
                <w:sz w:val="20"/>
                <w:szCs w:val="20"/>
                <w:color w:val="auto"/>
              </w:rPr>
            </w:pPr>
            <w:r>
              <w:rPr>
                <w:rFonts w:ascii="Arial" w:cs="Arial" w:eastAsia="Arial" w:hAnsi="Arial"/>
                <w:sz w:val="18"/>
                <w:szCs w:val="18"/>
                <w:color w:val="auto"/>
              </w:rPr>
              <w:t>31.2*</w:t>
            </w:r>
          </w:p>
        </w:tc>
        <w:tc>
          <w:tcPr>
            <w:tcW w:w="10040" w:type="dxa"/>
            <w:vAlign w:val="bottom"/>
            <w:gridSpan w:val="29"/>
          </w:tcPr>
          <w:p>
            <w:pPr>
              <w:spacing w:after="0"/>
              <w:rPr>
                <w:rFonts w:ascii="Arial" w:cs="Arial" w:eastAsia="Arial" w:hAnsi="Arial"/>
                <w:sz w:val="18"/>
                <w:szCs w:val="18"/>
                <w:color w:val="auto"/>
                <w:w w:val="95"/>
              </w:rPr>
            </w:pPr>
            <w:hyperlink w:anchor="page199">
              <w:r>
                <w:rPr>
                  <w:rFonts w:ascii="Arial" w:cs="Arial" w:eastAsia="Arial" w:hAnsi="Arial"/>
                  <w:sz w:val="18"/>
                  <w:szCs w:val="18"/>
                  <w:color w:val="auto"/>
                  <w:w w:val="95"/>
                </w:rPr>
                <w:t>Certification of Principal Financial Officer Pursuant to Rules 13a-14(a) and 15d-14(a) under the Securities Exchange Act of 1934, as</w:t>
              </w:r>
            </w:hyperlink>
          </w:p>
        </w:tc>
      </w:tr>
      <w:tr>
        <w:trPr>
          <w:trHeight w:val="155"/>
        </w:trPr>
        <w:tc>
          <w:tcPr>
            <w:tcW w:w="12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98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auto"/>
                <w:w w:val="90"/>
              </w:rPr>
            </w:pPr>
            <w:hyperlink w:anchor="page199">
              <w:r>
                <w:rPr>
                  <w:rFonts w:ascii="Arial" w:cs="Arial" w:eastAsia="Arial" w:hAnsi="Arial"/>
                  <w:sz w:val="18"/>
                  <w:szCs w:val="18"/>
                  <w:color w:val="auto"/>
                  <w:w w:val="90"/>
                </w:rPr>
                <w:t>Adopted Pursuant to Section 302 of the Sarbanes-Oxley Act of 2002.</w:t>
              </w:r>
            </w:hyperlink>
          </w:p>
        </w:tc>
        <w:tc>
          <w:tcPr>
            <w:tcW w:w="4620" w:type="dxa"/>
            <w:vAlign w:val="bottom"/>
            <w:tcBorders>
              <w:top w:val="single" w:sz="8" w:color="0000EE"/>
            </w:tcBorders>
            <w:gridSpan w:val="10"/>
          </w:tcPr>
          <w:p>
            <w:pPr>
              <w:spacing w:after="0"/>
              <w:rPr>
                <w:sz w:val="13"/>
                <w:szCs w:val="13"/>
                <w:color w:val="auto"/>
              </w:rPr>
            </w:pPr>
          </w:p>
        </w:tc>
        <w:tc>
          <w:tcPr>
            <w:tcW w:w="200" w:type="dxa"/>
            <w:vAlign w:val="bottom"/>
            <w:gridSpan w:val="8"/>
          </w:tcPr>
          <w:p>
            <w:pPr>
              <w:spacing w:after="0"/>
              <w:rPr>
                <w:sz w:val="13"/>
                <w:szCs w:val="13"/>
                <w:color w:val="auto"/>
              </w:rPr>
            </w:pPr>
          </w:p>
        </w:tc>
        <w:tc>
          <w:tcPr>
            <w:tcW w:w="220" w:type="dxa"/>
            <w:vAlign w:val="bottom"/>
            <w:gridSpan w:val="4"/>
          </w:tcPr>
          <w:p>
            <w:pPr>
              <w:spacing w:after="0"/>
              <w:rPr>
                <w:sz w:val="13"/>
                <w:szCs w:val="13"/>
                <w:color w:val="auto"/>
              </w:rPr>
            </w:pPr>
          </w:p>
        </w:tc>
      </w:tr>
      <w:tr>
        <w:trPr>
          <w:trHeight w:val="263"/>
        </w:trPr>
        <w:tc>
          <w:tcPr>
            <w:tcW w:w="1200" w:type="dxa"/>
            <w:vAlign w:val="bottom"/>
          </w:tcPr>
          <w:p>
            <w:pPr>
              <w:ind w:left="20"/>
              <w:spacing w:after="0"/>
              <w:rPr>
                <w:sz w:val="20"/>
                <w:szCs w:val="20"/>
                <w:color w:val="auto"/>
              </w:rPr>
            </w:pPr>
            <w:r>
              <w:rPr>
                <w:rFonts w:ascii="Arial" w:cs="Arial" w:eastAsia="Arial" w:hAnsi="Arial"/>
                <w:sz w:val="18"/>
                <w:szCs w:val="18"/>
                <w:color w:val="auto"/>
              </w:rPr>
              <w:t>32.1+</w:t>
            </w:r>
          </w:p>
        </w:tc>
        <w:tc>
          <w:tcPr>
            <w:tcW w:w="10040" w:type="dxa"/>
            <w:vAlign w:val="bottom"/>
            <w:gridSpan w:val="29"/>
          </w:tcPr>
          <w:p>
            <w:pPr>
              <w:spacing w:after="0"/>
              <w:rPr>
                <w:rFonts w:ascii="Arial" w:cs="Arial" w:eastAsia="Arial" w:hAnsi="Arial"/>
                <w:sz w:val="18"/>
                <w:szCs w:val="18"/>
                <w:color w:val="auto"/>
                <w:w w:val="94"/>
              </w:rPr>
            </w:pPr>
            <w:hyperlink w:anchor="page200">
              <w:r>
                <w:rPr>
                  <w:rFonts w:ascii="Arial" w:cs="Arial" w:eastAsia="Arial" w:hAnsi="Arial"/>
                  <w:sz w:val="18"/>
                  <w:szCs w:val="18"/>
                  <w:color w:val="auto"/>
                  <w:w w:val="94"/>
                </w:rPr>
                <w:t>Certification of Principal Executive Officer and Principal Financial Officer Pursuant to 18 U.S.C. Section 1350, as Adopted Pursuant to</w:t>
              </w:r>
            </w:hyperlink>
          </w:p>
        </w:tc>
      </w:tr>
      <w:tr>
        <w:trPr>
          <w:trHeight w:val="155"/>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EE"/>
            </w:tcBorders>
            <w:gridSpan w:val="24"/>
          </w:tcPr>
          <w:p>
            <w:pPr>
              <w:spacing w:after="0" w:line="156" w:lineRule="exact"/>
              <w:rPr>
                <w:rFonts w:ascii="Arial" w:cs="Arial" w:eastAsia="Arial" w:hAnsi="Arial"/>
                <w:sz w:val="18"/>
                <w:szCs w:val="18"/>
                <w:color w:val="auto"/>
              </w:rPr>
            </w:pPr>
            <w:hyperlink w:anchor="page200">
              <w:r>
                <w:rPr>
                  <w:rFonts w:ascii="Arial" w:cs="Arial" w:eastAsia="Arial" w:hAnsi="Arial"/>
                  <w:sz w:val="18"/>
                  <w:szCs w:val="18"/>
                  <w:color w:val="auto"/>
                </w:rPr>
                <w:t>Section 906 of the Sarbanes-Oxley Act of 2002.</w:t>
              </w:r>
            </w:hyperlink>
          </w:p>
        </w:tc>
        <w:tc>
          <w:tcPr>
            <w:tcW w:w="220" w:type="dxa"/>
            <w:vAlign w:val="bottom"/>
            <w:gridSpan w:val="4"/>
          </w:tcPr>
          <w:p>
            <w:pPr>
              <w:spacing w:after="0"/>
              <w:rPr>
                <w:sz w:val="13"/>
                <w:szCs w:val="13"/>
                <w:color w:val="auto"/>
              </w:rPr>
            </w:pPr>
          </w:p>
        </w:tc>
      </w:tr>
      <w:tr>
        <w:trPr>
          <w:trHeight w:val="642"/>
        </w:trPr>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top w:val="single" w:sz="8" w:color="0000EE"/>
            </w:tcBorders>
            <w:gridSpan w:val="3"/>
          </w:tcPr>
          <w:p>
            <w:pPr>
              <w:spacing w:after="0"/>
              <w:rPr>
                <w:sz w:val="24"/>
                <w:szCs w:val="24"/>
                <w:color w:val="auto"/>
              </w:rPr>
            </w:pPr>
          </w:p>
        </w:tc>
        <w:tc>
          <w:tcPr>
            <w:tcW w:w="1540" w:type="dxa"/>
            <w:vAlign w:val="bottom"/>
            <w:gridSpan w:val="3"/>
          </w:tcPr>
          <w:p>
            <w:pPr>
              <w:jc w:val="right"/>
              <w:ind w:right="440"/>
              <w:spacing w:after="0"/>
              <w:rPr>
                <w:sz w:val="20"/>
                <w:szCs w:val="20"/>
                <w:color w:val="auto"/>
              </w:rPr>
            </w:pPr>
            <w:r>
              <w:rPr>
                <w:rFonts w:ascii="Arial" w:cs="Arial" w:eastAsia="Arial" w:hAnsi="Arial"/>
                <w:sz w:val="18"/>
                <w:szCs w:val="18"/>
                <w:color w:val="auto"/>
              </w:rPr>
              <w:t>143</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9" w:name="page150"/>
    <w:bookmarkEnd w:id="149"/>
    <w:tbl>
      <w:tblPr>
        <w:tblLayout w:type="fixed"/>
        <w:tblInd w:w="2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tcPr>
          <w:p>
            <w:pPr>
              <w:ind w:left="24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940" w:type="dxa"/>
            <w:vAlign w:val="bottom"/>
          </w:tcPr>
          <w:p>
            <w:pPr>
              <w:spacing w:after="0"/>
              <w:rPr>
                <w:sz w:val="20"/>
                <w:szCs w:val="20"/>
                <w:color w:val="auto"/>
              </w:rPr>
            </w:pPr>
          </w:p>
        </w:tc>
        <w:tc>
          <w:tcPr>
            <w:tcW w:w="10100" w:type="dxa"/>
            <w:vAlign w:val="bottom"/>
          </w:tcPr>
          <w:p>
            <w:pPr>
              <w:ind w:left="240"/>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4"/>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right="4260" w:firstLine="21"/>
        <w:spacing w:after="0" w:line="330" w:lineRule="auto"/>
        <w:tabs>
          <w:tab w:leader="none" w:pos="1201"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 Furnished herewith.</w:t>
      </w:r>
    </w:p>
    <w:p>
      <w:pPr>
        <w:ind w:right="440" w:firstLine="8"/>
        <w:spacing w:after="0" w:line="234" w:lineRule="auto"/>
        <w:tabs>
          <w:tab w:leader="none" w:pos="1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they are not material and the registrant customarily and actually treats that information as private or confidential.</w:t>
      </w:r>
    </w:p>
    <w:p>
      <w:pPr>
        <w:spacing w:after="0" w:line="1" w:lineRule="exact"/>
        <w:rPr>
          <w:rFonts w:ascii="Arial" w:cs="Arial" w:eastAsia="Arial" w:hAnsi="Arial"/>
          <w:sz w:val="18"/>
          <w:szCs w:val="18"/>
          <w:color w:val="auto"/>
        </w:rPr>
      </w:pPr>
    </w:p>
    <w:p>
      <w:pPr>
        <w:spacing w:after="0" w:line="234" w:lineRule="auto"/>
        <w:rPr>
          <w:rFonts w:ascii="Arial" w:cs="Arial" w:eastAsia="Arial" w:hAnsi="Arial"/>
          <w:sz w:val="18"/>
          <w:szCs w:val="18"/>
          <w:color w:val="auto"/>
        </w:rPr>
      </w:pPr>
      <w:r>
        <w:rPr>
          <w:rFonts w:ascii="Arial" w:cs="Arial" w:eastAsia="Arial" w:hAnsi="Arial"/>
          <w:sz w:val="18"/>
          <w:szCs w:val="18"/>
          <w:color w:val="auto"/>
        </w:rPr>
        <w:t># A management contract or compensatory plan or arrangement required to be filed as an exhibit pursuant to Item 15(a)(3) of Form 10-K.</w:t>
      </w:r>
    </w:p>
    <w:p>
      <w:pPr>
        <w:spacing w:after="0" w:line="243" w:lineRule="auto"/>
        <w:rPr>
          <w:rFonts w:ascii="Arial" w:cs="Arial" w:eastAsia="Arial" w:hAnsi="Arial"/>
          <w:sz w:val="18"/>
          <w:szCs w:val="18"/>
          <w:color w:val="auto"/>
        </w:rPr>
      </w:pPr>
      <w:r>
        <w:rPr>
          <w:rFonts w:ascii="Arial" w:cs="Arial" w:eastAsia="Arial" w:hAnsi="Arial"/>
          <w:sz w:val="18"/>
          <w:szCs w:val="18"/>
          <w:color w:val="auto"/>
        </w:rPr>
        <w:t>^ Certain exhibits and schedules to these agreements have been omitted pursuant to Item 601 of Regulation S-K. The registrant will furnish copies of any of the exhibits and schedules to the Securities and Exchange Commission upon request.</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6960" w:type="dxa"/>
            <w:vAlign w:val="bottom"/>
            <w:gridSpan w:val="2"/>
          </w:tcPr>
          <w:p>
            <w:pPr>
              <w:ind w:left="2500"/>
              <w:spacing w:after="0"/>
              <w:rPr>
                <w:sz w:val="20"/>
                <w:szCs w:val="20"/>
                <w:color w:val="auto"/>
              </w:rPr>
            </w:pPr>
            <w:r>
              <w:rPr>
                <w:rFonts w:ascii="Arial" w:cs="Arial" w:eastAsia="Arial" w:hAnsi="Arial"/>
                <w:sz w:val="18"/>
                <w:szCs w:val="18"/>
                <w:color w:val="auto"/>
              </w:rPr>
              <w:t>CRISPR Therapeutics AG</w:t>
            </w:r>
          </w:p>
        </w:tc>
      </w:tr>
      <w:tr>
        <w:trPr>
          <w:trHeight w:val="418"/>
        </w:trPr>
        <w:tc>
          <w:tcPr>
            <w:tcW w:w="4260" w:type="dxa"/>
            <w:vAlign w:val="bottom"/>
          </w:tcPr>
          <w:p>
            <w:pPr>
              <w:spacing w:after="0"/>
              <w:rPr>
                <w:sz w:val="20"/>
                <w:szCs w:val="20"/>
                <w:color w:val="auto"/>
              </w:rPr>
            </w:pPr>
            <w:r>
              <w:rPr>
                <w:rFonts w:ascii="Arial" w:cs="Arial" w:eastAsia="Arial" w:hAnsi="Arial"/>
                <w:sz w:val="18"/>
                <w:szCs w:val="18"/>
                <w:color w:val="auto"/>
              </w:rPr>
              <w:t>Date: February 15, 2022</w:t>
            </w:r>
          </w:p>
        </w:tc>
        <w:tc>
          <w:tcPr>
            <w:tcW w:w="2940" w:type="dxa"/>
            <w:vAlign w:val="bottom"/>
          </w:tcPr>
          <w:p>
            <w:pPr>
              <w:ind w:left="250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Samarth Kulkarni</w:t>
            </w:r>
          </w:p>
        </w:tc>
      </w:tr>
      <w:tr>
        <w:trPr>
          <w:trHeight w:val="198"/>
        </w:trPr>
        <w:tc>
          <w:tcPr>
            <w:tcW w:w="42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0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Samarth Kulkarni</w:t>
            </w:r>
          </w:p>
        </w:tc>
      </w:tr>
    </w:tbl>
    <w:p>
      <w:pPr>
        <w:ind w:left="8320"/>
        <w:spacing w:after="0"/>
        <w:rPr>
          <w:sz w:val="20"/>
          <w:szCs w:val="20"/>
          <w:color w:val="auto"/>
        </w:rPr>
      </w:pPr>
      <w:r>
        <w:rPr>
          <w:rFonts w:ascii="Arial" w:cs="Arial" w:eastAsia="Arial" w:hAnsi="Arial"/>
          <w:sz w:val="18"/>
          <w:szCs w:val="18"/>
          <w:b w:val="1"/>
          <w:bCs w:val="1"/>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16" w:lineRule="exact"/>
        <w:rPr>
          <w:sz w:val="20"/>
          <w:szCs w:val="20"/>
          <w:color w:val="auto"/>
        </w:rPr>
      </w:pPr>
    </w:p>
    <w:p>
      <w:pPr>
        <w:ind w:right="160" w:firstLine="509"/>
        <w:spacing w:after="0" w:line="274" w:lineRule="auto"/>
        <w:rPr>
          <w:sz w:val="20"/>
          <w:szCs w:val="20"/>
          <w:color w:val="auto"/>
        </w:rPr>
      </w:pPr>
      <w:r>
        <w:rPr>
          <w:rFonts w:ascii="Arial" w:cs="Arial" w:eastAsia="Arial" w:hAnsi="Arial"/>
          <w:sz w:val="16"/>
          <w:szCs w:val="16"/>
          <w:color w:val="auto"/>
        </w:rPr>
        <w:t>We, the undersigned directors and officers of CRISPR Therapeutics AG (the “Company”), hereby severally constitute and appoint Rodger Novak, Samarth Kulkarni, Brendan Smith and James R. Kasinger, and each of them singly, our true and lawful attorneys, with full power to them, and to each of them singly, to sign for us and in our names in the capacities indicated below, any and all amendments to this Annual Report on Form 10-K,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63"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62" w:lineRule="exact"/>
        <w:rPr>
          <w:sz w:val="20"/>
          <w:szCs w:val="20"/>
          <w:color w:val="auto"/>
        </w:rPr>
      </w:pPr>
    </w:p>
    <w:p>
      <w:pPr>
        <w:ind w:left="1680"/>
        <w:spacing w:after="0"/>
        <w:tabs>
          <w:tab w:leader="none" w:pos="612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Samarth Kulkarni</w:t>
            </w:r>
          </w:p>
        </w:tc>
        <w:tc>
          <w:tcPr>
            <w:tcW w:w="458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c>
          <w:tcPr>
            <w:tcW w:w="2940" w:type="dxa"/>
            <w:vAlign w:val="bottom"/>
          </w:tcPr>
          <w:p>
            <w:pPr>
              <w:ind w:left="1060"/>
              <w:spacing w:after="0"/>
              <w:rPr>
                <w:sz w:val="20"/>
                <w:szCs w:val="20"/>
                <w:color w:val="auto"/>
              </w:rPr>
            </w:pPr>
            <w:r>
              <w:rPr>
                <w:rFonts w:ascii="Arial" w:cs="Arial" w:eastAsia="Arial" w:hAnsi="Arial"/>
                <w:sz w:val="18"/>
                <w:szCs w:val="18"/>
                <w:color w:val="auto"/>
              </w:rPr>
              <w:t>February 15,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2"/>
              </w:rPr>
              <w:t>Samarth Kulkarni</w:t>
            </w:r>
          </w:p>
        </w:tc>
        <w:tc>
          <w:tcPr>
            <w:tcW w:w="4580" w:type="dxa"/>
            <w:vAlign w:val="bottom"/>
          </w:tcPr>
          <w:p>
            <w:pPr>
              <w:ind w:left="140"/>
              <w:spacing w:after="0"/>
              <w:rPr>
                <w:sz w:val="20"/>
                <w:szCs w:val="20"/>
                <w:color w:val="auto"/>
              </w:rPr>
            </w:pPr>
            <w:r>
              <w:rPr>
                <w:rFonts w:ascii="Arial" w:cs="Arial" w:eastAsia="Arial" w:hAnsi="Arial"/>
                <w:sz w:val="14"/>
                <w:szCs w:val="14"/>
                <w:color w:val="auto"/>
              </w:rPr>
              <w:t>(Principal Executive Officer)</w:t>
            </w:r>
          </w:p>
        </w:tc>
        <w:tc>
          <w:tcPr>
            <w:tcW w:w="2940" w:type="dxa"/>
            <w:vAlign w:val="bottom"/>
          </w:tcPr>
          <w:p>
            <w:pPr>
              <w:spacing w:after="0"/>
              <w:rPr>
                <w:sz w:val="19"/>
                <w:szCs w:val="19"/>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Brendan Smith</w:t>
            </w:r>
          </w:p>
        </w:tc>
        <w:tc>
          <w:tcPr>
            <w:tcW w:w="45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2940" w:type="dxa"/>
            <w:vAlign w:val="bottom"/>
          </w:tcPr>
          <w:p>
            <w:pPr>
              <w:ind w:left="1060"/>
              <w:spacing w:after="0"/>
              <w:rPr>
                <w:sz w:val="20"/>
                <w:szCs w:val="20"/>
                <w:color w:val="auto"/>
              </w:rPr>
            </w:pPr>
            <w:r>
              <w:rPr>
                <w:rFonts w:ascii="Arial" w:cs="Arial" w:eastAsia="Arial" w:hAnsi="Arial"/>
                <w:sz w:val="18"/>
                <w:szCs w:val="18"/>
                <w:color w:val="auto"/>
              </w:rPr>
              <w:t>February 15,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0"/>
              </w:rPr>
              <w:t>Brendan Smith</w:t>
            </w:r>
          </w:p>
        </w:tc>
        <w:tc>
          <w:tcPr>
            <w:tcW w:w="4580" w:type="dxa"/>
            <w:vAlign w:val="bottom"/>
          </w:tcPr>
          <w:p>
            <w:pPr>
              <w:ind w:left="140"/>
              <w:spacing w:after="0"/>
              <w:rPr>
                <w:sz w:val="20"/>
                <w:szCs w:val="20"/>
                <w:color w:val="auto"/>
              </w:rPr>
            </w:pPr>
            <w:r>
              <w:rPr>
                <w:rFonts w:ascii="Arial" w:cs="Arial" w:eastAsia="Arial" w:hAnsi="Arial"/>
                <w:sz w:val="14"/>
                <w:szCs w:val="14"/>
                <w:color w:val="auto"/>
              </w:rPr>
              <w:t>(Principal Financial and Accounting Officer)</w:t>
            </w:r>
          </w:p>
        </w:tc>
        <w:tc>
          <w:tcPr>
            <w:tcW w:w="2940" w:type="dxa"/>
            <w:vAlign w:val="bottom"/>
          </w:tcPr>
          <w:p>
            <w:pPr>
              <w:spacing w:after="0"/>
              <w:rPr>
                <w:sz w:val="19"/>
                <w:szCs w:val="19"/>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Rodger Novak</w:t>
            </w:r>
          </w:p>
        </w:tc>
        <w:tc>
          <w:tcPr>
            <w:tcW w:w="4580" w:type="dxa"/>
            <w:vAlign w:val="bottom"/>
          </w:tcPr>
          <w:p>
            <w:pPr>
              <w:ind w:left="140"/>
              <w:spacing w:after="0"/>
              <w:rPr>
                <w:sz w:val="20"/>
                <w:szCs w:val="20"/>
                <w:color w:val="auto"/>
              </w:rPr>
            </w:pPr>
            <w:r>
              <w:rPr>
                <w:rFonts w:ascii="Arial" w:cs="Arial" w:eastAsia="Arial" w:hAnsi="Arial"/>
                <w:sz w:val="18"/>
                <w:szCs w:val="18"/>
                <w:color w:val="auto"/>
              </w:rPr>
              <w:t>President and Director</w:t>
            </w:r>
          </w:p>
        </w:tc>
        <w:tc>
          <w:tcPr>
            <w:tcW w:w="2940" w:type="dxa"/>
            <w:vAlign w:val="bottom"/>
          </w:tcPr>
          <w:p>
            <w:pPr>
              <w:ind w:left="1060"/>
              <w:spacing w:after="0"/>
              <w:rPr>
                <w:sz w:val="20"/>
                <w:szCs w:val="20"/>
                <w:color w:val="auto"/>
              </w:rPr>
            </w:pPr>
            <w:r>
              <w:rPr>
                <w:rFonts w:ascii="Arial" w:cs="Arial" w:eastAsia="Arial" w:hAnsi="Arial"/>
                <w:sz w:val="18"/>
                <w:szCs w:val="18"/>
                <w:color w:val="auto"/>
              </w:rPr>
              <w:t>February 15,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2"/>
              </w:rPr>
              <w:t>Rodger Novak</w:t>
            </w:r>
          </w:p>
        </w:tc>
        <w:tc>
          <w:tcPr>
            <w:tcW w:w="458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Ali Behbahani</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1060"/>
              <w:spacing w:after="0"/>
              <w:rPr>
                <w:sz w:val="20"/>
                <w:szCs w:val="20"/>
                <w:color w:val="auto"/>
              </w:rPr>
            </w:pPr>
            <w:r>
              <w:rPr>
                <w:rFonts w:ascii="Arial" w:cs="Arial" w:eastAsia="Arial" w:hAnsi="Arial"/>
                <w:sz w:val="18"/>
                <w:szCs w:val="18"/>
                <w:color w:val="auto"/>
              </w:rPr>
              <w:t>February 15,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3"/>
              </w:rPr>
              <w:t>Ali Behbahani</w:t>
            </w:r>
          </w:p>
        </w:tc>
        <w:tc>
          <w:tcPr>
            <w:tcW w:w="458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Bradley Bolzon</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1060"/>
              <w:spacing w:after="0"/>
              <w:rPr>
                <w:sz w:val="20"/>
                <w:szCs w:val="20"/>
                <w:color w:val="auto"/>
              </w:rPr>
            </w:pPr>
            <w:r>
              <w:rPr>
                <w:rFonts w:ascii="Arial" w:cs="Arial" w:eastAsia="Arial" w:hAnsi="Arial"/>
                <w:sz w:val="18"/>
                <w:szCs w:val="18"/>
                <w:color w:val="auto"/>
              </w:rPr>
              <w:t>February 15,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4"/>
              </w:rPr>
              <w:t>Bradley Bolzon</w:t>
            </w:r>
          </w:p>
        </w:tc>
        <w:tc>
          <w:tcPr>
            <w:tcW w:w="458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31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 Edward Fleming, Jr.</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1060"/>
              <w:spacing w:after="0"/>
              <w:rPr>
                <w:sz w:val="20"/>
                <w:szCs w:val="20"/>
                <w:color w:val="auto"/>
              </w:rPr>
            </w:pPr>
            <w:r>
              <w:rPr>
                <w:rFonts w:ascii="Arial" w:cs="Arial" w:eastAsia="Arial" w:hAnsi="Arial"/>
                <w:sz w:val="18"/>
                <w:szCs w:val="18"/>
                <w:color w:val="auto"/>
              </w:rPr>
              <w:t>February 15,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H. Edward Fleming, Jr.</w:t>
            </w:r>
          </w:p>
        </w:tc>
        <w:tc>
          <w:tcPr>
            <w:tcW w:w="458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Simeon J. George</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1060"/>
              <w:spacing w:after="0"/>
              <w:rPr>
                <w:sz w:val="20"/>
                <w:szCs w:val="20"/>
                <w:color w:val="auto"/>
              </w:rPr>
            </w:pPr>
            <w:r>
              <w:rPr>
                <w:rFonts w:ascii="Arial" w:cs="Arial" w:eastAsia="Arial" w:hAnsi="Arial"/>
                <w:sz w:val="18"/>
                <w:szCs w:val="18"/>
                <w:color w:val="auto"/>
              </w:rPr>
              <w:t>February 15,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8"/>
              </w:rPr>
              <w:t>Simeon J. George</w:t>
            </w:r>
          </w:p>
        </w:tc>
        <w:tc>
          <w:tcPr>
            <w:tcW w:w="458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John Greene</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1060"/>
              <w:spacing w:after="0"/>
              <w:rPr>
                <w:sz w:val="20"/>
                <w:szCs w:val="20"/>
                <w:color w:val="auto"/>
              </w:rPr>
            </w:pPr>
            <w:r>
              <w:rPr>
                <w:rFonts w:ascii="Arial" w:cs="Arial" w:eastAsia="Arial" w:hAnsi="Arial"/>
                <w:sz w:val="18"/>
                <w:szCs w:val="18"/>
                <w:color w:val="auto"/>
              </w:rPr>
              <w:t>February 15,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6"/>
              </w:rPr>
              <w:t>John Greene</w:t>
            </w:r>
          </w:p>
        </w:tc>
        <w:tc>
          <w:tcPr>
            <w:tcW w:w="458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Katherine High</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1060"/>
              <w:spacing w:after="0"/>
              <w:rPr>
                <w:sz w:val="20"/>
                <w:szCs w:val="20"/>
                <w:color w:val="auto"/>
              </w:rPr>
            </w:pPr>
            <w:r>
              <w:rPr>
                <w:rFonts w:ascii="Arial" w:cs="Arial" w:eastAsia="Arial" w:hAnsi="Arial"/>
                <w:sz w:val="18"/>
                <w:szCs w:val="18"/>
                <w:color w:val="auto"/>
              </w:rPr>
              <w:t>February 15,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4"/>
              </w:rPr>
              <w:t>Katherine High</w:t>
            </w:r>
          </w:p>
        </w:tc>
        <w:tc>
          <w:tcPr>
            <w:tcW w:w="458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Douglas Treco</w:t>
            </w:r>
          </w:p>
        </w:tc>
        <w:tc>
          <w:tcPr>
            <w:tcW w:w="45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940" w:type="dxa"/>
            <w:vAlign w:val="bottom"/>
          </w:tcPr>
          <w:p>
            <w:pPr>
              <w:ind w:left="1060"/>
              <w:spacing w:after="0"/>
              <w:rPr>
                <w:sz w:val="20"/>
                <w:szCs w:val="20"/>
                <w:color w:val="auto"/>
              </w:rPr>
            </w:pPr>
            <w:r>
              <w:rPr>
                <w:rFonts w:ascii="Arial" w:cs="Arial" w:eastAsia="Arial" w:hAnsi="Arial"/>
                <w:sz w:val="18"/>
                <w:szCs w:val="18"/>
                <w:color w:val="auto"/>
              </w:rPr>
              <w:t>February 15,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0"/>
              </w:rPr>
              <w:t>Douglas Treco</w:t>
            </w:r>
          </w:p>
        </w:tc>
        <w:tc>
          <w:tcPr>
            <w:tcW w:w="458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9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Brendan Smith</w:t>
            </w:r>
          </w:p>
        </w:tc>
        <w:tc>
          <w:tcPr>
            <w:tcW w:w="4580" w:type="dxa"/>
            <w:vAlign w:val="bottom"/>
          </w:tcPr>
          <w:p>
            <w:pPr>
              <w:ind w:left="140"/>
              <w:spacing w:after="0"/>
              <w:rPr>
                <w:sz w:val="20"/>
                <w:szCs w:val="20"/>
                <w:color w:val="auto"/>
              </w:rPr>
            </w:pPr>
            <w:r>
              <w:rPr>
                <w:rFonts w:ascii="Arial" w:cs="Arial" w:eastAsia="Arial" w:hAnsi="Arial"/>
                <w:sz w:val="18"/>
                <w:szCs w:val="18"/>
                <w:color w:val="auto"/>
              </w:rPr>
              <w:t>Authorized Representative in the United States</w:t>
            </w:r>
          </w:p>
        </w:tc>
        <w:tc>
          <w:tcPr>
            <w:tcW w:w="2940" w:type="dxa"/>
            <w:vAlign w:val="bottom"/>
          </w:tcPr>
          <w:p>
            <w:pPr>
              <w:ind w:left="1060"/>
              <w:spacing w:after="0"/>
              <w:rPr>
                <w:sz w:val="20"/>
                <w:szCs w:val="20"/>
                <w:color w:val="auto"/>
              </w:rPr>
            </w:pPr>
            <w:r>
              <w:rPr>
                <w:rFonts w:ascii="Arial" w:cs="Arial" w:eastAsia="Arial" w:hAnsi="Arial"/>
                <w:sz w:val="18"/>
                <w:szCs w:val="18"/>
                <w:color w:val="auto"/>
              </w:rPr>
              <w:t>February 15, 2022</w:t>
            </w: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0"/>
              </w:rPr>
              <w:t>Brendan Smith</w:t>
            </w:r>
          </w:p>
        </w:tc>
        <w:tc>
          <w:tcPr>
            <w:tcW w:w="458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782"/>
        </w:trPr>
        <w:tc>
          <w:tcPr>
            <w:tcW w:w="3720" w:type="dxa"/>
            <w:vAlign w:val="bottom"/>
          </w:tcPr>
          <w:p>
            <w:pPr>
              <w:spacing w:after="0"/>
              <w:rPr>
                <w:sz w:val="24"/>
                <w:szCs w:val="24"/>
                <w:color w:val="auto"/>
              </w:rPr>
            </w:pPr>
          </w:p>
        </w:tc>
        <w:tc>
          <w:tcPr>
            <w:tcW w:w="4580" w:type="dxa"/>
            <w:vAlign w:val="bottom"/>
          </w:tcPr>
          <w:p>
            <w:pPr>
              <w:ind w:left="1760"/>
              <w:spacing w:after="0"/>
              <w:rPr>
                <w:sz w:val="20"/>
                <w:szCs w:val="20"/>
                <w:color w:val="auto"/>
              </w:rPr>
            </w:pPr>
            <w:r>
              <w:rPr>
                <w:rFonts w:ascii="Arial" w:cs="Arial" w:eastAsia="Arial" w:hAnsi="Arial"/>
                <w:sz w:val="18"/>
                <w:szCs w:val="18"/>
                <w:color w:val="auto"/>
              </w:rPr>
              <w:t>145</w:t>
            </w:r>
          </w:p>
        </w:tc>
        <w:tc>
          <w:tcPr>
            <w:tcW w:w="2940" w:type="dxa"/>
            <w:vAlign w:val="bottom"/>
          </w:tcPr>
          <w:p>
            <w:pPr>
              <w:spacing w:after="0"/>
              <w:rPr>
                <w:sz w:val="24"/>
                <w:szCs w:val="24"/>
                <w:color w:val="auto"/>
              </w:rPr>
            </w:pPr>
          </w:p>
        </w:tc>
      </w:tr>
      <w:tr>
        <w:trPr>
          <w:trHeight w:val="101"/>
        </w:trPr>
        <w:tc>
          <w:tcPr>
            <w:tcW w:w="3720" w:type="dxa"/>
            <w:vAlign w:val="bottom"/>
            <w:tcBorders>
              <w:bottom w:val="single" w:sz="8" w:color="9A9A9A"/>
            </w:tcBorders>
          </w:tcPr>
          <w:p>
            <w:pPr>
              <w:spacing w:after="0"/>
              <w:rPr>
                <w:sz w:val="8"/>
                <w:szCs w:val="8"/>
                <w:color w:val="auto"/>
              </w:rPr>
            </w:pPr>
          </w:p>
        </w:tc>
        <w:tc>
          <w:tcPr>
            <w:tcW w:w="4580" w:type="dxa"/>
            <w:vAlign w:val="bottom"/>
            <w:tcBorders>
              <w:bottom w:val="single" w:sz="8" w:color="9A9A9A"/>
            </w:tcBorders>
          </w:tcPr>
          <w:p>
            <w:pPr>
              <w:spacing w:after="0"/>
              <w:rPr>
                <w:sz w:val="8"/>
                <w:szCs w:val="8"/>
                <w:color w:val="auto"/>
              </w:rPr>
            </w:pPr>
          </w:p>
        </w:tc>
        <w:tc>
          <w:tcPr>
            <w:tcW w:w="2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CRISPR Therapeutics AG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Borders>
              <w:bottom w:val="single" w:sz="8" w:color="auto"/>
            </w:tcBorders>
          </w:tcPr>
          <w:p>
            <w:pPr>
              <w:spacing w:after="0"/>
              <w:rPr>
                <w:sz w:val="16"/>
                <w:szCs w:val="16"/>
                <w:color w:val="auto"/>
              </w:rPr>
            </w:pPr>
          </w:p>
        </w:tc>
        <w:tc>
          <w:tcPr>
            <w:tcW w:w="104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120" w:type="dxa"/>
            <w:vAlign w:val="bottom"/>
          </w:tcPr>
          <w:p>
            <w:pPr>
              <w:spacing w:after="0"/>
              <w:rPr>
                <w:sz w:val="16"/>
                <w:szCs w:val="16"/>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Pages</w:t>
            </w:r>
          </w:p>
        </w:tc>
      </w:tr>
      <w:tr>
        <w:trPr>
          <w:trHeight w:val="169"/>
        </w:trPr>
        <w:tc>
          <w:tcPr>
            <w:tcW w:w="20" w:type="dxa"/>
            <w:vAlign w:val="bottom"/>
          </w:tcPr>
          <w:p>
            <w:pPr>
              <w:spacing w:after="0"/>
              <w:rPr>
                <w:sz w:val="14"/>
                <w:szCs w:val="14"/>
                <w:color w:val="auto"/>
              </w:rPr>
            </w:pPr>
          </w:p>
        </w:tc>
        <w:tc>
          <w:tcPr>
            <w:tcW w:w="10440" w:type="dxa"/>
            <w:vAlign w:val="bottom"/>
            <w:gridSpan w:val="7"/>
          </w:tcPr>
          <w:p>
            <w:pPr>
              <w:spacing w:after="0" w:line="169" w:lineRule="exact"/>
              <w:rPr>
                <w:rFonts w:ascii="Arial" w:cs="Arial" w:eastAsia="Arial" w:hAnsi="Arial"/>
                <w:sz w:val="18"/>
                <w:szCs w:val="18"/>
                <w:color w:val="auto"/>
              </w:rPr>
            </w:pPr>
            <w:hyperlink w:anchor="page152">
              <w:r>
                <w:rPr>
                  <w:rFonts w:ascii="Arial" w:cs="Arial" w:eastAsia="Arial" w:hAnsi="Arial"/>
                  <w:sz w:val="18"/>
                  <w:szCs w:val="18"/>
                  <w:color w:val="auto"/>
                </w:rPr>
                <w:t>Report of Independent Registered Public Accounting Firm (PCAOB ID No. 42)</w:t>
              </w:r>
            </w:hyperlink>
          </w:p>
        </w:tc>
        <w:tc>
          <w:tcPr>
            <w:tcW w:w="120" w:type="dxa"/>
            <w:vAlign w:val="bottom"/>
          </w:tcPr>
          <w:p>
            <w:pPr>
              <w:spacing w:after="0"/>
              <w:rPr>
                <w:sz w:val="14"/>
                <w:szCs w:val="14"/>
                <w:color w:val="auto"/>
              </w:rPr>
            </w:pPr>
          </w:p>
        </w:tc>
        <w:tc>
          <w:tcPr>
            <w:tcW w:w="660" w:type="dxa"/>
            <w:vAlign w:val="bottom"/>
          </w:tcPr>
          <w:p>
            <w:pPr>
              <w:ind w:left="400"/>
              <w:spacing w:after="0" w:line="169" w:lineRule="exact"/>
              <w:rPr>
                <w:sz w:val="20"/>
                <w:szCs w:val="20"/>
                <w:color w:val="auto"/>
              </w:rPr>
            </w:pPr>
            <w:r>
              <w:rPr>
                <w:rFonts w:ascii="Arial" w:cs="Arial" w:eastAsia="Arial" w:hAnsi="Arial"/>
                <w:sz w:val="18"/>
                <w:szCs w:val="18"/>
                <w:color w:val="auto"/>
                <w:w w:val="88"/>
              </w:rPr>
              <w:t>F-1</w:t>
            </w:r>
          </w:p>
        </w:tc>
      </w:tr>
      <w:tr>
        <w:trPr>
          <w:trHeight w:val="183"/>
        </w:trPr>
        <w:tc>
          <w:tcPr>
            <w:tcW w:w="20" w:type="dxa"/>
            <w:vAlign w:val="bottom"/>
          </w:tcPr>
          <w:p>
            <w:pPr>
              <w:spacing w:after="0"/>
              <w:rPr>
                <w:sz w:val="15"/>
                <w:szCs w:val="15"/>
                <w:color w:val="auto"/>
              </w:rPr>
            </w:pPr>
          </w:p>
        </w:tc>
        <w:tc>
          <w:tcPr>
            <w:tcW w:w="5760" w:type="dxa"/>
            <w:vAlign w:val="bottom"/>
            <w:tcBorders>
              <w:top w:val="single" w:sz="8" w:color="0000EE"/>
            </w:tcBorders>
            <w:gridSpan w:val="6"/>
          </w:tcPr>
          <w:p>
            <w:pPr>
              <w:spacing w:after="0" w:line="182" w:lineRule="exact"/>
              <w:rPr>
                <w:rFonts w:ascii="Arial" w:cs="Arial" w:eastAsia="Arial" w:hAnsi="Arial"/>
                <w:sz w:val="18"/>
                <w:szCs w:val="18"/>
                <w:color w:val="auto"/>
              </w:rPr>
            </w:pPr>
            <w:hyperlink w:anchor="page155">
              <w:r>
                <w:rPr>
                  <w:rFonts w:ascii="Arial" w:cs="Arial" w:eastAsia="Arial" w:hAnsi="Arial"/>
                  <w:sz w:val="18"/>
                  <w:szCs w:val="18"/>
                  <w:color w:val="auto"/>
                </w:rPr>
                <w:t>Consolidated Balance Sheets</w:t>
              </w:r>
            </w:hyperlink>
          </w:p>
        </w:tc>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F-4</w:t>
            </w:r>
          </w:p>
        </w:tc>
      </w:tr>
      <w:tr>
        <w:trPr>
          <w:trHeight w:val="183"/>
        </w:trPr>
        <w:tc>
          <w:tcPr>
            <w:tcW w:w="20" w:type="dxa"/>
            <w:vAlign w:val="bottom"/>
            <w:tcBorders>
              <w:top w:val="single" w:sz="8" w:color="0000EE"/>
            </w:tcBorders>
          </w:tcPr>
          <w:p>
            <w:pPr>
              <w:spacing w:after="0"/>
              <w:rPr>
                <w:sz w:val="15"/>
                <w:szCs w:val="15"/>
                <w:color w:val="auto"/>
              </w:rPr>
            </w:pPr>
          </w:p>
        </w:tc>
        <w:tc>
          <w:tcPr>
            <w:tcW w:w="2100" w:type="dxa"/>
            <w:vAlign w:val="bottom"/>
            <w:tcBorders>
              <w:top w:val="single" w:sz="8" w:color="0000EE"/>
            </w:tcBorders>
          </w:tcPr>
          <w:p>
            <w:pPr>
              <w:spacing w:after="0" w:line="182" w:lineRule="exact"/>
              <w:rPr>
                <w:rFonts w:ascii="Arial" w:cs="Arial" w:eastAsia="Arial" w:hAnsi="Arial"/>
                <w:sz w:val="18"/>
                <w:szCs w:val="18"/>
                <w:color w:val="auto"/>
                <w:w w:val="94"/>
              </w:rPr>
            </w:pPr>
            <w:hyperlink w:anchor="page156">
              <w:r>
                <w:rPr>
                  <w:rFonts w:ascii="Arial" w:cs="Arial" w:eastAsia="Arial" w:hAnsi="Arial"/>
                  <w:sz w:val="18"/>
                  <w:szCs w:val="18"/>
                  <w:color w:val="auto"/>
                  <w:w w:val="94"/>
                </w:rPr>
                <w:t>Consolidated Statements of</w:t>
              </w:r>
            </w:hyperlink>
          </w:p>
        </w:tc>
        <w:tc>
          <w:tcPr>
            <w:tcW w:w="8340" w:type="dxa"/>
            <w:vAlign w:val="bottom"/>
            <w:gridSpan w:val="6"/>
          </w:tcPr>
          <w:p>
            <w:pPr>
              <w:spacing w:after="0" w:line="182" w:lineRule="exact"/>
              <w:rPr>
                <w:rFonts w:ascii="Arial" w:cs="Arial" w:eastAsia="Arial" w:hAnsi="Arial"/>
                <w:sz w:val="18"/>
                <w:szCs w:val="18"/>
                <w:color w:val="auto"/>
              </w:rPr>
            </w:pPr>
            <w:hyperlink w:anchor="page156">
              <w:r>
                <w:rPr>
                  <w:rFonts w:ascii="Arial" w:cs="Arial" w:eastAsia="Arial" w:hAnsi="Arial"/>
                  <w:sz w:val="18"/>
                  <w:szCs w:val="18"/>
                  <w:color w:val="auto"/>
                </w:rPr>
                <w:t>Operations and Comprehensive Income (Loss)</w:t>
              </w:r>
            </w:hyperlink>
          </w:p>
        </w:tc>
        <w:tc>
          <w:tcPr>
            <w:tcW w:w="120" w:type="dxa"/>
            <w:vAlign w:val="bottom"/>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F-5</w:t>
            </w:r>
          </w:p>
        </w:tc>
      </w:tr>
      <w:tr>
        <w:trPr>
          <w:trHeight w:val="183"/>
        </w:trPr>
        <w:tc>
          <w:tcPr>
            <w:tcW w:w="20" w:type="dxa"/>
            <w:vAlign w:val="bottom"/>
            <w:tcBorders>
              <w:top w:val="single" w:sz="8" w:color="0000EE"/>
            </w:tcBorders>
          </w:tcPr>
          <w:p>
            <w:pPr>
              <w:spacing w:after="0"/>
              <w:rPr>
                <w:sz w:val="15"/>
                <w:szCs w:val="15"/>
                <w:color w:val="auto"/>
              </w:rPr>
            </w:pPr>
          </w:p>
        </w:tc>
        <w:tc>
          <w:tcPr>
            <w:tcW w:w="5380" w:type="dxa"/>
            <w:vAlign w:val="bottom"/>
            <w:tcBorders>
              <w:top w:val="single" w:sz="8" w:color="0000EE"/>
            </w:tcBorders>
            <w:gridSpan w:val="5"/>
          </w:tcPr>
          <w:p>
            <w:pPr>
              <w:spacing w:after="0" w:line="182" w:lineRule="exact"/>
              <w:rPr>
                <w:rFonts w:ascii="Arial" w:cs="Arial" w:eastAsia="Arial" w:hAnsi="Arial"/>
                <w:sz w:val="18"/>
                <w:szCs w:val="18"/>
                <w:color w:val="auto"/>
              </w:rPr>
            </w:pPr>
            <w:hyperlink w:anchor="page157">
              <w:r>
                <w:rPr>
                  <w:rFonts w:ascii="Arial" w:cs="Arial" w:eastAsia="Arial" w:hAnsi="Arial"/>
                  <w:sz w:val="18"/>
                  <w:szCs w:val="18"/>
                  <w:color w:val="auto"/>
                </w:rPr>
                <w:t>Consolidated Statements of Equity</w:t>
              </w:r>
            </w:hyperlink>
          </w:p>
        </w:tc>
        <w:tc>
          <w:tcPr>
            <w:tcW w:w="50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F-6</w:t>
            </w: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25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auto"/>
                <w:w w:val="92"/>
              </w:rPr>
            </w:pPr>
            <w:hyperlink w:anchor="page158">
              <w:r>
                <w:rPr>
                  <w:rFonts w:ascii="Arial" w:cs="Arial" w:eastAsia="Arial" w:hAnsi="Arial"/>
                  <w:sz w:val="18"/>
                  <w:szCs w:val="18"/>
                  <w:color w:val="auto"/>
                  <w:w w:val="92"/>
                </w:rPr>
                <w:t>Consolidated Statements of Cash</w:t>
              </w:r>
            </w:hyperlink>
          </w:p>
        </w:tc>
        <w:tc>
          <w:tcPr>
            <w:tcW w:w="380" w:type="dxa"/>
            <w:vAlign w:val="bottom"/>
            <w:tcBorders>
              <w:bottom w:val="single" w:sz="8" w:color="0000EE"/>
            </w:tcBorders>
          </w:tcPr>
          <w:p>
            <w:pPr>
              <w:spacing w:after="0" w:line="182" w:lineRule="exact"/>
              <w:rPr>
                <w:rFonts w:ascii="Arial" w:cs="Arial" w:eastAsia="Arial" w:hAnsi="Arial"/>
                <w:sz w:val="18"/>
                <w:szCs w:val="18"/>
                <w:color w:val="auto"/>
                <w:w w:val="76"/>
              </w:rPr>
            </w:pPr>
            <w:hyperlink w:anchor="page158">
              <w:r>
                <w:rPr>
                  <w:rFonts w:ascii="Arial" w:cs="Arial" w:eastAsia="Arial" w:hAnsi="Arial"/>
                  <w:sz w:val="18"/>
                  <w:szCs w:val="18"/>
                  <w:color w:val="auto"/>
                  <w:w w:val="76"/>
                </w:rPr>
                <w:t>Flows</w:t>
              </w:r>
            </w:hyperlink>
          </w:p>
        </w:tc>
        <w:tc>
          <w:tcPr>
            <w:tcW w:w="756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F-7</w:t>
            </w:r>
          </w:p>
        </w:tc>
      </w:tr>
      <w:tr>
        <w:trPr>
          <w:trHeight w:val="183"/>
        </w:trPr>
        <w:tc>
          <w:tcPr>
            <w:tcW w:w="20" w:type="dxa"/>
            <w:vAlign w:val="bottom"/>
          </w:tcPr>
          <w:p>
            <w:pPr>
              <w:spacing w:after="0"/>
              <w:rPr>
                <w:sz w:val="15"/>
                <w:szCs w:val="15"/>
                <w:color w:val="auto"/>
              </w:rPr>
            </w:pPr>
          </w:p>
        </w:tc>
        <w:tc>
          <w:tcPr>
            <w:tcW w:w="10440" w:type="dxa"/>
            <w:vAlign w:val="bottom"/>
            <w:gridSpan w:val="7"/>
          </w:tcPr>
          <w:p>
            <w:pPr>
              <w:spacing w:after="0" w:line="182" w:lineRule="exact"/>
              <w:rPr>
                <w:rFonts w:ascii="Arial" w:cs="Arial" w:eastAsia="Arial" w:hAnsi="Arial"/>
                <w:sz w:val="18"/>
                <w:szCs w:val="18"/>
                <w:color w:val="auto"/>
              </w:rPr>
            </w:pPr>
            <w:hyperlink w:anchor="page159">
              <w:r>
                <w:rPr>
                  <w:rFonts w:ascii="Arial" w:cs="Arial" w:eastAsia="Arial" w:hAnsi="Arial"/>
                  <w:sz w:val="18"/>
                  <w:szCs w:val="18"/>
                  <w:color w:val="auto"/>
                </w:rPr>
                <w:t>Notes to Consolidated Financial Statements</w:t>
              </w:r>
            </w:hyperlink>
          </w:p>
        </w:tc>
        <w:tc>
          <w:tcPr>
            <w:tcW w:w="120" w:type="dxa"/>
            <w:vAlign w:val="bottom"/>
          </w:tcPr>
          <w:p>
            <w:pPr>
              <w:spacing w:after="0"/>
              <w:rPr>
                <w:sz w:val="15"/>
                <w:szCs w:val="15"/>
                <w:color w:val="auto"/>
              </w:rPr>
            </w:pPr>
          </w:p>
        </w:tc>
        <w:tc>
          <w:tcPr>
            <w:tcW w:w="660" w:type="dxa"/>
            <w:vAlign w:val="bottom"/>
          </w:tcPr>
          <w:p>
            <w:pPr>
              <w:ind w:left="400"/>
              <w:spacing w:after="0" w:line="182" w:lineRule="exact"/>
              <w:rPr>
                <w:sz w:val="20"/>
                <w:szCs w:val="20"/>
                <w:color w:val="auto"/>
              </w:rPr>
            </w:pPr>
            <w:r>
              <w:rPr>
                <w:rFonts w:ascii="Arial" w:cs="Arial" w:eastAsia="Arial" w:hAnsi="Arial"/>
                <w:sz w:val="18"/>
                <w:szCs w:val="18"/>
                <w:color w:val="auto"/>
                <w:w w:val="88"/>
              </w:rPr>
              <w:t>F-8</w:t>
            </w:r>
          </w:p>
        </w:tc>
      </w:tr>
      <w:tr>
        <w:trPr>
          <w:trHeight w:val="20"/>
        </w:trPr>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560" w:firstLine="2513"/>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CRISPR Therapeutics AG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audited the accompanying consolidated balance sheets of CRISPR Therapeutics AG (the Company) as of December 31, 2021 and 2020, the related consolidated statements of operations and comprehensive income (loss), shareholders’ equity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15, 2022 expressed an unqualified opinion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9560" w:type="dxa"/>
            <w:vAlign w:val="bottom"/>
          </w:tcPr>
          <w:p>
            <w:pPr>
              <w:ind w:left="280"/>
              <w:spacing w:after="0"/>
              <w:rPr>
                <w:sz w:val="20"/>
                <w:szCs w:val="20"/>
                <w:color w:val="auto"/>
              </w:rPr>
            </w:pPr>
            <w:r>
              <w:rPr>
                <w:rFonts w:ascii="Arial" w:cs="Arial" w:eastAsia="Arial" w:hAnsi="Arial"/>
                <w:sz w:val="18"/>
                <w:szCs w:val="18"/>
                <w:b w:val="1"/>
                <w:bCs w:val="1"/>
                <w:i w:val="1"/>
                <w:iCs w:val="1"/>
                <w:color w:val="auto"/>
              </w:rPr>
              <w:t>Estimation of Variable Consideration for ongoing Collaboration Agreements</w:t>
            </w:r>
          </w:p>
        </w:tc>
      </w:tr>
      <w:tr>
        <w:trPr>
          <w:trHeight w:val="176"/>
        </w:trPr>
        <w:tc>
          <w:tcPr>
            <w:tcW w:w="16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Description of the</w:t>
            </w: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2"/>
              </w:rPr>
              <w:t>As discussed in Note 9 to the consolidated financial statements, the Company has multiple ongoing collaboration agreements</w:t>
            </w:r>
          </w:p>
        </w:tc>
      </w:tr>
      <w:tr>
        <w:trPr>
          <w:trHeight w:val="176"/>
        </w:trPr>
        <w:tc>
          <w:tcPr>
            <w:tcW w:w="16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Matter</w:t>
            </w: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5"/>
              </w:rPr>
              <w:t>which include rights to future payments totaling up to approximately $2.2 billion as of December 31, 2021 that are payable</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5"/>
              </w:rPr>
              <w:t>upon the achievement of various developmental, regulatory and commercial milestones related to certain programs under</w:t>
            </w:r>
          </w:p>
        </w:tc>
      </w:tr>
      <w:tr>
        <w:trPr>
          <w:trHeight w:val="176"/>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8"/>
              </w:rPr>
              <w:t>development. These future payments represent variable consideration that is included in the transaction price for these</w:t>
            </w:r>
          </w:p>
        </w:tc>
      </w:tr>
      <w:tr>
        <w:trPr>
          <w:trHeight w:val="176"/>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7"/>
              </w:rPr>
              <w:t>collaboration agreements to the extent that the Company determines it is probable that a significant revenue reversal of</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2"/>
              </w:rPr>
              <w:t>cumulative revenue recognized under the contract will not occur. When the Company cannot conclude that it is probable that a</w:t>
            </w:r>
          </w:p>
        </w:tc>
      </w:tr>
      <w:tr>
        <w:trPr>
          <w:trHeight w:val="176"/>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7"/>
              </w:rPr>
              <w:t>significant revenue reversal of cumulative revenue under the contract will not occur, the Company constrains the related</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2"/>
              </w:rPr>
              <w:t>variable consideration resulting in its exclusion from the transaction price. The Company’s estimation of variable consideration</w:t>
            </w:r>
          </w:p>
        </w:tc>
      </w:tr>
      <w:tr>
        <w:trPr>
          <w:trHeight w:val="230"/>
        </w:trPr>
        <w:tc>
          <w:tcPr>
            <w:tcW w:w="16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w w:val="92"/>
              </w:rPr>
              <w:t>to be constrained impacts the reported amounts of revenue and deferred revenue within the consolidated financial statements.</w:t>
            </w:r>
          </w:p>
        </w:tc>
      </w:tr>
      <w:tr>
        <w:trPr>
          <w:trHeight w:val="296"/>
        </w:trPr>
        <w:tc>
          <w:tcPr>
            <w:tcW w:w="1680" w:type="dxa"/>
            <w:vAlign w:val="bottom"/>
          </w:tcPr>
          <w:p>
            <w:pPr>
              <w:spacing w:after="0"/>
              <w:rPr>
                <w:sz w:val="24"/>
                <w:szCs w:val="24"/>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w w:val="92"/>
              </w:rPr>
              <w:t>In determining the portion of the transaction price to be constrained, management considers the probability and uncertainty of</w:t>
            </w:r>
          </w:p>
        </w:tc>
      </w:tr>
      <w:tr>
        <w:trPr>
          <w:trHeight w:val="176"/>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9"/>
              </w:rPr>
              <w:t>whether the related developmental, regulatory and commercial milestones will be achieved given the nature of clinical</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2"/>
              </w:rPr>
              <w:t>development and the stage of the underlying programs. This assessment is performed at each reporting period. In making this</w:t>
            </w:r>
          </w:p>
        </w:tc>
      </w:tr>
      <w:tr>
        <w:trPr>
          <w:trHeight w:val="176"/>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8"/>
              </w:rPr>
              <w:t>evaluation, management considers both internal and external information available including information from industry</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5"/>
              </w:rPr>
              <w:t>publications, the stage of development of the underlying programs and other relevant factors. Changes to the constraint of</w:t>
            </w:r>
          </w:p>
        </w:tc>
      </w:tr>
      <w:tr>
        <w:trPr>
          <w:trHeight w:val="176"/>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3"/>
              </w:rPr>
              <w:t>variable consideration can have a material effect on the amount of revenue recognized in the financial reporting period. As a</w:t>
            </w:r>
          </w:p>
        </w:tc>
      </w:tr>
      <w:tr>
        <w:trPr>
          <w:trHeight w:val="230"/>
        </w:trPr>
        <w:tc>
          <w:tcPr>
            <w:tcW w:w="16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w w:val="93"/>
              </w:rPr>
              <w:t>result, auditing the accounting for the application of constraint to variable consideration required complex auditor judgement.</w:t>
            </w:r>
          </w:p>
        </w:tc>
      </w:tr>
      <w:tr>
        <w:trPr>
          <w:trHeight w:val="323"/>
        </w:trPr>
        <w:tc>
          <w:tcPr>
            <w:tcW w:w="1680" w:type="dxa"/>
            <w:vAlign w:val="bottom"/>
          </w:tcPr>
          <w:p>
            <w:pPr>
              <w:ind w:left="20"/>
              <w:spacing w:after="0"/>
              <w:rPr>
                <w:sz w:val="20"/>
                <w:szCs w:val="20"/>
                <w:color w:val="auto"/>
              </w:rPr>
            </w:pPr>
            <w:r>
              <w:rPr>
                <w:rFonts w:ascii="Arial" w:cs="Arial" w:eastAsia="Arial" w:hAnsi="Arial"/>
                <w:sz w:val="18"/>
                <w:szCs w:val="18"/>
                <w:i w:val="1"/>
                <w:iCs w:val="1"/>
                <w:color w:val="auto"/>
              </w:rPr>
              <w:t>How We Addressed</w:t>
            </w:r>
          </w:p>
        </w:tc>
        <w:tc>
          <w:tcPr>
            <w:tcW w:w="9560" w:type="dxa"/>
            <w:vAlign w:val="bottom"/>
          </w:tcPr>
          <w:p>
            <w:pPr>
              <w:ind w:left="280"/>
              <w:spacing w:after="0"/>
              <w:rPr>
                <w:sz w:val="20"/>
                <w:szCs w:val="20"/>
                <w:color w:val="auto"/>
              </w:rPr>
            </w:pPr>
            <w:r>
              <w:rPr>
                <w:rFonts w:ascii="Arial" w:cs="Arial" w:eastAsia="Arial" w:hAnsi="Arial"/>
                <w:sz w:val="18"/>
                <w:szCs w:val="18"/>
                <w:color w:val="auto"/>
                <w:w w:val="94"/>
              </w:rPr>
              <w:t>We obtained an understanding, evaluated the design and tested the operating effectiveness of controls over the Company’s</w:t>
            </w:r>
          </w:p>
        </w:tc>
      </w:tr>
      <w:tr>
        <w:trPr>
          <w:trHeight w:val="176"/>
        </w:trPr>
        <w:tc>
          <w:tcPr>
            <w:tcW w:w="16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the Matter in Our</w:t>
            </w: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1"/>
              </w:rPr>
              <w:t>revenue recognition process. For example, we tested controls over management's estimation of the total transaction price for its</w:t>
            </w:r>
          </w:p>
        </w:tc>
      </w:tr>
      <w:tr>
        <w:trPr>
          <w:trHeight w:val="175"/>
        </w:trPr>
        <w:tc>
          <w:tcPr>
            <w:tcW w:w="16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Audit</w:t>
            </w: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1"/>
              </w:rPr>
              <w:t>collaboration agreements including those related to the application of constraint to variable consideration associated with future</w:t>
            </w:r>
          </w:p>
        </w:tc>
      </w:tr>
      <w:tr>
        <w:trPr>
          <w:trHeight w:val="230"/>
        </w:trPr>
        <w:tc>
          <w:tcPr>
            <w:tcW w:w="16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developmental, regulatory and commercial milestones.</w:t>
            </w:r>
          </w:p>
        </w:tc>
      </w:tr>
      <w:tr>
        <w:trPr>
          <w:trHeight w:val="296"/>
        </w:trPr>
        <w:tc>
          <w:tcPr>
            <w:tcW w:w="1680" w:type="dxa"/>
            <w:vAlign w:val="bottom"/>
          </w:tcPr>
          <w:p>
            <w:pPr>
              <w:spacing w:after="0"/>
              <w:rPr>
                <w:sz w:val="24"/>
                <w:szCs w:val="24"/>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w w:val="96"/>
              </w:rPr>
              <w:t>To audit the Company’s judgements related to the application of constraint to variable consideration, we performed audit</w:t>
            </w:r>
          </w:p>
        </w:tc>
      </w:tr>
      <w:tr>
        <w:trPr>
          <w:trHeight w:val="176"/>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0"/>
              </w:rPr>
              <w:t>procedures that included, among others, evaluating the Company’s judgements related to the probability of achieving the related</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4"/>
              </w:rPr>
              <w:t>future developmental, regulatory and commercial milestones. To evaluate the Company’s estimated probability of achieving</w:t>
            </w:r>
          </w:p>
        </w:tc>
      </w:tr>
      <w:tr>
        <w:trPr>
          <w:trHeight w:val="176"/>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6"/>
              </w:rPr>
              <w:t>developmental, regulatory and commercial milestones, we considered the nature of clinical development and the stage of</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3"/>
              </w:rPr>
              <w:t>development of the underlying programs in relation to relevant external data and compared the probabilities of achieving the</w:t>
            </w:r>
          </w:p>
        </w:tc>
      </w:tr>
      <w:tr>
        <w:trPr>
          <w:trHeight w:val="176"/>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4"/>
              </w:rPr>
              <w:t>milestones to current industry trends and available information from other guideline companies within the same industry and</w:t>
            </w:r>
          </w:p>
        </w:tc>
      </w:tr>
      <w:tr>
        <w:trPr>
          <w:trHeight w:val="176"/>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5"/>
              </w:rPr>
              <w:t>other relevant factors. We also discussed the probability of achieving the milestones in relation to each program’s phase of</w:t>
            </w:r>
          </w:p>
        </w:tc>
      </w:tr>
      <w:tr>
        <w:trPr>
          <w:trHeight w:val="230"/>
        </w:trPr>
        <w:tc>
          <w:tcPr>
            <w:tcW w:w="16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development with the Company’s research and development managers.</w:t>
            </w:r>
          </w:p>
        </w:tc>
      </w:tr>
      <w:tr>
        <w:trPr>
          <w:trHeight w:val="349"/>
        </w:trPr>
        <w:tc>
          <w:tcPr>
            <w:tcW w:w="1680" w:type="dxa"/>
            <w:vAlign w:val="bottom"/>
          </w:tcPr>
          <w:p>
            <w:pPr>
              <w:spacing w:after="0"/>
              <w:rPr>
                <w:sz w:val="24"/>
                <w:szCs w:val="24"/>
                <w:color w:val="auto"/>
              </w:rPr>
            </w:pPr>
          </w:p>
        </w:tc>
        <w:tc>
          <w:tcPr>
            <w:tcW w:w="9560" w:type="dxa"/>
            <w:vAlign w:val="bottom"/>
          </w:tcPr>
          <w:p>
            <w:pPr>
              <w:ind w:left="280"/>
              <w:spacing w:after="0"/>
              <w:rPr>
                <w:sz w:val="20"/>
                <w:szCs w:val="20"/>
                <w:color w:val="auto"/>
              </w:rPr>
            </w:pPr>
            <w:r>
              <w:rPr>
                <w:rFonts w:ascii="Arial" w:cs="Arial" w:eastAsia="Arial" w:hAnsi="Arial"/>
                <w:sz w:val="18"/>
                <w:szCs w:val="18"/>
                <w:b w:val="1"/>
                <w:bCs w:val="1"/>
                <w:i w:val="1"/>
                <w:iCs w:val="1"/>
                <w:color w:val="auto"/>
                <w:w w:val="92"/>
              </w:rPr>
              <w:t>Revenue Recognition for Collaboration and Joint Development Agreement with Vertex Pharmaceuticals Incorporated</w:t>
            </w:r>
          </w:p>
        </w:tc>
      </w:tr>
      <w:tr>
        <w:trPr>
          <w:trHeight w:val="176"/>
        </w:trPr>
        <w:tc>
          <w:tcPr>
            <w:tcW w:w="16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Description of the</w:t>
            </w: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1"/>
              </w:rPr>
              <w:t>As discussed in Note 9 to the consolidated financial statements, on April 16, 2021 the Company entered into an amendment to</w:t>
            </w:r>
          </w:p>
        </w:tc>
      </w:tr>
      <w:tr>
        <w:trPr>
          <w:trHeight w:val="176"/>
        </w:trPr>
        <w:tc>
          <w:tcPr>
            <w:tcW w:w="1680" w:type="dxa"/>
            <w:vAlign w:val="bottom"/>
          </w:tcPr>
          <w:p>
            <w:pPr>
              <w:ind w:left="20"/>
              <w:spacing w:after="0" w:line="176" w:lineRule="exact"/>
              <w:rPr>
                <w:sz w:val="20"/>
                <w:szCs w:val="20"/>
                <w:color w:val="auto"/>
              </w:rPr>
            </w:pPr>
            <w:r>
              <w:rPr>
                <w:rFonts w:ascii="Arial" w:cs="Arial" w:eastAsia="Arial" w:hAnsi="Arial"/>
                <w:sz w:val="18"/>
                <w:szCs w:val="18"/>
                <w:i w:val="1"/>
                <w:iCs w:val="1"/>
                <w:color w:val="auto"/>
              </w:rPr>
              <w:t>Matter</w:t>
            </w: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3"/>
              </w:rPr>
              <w:t>its joint development agreement with Vertex Pharmaceuticals Inc., referred to as the “A&amp;R Vertex JDCA”, which resulted in a</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6"/>
              </w:rPr>
              <w:t>payment of $900 million and the recognition of $900 million of revenue by the Company for the year ended December 31,</w:t>
            </w:r>
          </w:p>
        </w:tc>
      </w:tr>
      <w:tr>
        <w:trPr>
          <w:trHeight w:val="230"/>
        </w:trPr>
        <w:tc>
          <w:tcPr>
            <w:tcW w:w="16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2021.</w:t>
            </w:r>
          </w:p>
        </w:tc>
      </w:tr>
      <w:tr>
        <w:trPr>
          <w:trHeight w:val="296"/>
        </w:trPr>
        <w:tc>
          <w:tcPr>
            <w:tcW w:w="1680" w:type="dxa"/>
            <w:vAlign w:val="bottom"/>
          </w:tcPr>
          <w:p>
            <w:pPr>
              <w:spacing w:after="0"/>
              <w:rPr>
                <w:sz w:val="24"/>
                <w:szCs w:val="24"/>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Accounting for the A&amp;R Vertex JDCA required the Company to make certain significant judgements, including the</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2"/>
              </w:rPr>
              <w:t>determination of the standalone selling price of an identified performance obligation. The estimated standalone selling price for</w:t>
            </w:r>
          </w:p>
        </w:tc>
      </w:tr>
      <w:tr>
        <w:trPr>
          <w:trHeight w:val="176"/>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4"/>
              </w:rPr>
              <w:t>an identified performance obligation reflect management’s assumptions regarding probability weighted projected discounted</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6"/>
              </w:rPr>
              <w:t>cash flows for an underlying collaboration development program. The estimated standalone selling price was sensitive to</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2"/>
              </w:rPr>
              <w:t>changes in certain assumptions within the discounted cash flow model such as the discount rate, and certain assumptions that</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1"/>
              </w:rPr>
              <w:t>form the basis of the forecasted cash flows (e.g., price per patient). In developing these assumptions, management considered</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2"/>
              </w:rPr>
              <w:t>both internal and external information available including information from other guideline companies within the same industry</w:t>
            </w:r>
          </w:p>
        </w:tc>
      </w:tr>
      <w:tr>
        <w:trPr>
          <w:trHeight w:val="175"/>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0"/>
              </w:rPr>
              <w:t>and other relevant factors. Changes to these assumptions can have a material effect on the estimated standalone selling price of</w:t>
            </w:r>
          </w:p>
        </w:tc>
      </w:tr>
      <w:tr>
        <w:trPr>
          <w:trHeight w:val="176"/>
        </w:trPr>
        <w:tc>
          <w:tcPr>
            <w:tcW w:w="1680" w:type="dxa"/>
            <w:vAlign w:val="bottom"/>
          </w:tcPr>
          <w:p>
            <w:pPr>
              <w:spacing w:after="0"/>
              <w:rPr>
                <w:sz w:val="15"/>
                <w:szCs w:val="15"/>
                <w:color w:val="auto"/>
              </w:rPr>
            </w:pPr>
          </w:p>
        </w:tc>
        <w:tc>
          <w:tcPr>
            <w:tcW w:w="9560" w:type="dxa"/>
            <w:vAlign w:val="bottom"/>
          </w:tcPr>
          <w:p>
            <w:pPr>
              <w:ind w:left="280"/>
              <w:spacing w:after="0" w:line="176" w:lineRule="exact"/>
              <w:rPr>
                <w:sz w:val="20"/>
                <w:szCs w:val="20"/>
                <w:color w:val="auto"/>
              </w:rPr>
            </w:pPr>
            <w:r>
              <w:rPr>
                <w:rFonts w:ascii="Arial" w:cs="Arial" w:eastAsia="Arial" w:hAnsi="Arial"/>
                <w:sz w:val="18"/>
                <w:szCs w:val="18"/>
                <w:color w:val="auto"/>
                <w:w w:val="93"/>
              </w:rPr>
              <w:t>the performance obligation, impacting the amount and timing of revenue recognized. As a result, auditing the estimate of the</w:t>
            </w:r>
          </w:p>
        </w:tc>
      </w:tr>
      <w:tr>
        <w:trPr>
          <w:trHeight w:val="230"/>
        </w:trPr>
        <w:tc>
          <w:tcPr>
            <w:tcW w:w="1680" w:type="dxa"/>
            <w:vAlign w:val="bottom"/>
          </w:tcPr>
          <w:p>
            <w:pPr>
              <w:spacing w:after="0"/>
              <w:rPr>
                <w:sz w:val="20"/>
                <w:szCs w:val="20"/>
                <w:color w:val="auto"/>
              </w:rPr>
            </w:pPr>
          </w:p>
        </w:tc>
        <w:tc>
          <w:tcPr>
            <w:tcW w:w="9560" w:type="dxa"/>
            <w:vAlign w:val="bottom"/>
          </w:tcPr>
          <w:p>
            <w:pPr>
              <w:ind w:left="280"/>
              <w:spacing w:after="0"/>
              <w:rPr>
                <w:sz w:val="20"/>
                <w:szCs w:val="20"/>
                <w:color w:val="auto"/>
              </w:rPr>
            </w:pPr>
            <w:r>
              <w:rPr>
                <w:rFonts w:ascii="Arial" w:cs="Arial" w:eastAsia="Arial" w:hAnsi="Arial"/>
                <w:sz w:val="18"/>
                <w:szCs w:val="18"/>
                <w:color w:val="auto"/>
              </w:rPr>
              <w:t>standalone selling price for an identified performance obligation required especially complex auditor judgement.</w:t>
            </w:r>
          </w:p>
        </w:tc>
      </w:tr>
      <w:tr>
        <w:trPr>
          <w:trHeight w:val="796"/>
        </w:trPr>
        <w:tc>
          <w:tcPr>
            <w:tcW w:w="1680" w:type="dxa"/>
            <w:vAlign w:val="bottom"/>
          </w:tcPr>
          <w:p>
            <w:pPr>
              <w:spacing w:after="0"/>
              <w:rPr>
                <w:sz w:val="24"/>
                <w:szCs w:val="24"/>
                <w:color w:val="auto"/>
              </w:rPr>
            </w:pPr>
          </w:p>
        </w:tc>
        <w:tc>
          <w:tcPr>
            <w:tcW w:w="9560" w:type="dxa"/>
            <w:vAlign w:val="bottom"/>
          </w:tcPr>
          <w:p>
            <w:pPr>
              <w:ind w:left="3820"/>
              <w:spacing w:after="0"/>
              <w:rPr>
                <w:sz w:val="20"/>
                <w:szCs w:val="20"/>
                <w:color w:val="auto"/>
              </w:rPr>
            </w:pPr>
            <w:r>
              <w:rPr>
                <w:rFonts w:ascii="Arial" w:cs="Arial" w:eastAsia="Arial" w:hAnsi="Arial"/>
                <w:sz w:val="18"/>
                <w:szCs w:val="18"/>
                <w:color w:val="auto"/>
              </w:rPr>
              <w:t>F-2</w:t>
            </w:r>
          </w:p>
        </w:tc>
      </w:tr>
      <w:tr>
        <w:trPr>
          <w:trHeight w:val="101"/>
        </w:trPr>
        <w:tc>
          <w:tcPr>
            <w:tcW w:w="1680" w:type="dxa"/>
            <w:vAlign w:val="bottom"/>
            <w:tcBorders>
              <w:bottom w:val="single" w:sz="8" w:color="9A9A9A"/>
            </w:tcBorders>
          </w:tcPr>
          <w:p>
            <w:pPr>
              <w:spacing w:after="0"/>
              <w:rPr>
                <w:sz w:val="8"/>
                <w:szCs w:val="8"/>
                <w:color w:val="auto"/>
              </w:rPr>
            </w:pPr>
          </w:p>
        </w:tc>
        <w:tc>
          <w:tcPr>
            <w:tcW w:w="9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53" w:name="page154"/>
    <w:bookmarkEnd w:id="153"/>
    <w:p>
      <w:pPr>
        <w:ind w:left="20"/>
        <w:spacing w:after="0" w:line="259"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revenue recognition process. For example, we tested controls over management's process to determine the significant assumptions described above with respect to the estimation of the standalone selling price of a performance obligation.</w:t>
      </w:r>
    </w:p>
    <w:p>
      <w:pPr>
        <w:spacing w:after="0" w:line="106" w:lineRule="exact"/>
        <w:rPr>
          <w:sz w:val="20"/>
          <w:szCs w:val="20"/>
          <w:color w:val="auto"/>
        </w:rPr>
      </w:pPr>
    </w:p>
    <w:p>
      <w:pPr>
        <w:sectPr>
          <w:pgSz w:w="11900" w:h="16838" w:orient="portrait"/>
          <w:cols w:equalWidth="0" w:num="2">
            <w:col w:w="1400" w:space="560"/>
            <w:col w:w="9260"/>
          </w:cols>
          <w:pgMar w:left="320" w:top="328" w:right="359" w:bottom="1440" w:gutter="0" w:footer="0" w:header="0"/>
        </w:sectPr>
      </w:pPr>
    </w:p>
    <w:p>
      <w:pPr>
        <w:jc w:val="both"/>
        <w:ind w:left="1960"/>
        <w:spacing w:after="0" w:line="222" w:lineRule="auto"/>
        <w:rPr>
          <w:sz w:val="20"/>
          <w:szCs w:val="20"/>
          <w:color w:val="auto"/>
        </w:rPr>
      </w:pPr>
      <w:r>
        <w:rPr>
          <w:rFonts w:ascii="Arial" w:cs="Arial" w:eastAsia="Arial" w:hAnsi="Arial"/>
          <w:sz w:val="17"/>
          <w:szCs w:val="17"/>
          <w:color w:val="auto"/>
        </w:rPr>
        <w:t>To audit the Company’s revenue recognition related to the A&amp;R Vertex JDCA, we performed audit procedures that included, among others, evaluating management’s estimate of the standalone selling price of an identified performance obligation. For example, we evaluated the probability weighted projected discounted cash flow assumptions used by the Company in developing the estimated standalone selling price by comparing the significant assumptions described above to current industry trends using available information from other guideline companies within the same industry and other relevant factors. We also performed a sensitivity analysis of the significant assumptions to evaluate the impact that the change in the estimated standalone selling price of an identified performance obligation resulting from changes in the significant assumptions would have on the amount and timing of revenue recognized during the period. We involved our valuation professionals to assist in the assessment of the estimation methodology and the significant valuation assumptions used in determining the estimated standalone selling price of an identified performance obligation.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220"/>
          </w:cols>
          <w:pgMar w:left="320" w:top="328" w:right="35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15, 2022</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type w:val="continuous"/>
        </w:sectPr>
      </w:pPr>
    </w:p>
    <w:bookmarkStart w:id="154" w:name="page155"/>
    <w:bookmarkEnd w:id="154"/>
    <w:p>
      <w:pPr>
        <w:jc w:val="center"/>
        <w:ind w:right="40"/>
        <w:spacing w:after="0"/>
        <w:rPr>
          <w:sz w:val="20"/>
          <w:szCs w:val="20"/>
          <w:color w:val="auto"/>
        </w:rPr>
      </w:pPr>
      <w:r>
        <w:rPr>
          <w:rFonts w:ascii="Arial" w:cs="Arial" w:eastAsia="Arial" w:hAnsi="Arial"/>
          <w:sz w:val="18"/>
          <w:szCs w:val="18"/>
          <w:b w:val="1"/>
          <w:bCs w:val="1"/>
          <w:color w:val="auto"/>
        </w:rPr>
        <w:t>CRISPR Therapeutics AG</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923,031</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1,168,620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Marketable securities</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1,456,098</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521,713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305</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38,079</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26,143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2,417,513</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1,716,620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200"/>
              <w:spacing w:after="0" w:line="196" w:lineRule="exact"/>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137,575</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42,160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16,913</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16,848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assets</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174,460</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50,865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5,291</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2,751,877</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1,827,966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7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14,816</w:t>
            </w:r>
          </w:p>
        </w:tc>
        <w:tc>
          <w:tcPr>
            <w:tcW w:w="280" w:type="dxa"/>
            <w:vAlign w:val="bottom"/>
          </w:tcPr>
          <w:p>
            <w:pPr>
              <w:spacing w:after="0"/>
              <w:rPr>
                <w:sz w:val="17"/>
                <w:szCs w:val="17"/>
                <w:color w:val="auto"/>
              </w:rPr>
            </w:pP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9,094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expenses</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91,003</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 current</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2,341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tax liabilities</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724</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12,158</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171</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7,207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119,883</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94,259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revenue, non-current</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12,323</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3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212,872</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50,067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7,339</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7,630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560"/>
              <w:spacing w:after="0" w:line="196" w:lineRule="exact"/>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352,417</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163,732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Commitments and contingencies (Note 8)</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Shareholders’ equity:</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380"/>
              <w:spacing w:after="0" w:line="162" w:lineRule="exact"/>
              <w:rPr>
                <w:sz w:val="20"/>
                <w:szCs w:val="20"/>
                <w:color w:val="auto"/>
              </w:rPr>
            </w:pPr>
            <w:r>
              <w:rPr>
                <w:rFonts w:ascii="Arial" w:cs="Arial" w:eastAsia="Arial" w:hAnsi="Arial"/>
                <w:sz w:val="18"/>
                <w:szCs w:val="18"/>
                <w:color w:val="auto"/>
              </w:rPr>
              <w:t>Common shares, CHF 0.03 par value, 145,364,335 and 115,172,786 shares</w:t>
            </w:r>
          </w:p>
        </w:tc>
        <w:tc>
          <w:tcPr>
            <w:tcW w:w="3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520"/>
              <w:spacing w:after="0" w:line="176" w:lineRule="exact"/>
              <w:rPr>
                <w:sz w:val="20"/>
                <w:szCs w:val="20"/>
                <w:color w:val="auto"/>
              </w:rPr>
            </w:pPr>
            <w:r>
              <w:rPr>
                <w:rFonts w:ascii="Arial" w:cs="Arial" w:eastAsia="Arial" w:hAnsi="Arial"/>
                <w:sz w:val="18"/>
                <w:szCs w:val="18"/>
                <w:color w:val="auto"/>
              </w:rPr>
              <w:t>authorized at December 31, 2021 and 2020, respectively, 77,170,382 and</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520"/>
              <w:spacing w:after="0" w:line="176" w:lineRule="exact"/>
              <w:rPr>
                <w:sz w:val="20"/>
                <w:szCs w:val="20"/>
                <w:color w:val="auto"/>
              </w:rPr>
            </w:pPr>
            <w:r>
              <w:rPr>
                <w:rFonts w:ascii="Arial" w:cs="Arial" w:eastAsia="Arial" w:hAnsi="Arial"/>
                <w:sz w:val="18"/>
                <w:szCs w:val="18"/>
                <w:color w:val="auto"/>
              </w:rPr>
              <w:t>74,110,160 shares issued at December 31, 2021 and 2020, respectively,</w:t>
            </w:r>
          </w:p>
        </w:tc>
        <w:tc>
          <w:tcPr>
            <w:tcW w:w="3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520"/>
              <w:spacing w:after="0" w:line="176" w:lineRule="exact"/>
              <w:rPr>
                <w:sz w:val="20"/>
                <w:szCs w:val="20"/>
                <w:color w:val="auto"/>
              </w:rPr>
            </w:pPr>
            <w:r>
              <w:rPr>
                <w:rFonts w:ascii="Arial" w:cs="Arial" w:eastAsia="Arial" w:hAnsi="Arial"/>
                <w:sz w:val="18"/>
                <w:szCs w:val="18"/>
                <w:color w:val="auto"/>
              </w:rPr>
              <w:t>76,990,066 and 73,914,844 shares outstanding at December 31, 2021 and 2020,</w:t>
            </w:r>
          </w:p>
        </w:tc>
        <w:tc>
          <w:tcPr>
            <w:tcW w:w="380" w:type="dxa"/>
            <w:vAlign w:val="bottom"/>
            <w:shd w:val="clear" w:color="auto" w:fill="CFF0FC"/>
          </w:tcPr>
          <w:p>
            <w:pPr>
              <w:spacing w:after="0"/>
              <w:rPr>
                <w:sz w:val="15"/>
                <w:szCs w:val="15"/>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respectively.</w:t>
            </w:r>
          </w:p>
        </w:tc>
        <w:tc>
          <w:tcPr>
            <w:tcW w:w="380" w:type="dxa"/>
            <w:vAlign w:val="bottom"/>
            <w:shd w:val="clear" w:color="auto" w:fill="CFF0FC"/>
          </w:tcPr>
          <w:p>
            <w:pPr>
              <w:spacing w:after="0"/>
              <w:rPr>
                <w:sz w:val="18"/>
                <w:szCs w:val="18"/>
                <w:color w:val="auto"/>
              </w:rPr>
            </w:pPr>
          </w:p>
        </w:tc>
        <w:tc>
          <w:tcPr>
            <w:tcW w:w="122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380"/>
              <w:spacing w:after="0" w:line="162" w:lineRule="exact"/>
              <w:rPr>
                <w:sz w:val="20"/>
                <w:szCs w:val="20"/>
                <w:color w:val="auto"/>
              </w:rPr>
            </w:pPr>
            <w:r>
              <w:rPr>
                <w:rFonts w:ascii="Arial" w:cs="Arial" w:eastAsia="Arial" w:hAnsi="Arial"/>
                <w:sz w:val="18"/>
                <w:szCs w:val="18"/>
                <w:color w:val="auto"/>
              </w:rPr>
              <w:t>Treasury shares, at cost, 180,316 and 195,316 shares at December 31, 2021</w:t>
            </w:r>
          </w:p>
        </w:tc>
        <w:tc>
          <w:tcPr>
            <w:tcW w:w="380" w:type="dxa"/>
            <w:vAlign w:val="bottom"/>
          </w:tcPr>
          <w:p>
            <w:pPr>
              <w:spacing w:after="0"/>
              <w:rPr>
                <w:sz w:val="14"/>
                <w:szCs w:val="14"/>
                <w:color w:val="auto"/>
              </w:rPr>
            </w:pPr>
          </w:p>
        </w:tc>
        <w:tc>
          <w:tcPr>
            <w:tcW w:w="15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(63 )</w:t>
            </w:r>
          </w:p>
        </w:tc>
        <w:tc>
          <w:tcPr>
            <w:tcW w:w="460" w:type="dxa"/>
            <w:vAlign w:val="bottom"/>
          </w:tcPr>
          <w:p>
            <w:pPr>
              <w:spacing w:after="0"/>
              <w:rPr>
                <w:sz w:val="14"/>
                <w:szCs w:val="14"/>
                <w:color w:val="auto"/>
              </w:rPr>
            </w:pPr>
          </w:p>
        </w:tc>
        <w:tc>
          <w:tcPr>
            <w:tcW w:w="12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16"/>
        </w:trPr>
        <w:tc>
          <w:tcPr>
            <w:tcW w:w="7700" w:type="dxa"/>
            <w:vAlign w:val="bottom"/>
          </w:tcPr>
          <w:p>
            <w:pPr>
              <w:ind w:left="520"/>
              <w:spacing w:after="0"/>
              <w:rPr>
                <w:sz w:val="20"/>
                <w:szCs w:val="20"/>
                <w:color w:val="auto"/>
              </w:rPr>
            </w:pPr>
            <w:r>
              <w:rPr>
                <w:rFonts w:ascii="Arial" w:cs="Arial" w:eastAsia="Arial" w:hAnsi="Arial"/>
                <w:sz w:val="18"/>
                <w:szCs w:val="18"/>
                <w:color w:val="auto"/>
              </w:rPr>
              <w:t>and 2020, respectively</w:t>
            </w:r>
          </w:p>
        </w:tc>
        <w:tc>
          <w:tcPr>
            <w:tcW w:w="38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2,598,114</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2,235,679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7"/>
                <w:szCs w:val="17"/>
                <w:color w:val="auto"/>
              </w:rPr>
            </w:pPr>
          </w:p>
        </w:tc>
        <w:tc>
          <w:tcPr>
            <w:tcW w:w="15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(195,915 )</w:t>
            </w:r>
          </w:p>
        </w:tc>
        <w:tc>
          <w:tcPr>
            <w:tcW w:w="460" w:type="dxa"/>
            <w:vAlign w:val="bottom"/>
          </w:tcPr>
          <w:p>
            <w:pPr>
              <w:spacing w:after="0"/>
              <w:rPr>
                <w:sz w:val="17"/>
                <w:szCs w:val="17"/>
                <w:color w:val="auto"/>
              </w:rPr>
            </w:pP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(573,576 )</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(5,067 )</w:t>
            </w:r>
          </w:p>
        </w:tc>
        <w:tc>
          <w:tcPr>
            <w:tcW w:w="4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tcPr>
          <w:p>
            <w:pPr>
              <w:ind w:left="560"/>
              <w:spacing w:after="0" w:line="196" w:lineRule="exact"/>
              <w:rPr>
                <w:sz w:val="20"/>
                <w:szCs w:val="20"/>
                <w:color w:val="auto"/>
              </w:rPr>
            </w:pPr>
            <w:r>
              <w:rPr>
                <w:rFonts w:ascii="Arial" w:cs="Arial" w:eastAsia="Arial" w:hAnsi="Arial"/>
                <w:sz w:val="18"/>
                <w:szCs w:val="18"/>
                <w:color w:val="auto"/>
              </w:rPr>
              <w:t>Total shareholders’ equity</w:t>
            </w: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2,399,460</w:t>
            </w:r>
          </w:p>
        </w:tc>
        <w:tc>
          <w:tcPr>
            <w:tcW w:w="28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1,664,234</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2,751,877</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1,827,966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-4274185</wp:posOffset>
            </wp:positionV>
            <wp:extent cx="685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-4274185</wp:posOffset>
            </wp:positionV>
            <wp:extent cx="5969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-3488055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-3470910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-3488055</wp:posOffset>
            </wp:positionV>
            <wp:extent cx="596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-3470910</wp:posOffset>
            </wp:positionV>
            <wp:extent cx="596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-2430780</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-2430780</wp:posOffset>
            </wp:positionV>
            <wp:extent cx="5969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-1899285</wp:posOffset>
            </wp:positionV>
            <wp:extent cx="685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-1899285</wp:posOffset>
            </wp:positionV>
            <wp:extent cx="5969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wp:posOffset>
            </wp:positionV>
            <wp:extent cx="6858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CRISPR Therapeutics AG</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w w:val="91"/>
              </w:rPr>
              <w:t>Years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Collaboration revenue (1)</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913,081</w:t>
            </w:r>
          </w:p>
        </w:tc>
        <w:tc>
          <w:tcPr>
            <w:tcW w:w="80" w:type="dxa"/>
            <w:vAlign w:val="bottom"/>
          </w:tcPr>
          <w:p>
            <w:pPr>
              <w:spacing w:after="0"/>
              <w:rPr>
                <w:sz w:val="17"/>
                <w:szCs w:val="17"/>
                <w:color w:val="auto"/>
              </w:rPr>
            </w:pPr>
          </w:p>
        </w:tc>
        <w:tc>
          <w:tcPr>
            <w:tcW w:w="5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543</w:t>
            </w:r>
          </w:p>
        </w:tc>
        <w:tc>
          <w:tcPr>
            <w:tcW w:w="26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289,590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CFF0FC"/>
          </w:tcPr>
          <w:p>
            <w:pPr>
              <w:spacing w:after="0"/>
              <w:rPr>
                <w:sz w:val="17"/>
                <w:szCs w:val="17"/>
                <w:color w:val="auto"/>
              </w:rPr>
            </w:pPr>
          </w:p>
        </w:tc>
        <w:tc>
          <w:tcPr>
            <w:tcW w:w="62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Grant revenue</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1,882</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80" w:type="dxa"/>
            <w:vAlign w:val="bottom"/>
            <w:tcBorders>
              <w:top w:val="single" w:sz="8" w:color="CFF0FC"/>
            </w:tcBorders>
          </w:tcPr>
          <w:p>
            <w:pPr>
              <w:spacing w:after="0"/>
              <w:rPr>
                <w:sz w:val="17"/>
                <w:szCs w:val="17"/>
                <w:color w:val="auto"/>
              </w:rPr>
            </w:pPr>
          </w:p>
        </w:tc>
        <w:tc>
          <w:tcPr>
            <w:tcW w:w="6280" w:type="dxa"/>
            <w:vAlign w:val="bottom"/>
            <w:tcBorders>
              <w:top w:val="single" w:sz="8" w:color="CFF0FC"/>
            </w:tcBorders>
          </w:tcPr>
          <w:p>
            <w:pPr>
              <w:ind w:left="100"/>
              <w:spacing w:after="0" w:line="196" w:lineRule="exact"/>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914,963</w:t>
            </w: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289,590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Research and development (2)</w:t>
            </w: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438,633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266,946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179,362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Borders>
              <w:bottom w:val="single" w:sz="8" w:color="CFF0FC"/>
            </w:tcBorders>
            <w:shd w:val="clear" w:color="auto" w:fill="CFF0FC"/>
          </w:tcPr>
          <w:p>
            <w:pPr>
              <w:spacing w:after="0"/>
              <w:rPr>
                <w:sz w:val="17"/>
                <w:szCs w:val="17"/>
                <w:color w:val="auto"/>
              </w:rPr>
            </w:pPr>
          </w:p>
        </w:tc>
        <w:tc>
          <w:tcPr>
            <w:tcW w:w="628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102,802</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88,208</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63,488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6280" w:type="dxa"/>
            <w:vAlign w:val="bottom"/>
          </w:tcPr>
          <w:p>
            <w:pPr>
              <w:ind w:left="10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541,435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355,154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373,528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(354,435</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46,740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shd w:val="clear" w:color="auto" w:fill="CFF0FC"/>
          </w:tcPr>
          <w:p>
            <w:pPr>
              <w:spacing w:after="0"/>
              <w:rPr>
                <w:sz w:val="17"/>
                <w:szCs w:val="17"/>
                <w:color w:val="auto"/>
              </w:rPr>
            </w:pPr>
          </w:p>
        </w:tc>
        <w:tc>
          <w:tcPr>
            <w:tcW w:w="62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Loss from equity method investment</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(5,467 )</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6,379</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26,033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other income, net</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6,003</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6,379</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Net income (loss) before income taxes</w:t>
            </w: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379,531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(348,056 )</w:t>
            </w:r>
          </w:p>
        </w:tc>
        <w:tc>
          <w:tcPr>
            <w:tcW w:w="3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67,306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Borders>
              <w:bottom w:val="single" w:sz="8" w:color="CFF0FC"/>
            </w:tcBorders>
            <w:shd w:val="clear" w:color="auto" w:fill="CFF0FC"/>
          </w:tcPr>
          <w:p>
            <w:pPr>
              <w:spacing w:after="0"/>
              <w:rPr>
                <w:sz w:val="17"/>
                <w:szCs w:val="17"/>
                <w:color w:val="auto"/>
              </w:rPr>
            </w:pPr>
          </w:p>
        </w:tc>
        <w:tc>
          <w:tcPr>
            <w:tcW w:w="6280" w:type="dxa"/>
            <w:vAlign w:val="bottom"/>
            <w:tcBorders>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Provision for income taxes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(1,870</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(809</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377,661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(348,865 )</w:t>
            </w:r>
          </w:p>
        </w:tc>
        <w:tc>
          <w:tcPr>
            <w:tcW w:w="3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66,858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shd w:val="clear" w:color="auto" w:fill="CFF0FC"/>
          </w:tcPr>
          <w:p>
            <w:pPr>
              <w:spacing w:after="0"/>
              <w:rPr>
                <w:sz w:val="17"/>
                <w:szCs w:val="17"/>
                <w:color w:val="auto"/>
              </w:rPr>
            </w:pPr>
          </w:p>
        </w:tc>
        <w:tc>
          <w:tcPr>
            <w:tcW w:w="628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Foreign currency translation adjustment</w:t>
            </w: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280" w:type="dxa"/>
            <w:vAlign w:val="bottom"/>
          </w:tcPr>
          <w:p>
            <w:pPr>
              <w:ind w:left="100"/>
              <w:spacing w:after="0" w:line="202" w:lineRule="exact"/>
              <w:rPr>
                <w:sz w:val="20"/>
                <w:szCs w:val="20"/>
                <w:color w:val="auto"/>
              </w:rPr>
            </w:pPr>
            <w:r>
              <w:rPr>
                <w:rFonts w:ascii="Arial" w:cs="Arial" w:eastAsia="Arial" w:hAnsi="Arial"/>
                <w:sz w:val="18"/>
                <w:szCs w:val="18"/>
                <w:color w:val="auto"/>
              </w:rPr>
              <w:t>Unrealized loss on marketable securities</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(4,973 )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(130 )</w:t>
            </w:r>
          </w:p>
        </w:tc>
        <w:tc>
          <w:tcPr>
            <w:tcW w:w="300" w:type="dxa"/>
            <w:vAlign w:val="bottom"/>
          </w:tcPr>
          <w:p>
            <w:pPr>
              <w:spacing w:after="0"/>
              <w:rPr>
                <w:sz w:val="17"/>
                <w:szCs w:val="17"/>
                <w:color w:val="auto"/>
              </w:rPr>
            </w:pPr>
          </w:p>
        </w:tc>
        <w:tc>
          <w:tcPr>
            <w:tcW w:w="11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income (loss)</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372,677</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(348,955</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66,873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56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128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56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(loss) per common share — basic</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w:t>
            </w:r>
          </w:p>
        </w:tc>
        <w:tc>
          <w:tcPr>
            <w:tcW w:w="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(5.29 )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560" w:type="dxa"/>
            <w:vAlign w:val="bottom"/>
            <w:tcBorders>
              <w:top w:val="single" w:sz="8" w:color="CFF0FC"/>
            </w:tcBorders>
            <w:gridSpan w:val="2"/>
          </w:tcPr>
          <w:p>
            <w:pPr>
              <w:ind w:left="20"/>
              <w:spacing w:after="0" w:line="183" w:lineRule="exact"/>
              <w:rPr>
                <w:sz w:val="20"/>
                <w:szCs w:val="20"/>
                <w:color w:val="auto"/>
              </w:rPr>
            </w:pPr>
            <w:r>
              <w:rPr>
                <w:rFonts w:ascii="Arial" w:cs="Arial" w:eastAsia="Arial" w:hAnsi="Arial"/>
                <w:sz w:val="18"/>
                <w:szCs w:val="18"/>
                <w:color w:val="auto"/>
              </w:rPr>
              <w:t>Basic weighted-average common shares outstanding</w:t>
            </w: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75,948,686</w:t>
            </w: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65,949,672</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54,392,304</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tcBorders>
              <w:bottom w:val="single" w:sz="8" w:color="CFF0FC"/>
            </w:tcBorders>
            <w:gridSpan w:val="2"/>
            <w:shd w:val="clear" w:color="auto" w:fill="CFF0FC"/>
          </w:tcPr>
          <w:p>
            <w:pPr>
              <w:ind w:left="20"/>
              <w:spacing w:after="0" w:line="183" w:lineRule="exact"/>
              <w:rPr>
                <w:sz w:val="20"/>
                <w:szCs w:val="20"/>
                <w:color w:val="auto"/>
              </w:rPr>
            </w:pPr>
            <w:r>
              <w:rPr>
                <w:rFonts w:ascii="Arial" w:cs="Arial" w:eastAsia="Arial" w:hAnsi="Arial"/>
                <w:sz w:val="18"/>
                <w:szCs w:val="18"/>
                <w:color w:val="auto"/>
              </w:rPr>
              <w:t>Net income (loss) per common share — diluted</w:t>
            </w: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4.70</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(5.29</w:t>
            </w:r>
          </w:p>
        </w:tc>
        <w:tc>
          <w:tcPr>
            <w:tcW w:w="260" w:type="dxa"/>
            <w:vAlign w:val="bottom"/>
            <w:tcBorders>
              <w:bottom w:val="single" w:sz="8" w:color="CFF0FC"/>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5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Diluted weighted-average common shares outstanding</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80,393,496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65,949,672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56,932,798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0" w:type="dxa"/>
            <w:vAlign w:val="bottom"/>
            <w:shd w:val="clear" w:color="auto" w:fill="CFF0FC"/>
          </w:tcPr>
          <w:p>
            <w:pPr>
              <w:spacing w:after="0"/>
              <w:rPr>
                <w:sz w:val="15"/>
                <w:szCs w:val="15"/>
                <w:color w:val="auto"/>
              </w:rPr>
            </w:pPr>
          </w:p>
        </w:tc>
        <w:tc>
          <w:tcPr>
            <w:tcW w:w="6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spacing w:after="0"/>
              <w:rPr>
                <w:sz w:val="15"/>
                <w:szCs w:val="15"/>
                <w:color w:val="auto"/>
              </w:rPr>
            </w:pPr>
          </w:p>
        </w:tc>
        <w:tc>
          <w:tcPr>
            <w:tcW w:w="500" w:type="dxa"/>
            <w:vAlign w:val="bottom"/>
            <w:gridSpan w:val="2"/>
            <w:shd w:val="clear" w:color="auto" w:fill="CFF0FC"/>
          </w:tcPr>
          <w:p>
            <w:pPr>
              <w:spacing w:after="0"/>
              <w:rPr>
                <w:sz w:val="15"/>
                <w:szCs w:val="15"/>
                <w:color w:val="auto"/>
              </w:rPr>
            </w:pPr>
          </w:p>
        </w:tc>
        <w:tc>
          <w:tcPr>
            <w:tcW w:w="1280" w:type="dxa"/>
            <w:vAlign w:val="bottom"/>
            <w:gridSpan w:val="2"/>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Pr>
          <w:p>
            <w:pPr>
              <w:ind w:left="20"/>
              <w:spacing w:after="0" w:line="202" w:lineRule="exact"/>
              <w:rPr>
                <w:sz w:val="20"/>
                <w:szCs w:val="20"/>
                <w:color w:val="auto"/>
              </w:rPr>
            </w:pPr>
            <w:r>
              <w:rPr>
                <w:rFonts w:ascii="Arial" w:cs="Arial" w:eastAsia="Arial" w:hAnsi="Arial"/>
                <w:sz w:val="18"/>
                <w:szCs w:val="18"/>
                <w:color w:val="auto"/>
              </w:rPr>
              <w:t>(1)</w:t>
            </w:r>
          </w:p>
        </w:tc>
        <w:tc>
          <w:tcPr>
            <w:tcW w:w="6280" w:type="dxa"/>
            <w:vAlign w:val="bottom"/>
          </w:tcPr>
          <w:p>
            <w:pPr>
              <w:ind w:left="40"/>
              <w:spacing w:after="0" w:line="202" w:lineRule="exact"/>
              <w:rPr>
                <w:sz w:val="20"/>
                <w:szCs w:val="20"/>
                <w:color w:val="auto"/>
              </w:rPr>
            </w:pPr>
            <w:r>
              <w:rPr>
                <w:rFonts w:ascii="Arial" w:cs="Arial" w:eastAsia="Arial" w:hAnsi="Arial"/>
                <w:sz w:val="18"/>
                <w:szCs w:val="18"/>
                <w:color w:val="auto"/>
              </w:rPr>
              <w:t>Including the following amounts of revenue from a related party, see Note 9</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8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(2)</w:t>
            </w:r>
          </w:p>
        </w:tc>
        <w:tc>
          <w:tcPr>
            <w:tcW w:w="6280" w:type="dxa"/>
            <w:vAlign w:val="bottom"/>
            <w:shd w:val="clear" w:color="auto" w:fill="CFF0FC"/>
          </w:tcPr>
          <w:p>
            <w:pPr>
              <w:ind w:left="40"/>
              <w:spacing w:after="0" w:line="162" w:lineRule="exact"/>
              <w:rPr>
                <w:sz w:val="20"/>
                <w:szCs w:val="20"/>
                <w:color w:val="auto"/>
              </w:rPr>
            </w:pPr>
            <w:r>
              <w:rPr>
                <w:rFonts w:ascii="Arial" w:cs="Arial" w:eastAsia="Arial" w:hAnsi="Arial"/>
                <w:sz w:val="18"/>
                <w:szCs w:val="18"/>
                <w:color w:val="auto"/>
                <w:w w:val="94"/>
              </w:rPr>
              <w:t>Including the following amounts of research and development from a related party,</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shd w:val="clear" w:color="auto" w:fill="CFF0FC"/>
          </w:tcPr>
          <w:p>
            <w:pPr>
              <w:jc w:val="right"/>
              <w:ind w:right="21"/>
              <w:spacing w:after="0"/>
              <w:rPr>
                <w:sz w:val="20"/>
                <w:szCs w:val="20"/>
                <w:color w:val="auto"/>
              </w:rPr>
            </w:pPr>
            <w:r>
              <w:rPr>
                <w:rFonts w:ascii="Arial" w:cs="Arial" w:eastAsia="Arial" w:hAnsi="Arial"/>
                <w:sz w:val="18"/>
                <w:szCs w:val="18"/>
                <w:color w:val="auto"/>
              </w:rPr>
              <w:t>—</w:t>
            </w:r>
          </w:p>
        </w:tc>
        <w:tc>
          <w:tcPr>
            <w:tcW w:w="50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14,459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see Note 9</w:t>
            </w:r>
          </w:p>
        </w:tc>
        <w:tc>
          <w:tcPr>
            <w:tcW w:w="320" w:type="dxa"/>
            <w:vAlign w:val="bottom"/>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-3408045</wp:posOffset>
            </wp:positionV>
            <wp:extent cx="7747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-3408045</wp:posOffset>
            </wp:positionV>
            <wp:extent cx="685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-3408045</wp:posOffset>
            </wp:positionV>
            <wp:extent cx="685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-2876550</wp:posOffset>
            </wp:positionV>
            <wp:extent cx="7747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-2876550</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-2876550</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-2079625</wp:posOffset>
            </wp:positionV>
            <wp:extent cx="7747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-2079625</wp:posOffset>
            </wp:positionV>
            <wp:extent cx="685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-2079625</wp:posOffset>
            </wp:positionV>
            <wp:extent cx="685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-1805305</wp:posOffset>
            </wp:positionV>
            <wp:extent cx="7747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-1805305</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-1805305</wp:posOffset>
            </wp:positionV>
            <wp:extent cx="6858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-1268095</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-1250950</wp:posOffset>
            </wp:positionV>
            <wp:extent cx="774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-1268095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-1250950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-984885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-967740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-984885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-967740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-676275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-659765</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-676275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-659765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CRISPR Therapeutics AG</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1900" w:type="dxa"/>
            <w:vAlign w:val="bottom"/>
            <w:gridSpan w:val="4"/>
            <w:vMerge w:val="restart"/>
          </w:tcPr>
          <w:p>
            <w:pPr>
              <w:jc w:val="right"/>
              <w:ind w:right="526"/>
              <w:spacing w:after="0"/>
              <w:rPr>
                <w:sz w:val="20"/>
                <w:szCs w:val="20"/>
                <w:color w:val="auto"/>
              </w:rPr>
            </w:pPr>
            <w:r>
              <w:rPr>
                <w:rFonts w:ascii="Arial" w:cs="Arial" w:eastAsia="Arial" w:hAnsi="Arial"/>
                <w:sz w:val="11"/>
                <w:szCs w:val="11"/>
                <w:b w:val="1"/>
                <w:bCs w:val="1"/>
                <w:color w:val="auto"/>
              </w:rPr>
              <w:t>Common Shares</w:t>
            </w:r>
          </w:p>
        </w:tc>
        <w:tc>
          <w:tcPr>
            <w:tcW w:w="40" w:type="dxa"/>
            <w:vAlign w:val="bottom"/>
          </w:tcPr>
          <w:p>
            <w:pPr>
              <w:spacing w:after="0"/>
              <w:rPr>
                <w:sz w:val="10"/>
                <w:szCs w:val="10"/>
                <w:color w:val="auto"/>
              </w:rPr>
            </w:pPr>
          </w:p>
        </w:tc>
        <w:tc>
          <w:tcPr>
            <w:tcW w:w="1740" w:type="dxa"/>
            <w:vAlign w:val="bottom"/>
            <w:gridSpan w:val="6"/>
            <w:vMerge w:val="restart"/>
          </w:tcPr>
          <w:p>
            <w:pPr>
              <w:jc w:val="right"/>
              <w:ind w:right="531"/>
              <w:spacing w:after="0"/>
              <w:rPr>
                <w:sz w:val="20"/>
                <w:szCs w:val="20"/>
                <w:color w:val="auto"/>
              </w:rPr>
            </w:pPr>
            <w:r>
              <w:rPr>
                <w:rFonts w:ascii="Arial" w:cs="Arial" w:eastAsia="Arial" w:hAnsi="Arial"/>
                <w:sz w:val="11"/>
                <w:szCs w:val="11"/>
                <w:b w:val="1"/>
                <w:bCs w:val="1"/>
                <w:color w:val="auto"/>
              </w:rPr>
              <w:t>Treasury Shares</w:t>
            </w:r>
          </w:p>
        </w:tc>
        <w:tc>
          <w:tcPr>
            <w:tcW w:w="80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Additional</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jc w:val="center"/>
              <w:ind w:right="151"/>
              <w:spacing w:after="0"/>
              <w:rPr>
                <w:sz w:val="20"/>
                <w:szCs w:val="20"/>
                <w:color w:val="auto"/>
              </w:rPr>
            </w:pPr>
            <w:r>
              <w:rPr>
                <w:rFonts w:ascii="Arial" w:cs="Arial" w:eastAsia="Arial" w:hAnsi="Arial"/>
                <w:sz w:val="11"/>
                <w:szCs w:val="11"/>
                <w:b w:val="1"/>
                <w:bCs w:val="1"/>
                <w:color w:val="auto"/>
                <w:w w:val="86"/>
              </w:rPr>
              <w:t>Accumulated</w:t>
            </w: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190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6"/>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center"/>
              <w:ind w:right="151"/>
              <w:spacing w:after="0"/>
              <w:rPr>
                <w:sz w:val="20"/>
                <w:szCs w:val="20"/>
                <w:color w:val="auto"/>
              </w:rPr>
            </w:pPr>
            <w:r>
              <w:rPr>
                <w:rFonts w:ascii="Arial" w:cs="Arial" w:eastAsia="Arial" w:hAnsi="Arial"/>
                <w:sz w:val="11"/>
                <w:szCs w:val="11"/>
                <w:b w:val="1"/>
                <w:bCs w:val="1"/>
                <w:color w:val="auto"/>
                <w:w w:val="95"/>
              </w:rPr>
              <w:t>Other</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360" w:type="dxa"/>
            <w:vAlign w:val="bottom"/>
          </w:tcPr>
          <w:p>
            <w:pPr>
              <w:spacing w:after="0"/>
              <w:rPr>
                <w:sz w:val="7"/>
                <w:szCs w:val="7"/>
                <w:color w:val="auto"/>
              </w:rPr>
            </w:pPr>
          </w:p>
        </w:tc>
        <w:tc>
          <w:tcPr>
            <w:tcW w:w="920" w:type="dxa"/>
            <w:vAlign w:val="bottom"/>
            <w:tcBorders>
              <w:top w:val="single" w:sz="8" w:color="auto"/>
            </w:tcBorders>
            <w:vMerge w:val="restart"/>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jc w:val="right"/>
              <w:ind w:right="206"/>
              <w:spacing w:after="0" w:line="88" w:lineRule="exact"/>
              <w:rPr>
                <w:sz w:val="20"/>
                <w:szCs w:val="20"/>
                <w:color w:val="auto"/>
              </w:rPr>
            </w:pPr>
            <w:r>
              <w:rPr>
                <w:rFonts w:ascii="Arial" w:cs="Arial" w:eastAsia="Arial" w:hAnsi="Arial"/>
                <w:sz w:val="10"/>
                <w:szCs w:val="10"/>
                <w:b w:val="1"/>
                <w:bCs w:val="1"/>
                <w:color w:val="auto"/>
              </w:rPr>
              <w:t>CHF 0.03</w:t>
            </w:r>
          </w:p>
        </w:tc>
        <w:tc>
          <w:tcPr>
            <w:tcW w:w="40" w:type="dxa"/>
            <w:vAlign w:val="bottom"/>
          </w:tcPr>
          <w:p>
            <w:pPr>
              <w:spacing w:after="0"/>
              <w:rPr>
                <w:sz w:val="7"/>
                <w:szCs w:val="7"/>
                <w:color w:val="auto"/>
              </w:rPr>
            </w:pPr>
          </w:p>
        </w:tc>
        <w:tc>
          <w:tcPr>
            <w:tcW w:w="860" w:type="dxa"/>
            <w:vAlign w:val="bottom"/>
            <w:tcBorders>
              <w:top w:val="single" w:sz="8" w:color="auto"/>
            </w:tcBorders>
            <w:gridSpan w:val="2"/>
            <w:vMerge w:val="restart"/>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jc w:val="right"/>
              <w:ind w:right="106"/>
              <w:spacing w:after="0" w:line="88" w:lineRule="exact"/>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jc w:val="right"/>
              <w:ind w:right="246"/>
              <w:spacing w:after="0" w:line="88" w:lineRule="exact"/>
              <w:rPr>
                <w:sz w:val="20"/>
                <w:szCs w:val="20"/>
                <w:color w:val="auto"/>
              </w:rPr>
            </w:pPr>
            <w:r>
              <w:rPr>
                <w:rFonts w:ascii="Arial" w:cs="Arial" w:eastAsia="Arial" w:hAnsi="Arial"/>
                <w:sz w:val="10"/>
                <w:szCs w:val="10"/>
                <w:b w:val="1"/>
                <w:bCs w:val="1"/>
                <w:color w:val="auto"/>
              </w:rPr>
              <w:t>Paid-in</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gridSpan w:val="3"/>
          </w:tcPr>
          <w:p>
            <w:pPr>
              <w:jc w:val="right"/>
              <w:ind w:right="331"/>
              <w:spacing w:after="0" w:line="88" w:lineRule="exact"/>
              <w:rPr>
                <w:sz w:val="20"/>
                <w:szCs w:val="20"/>
                <w:color w:val="auto"/>
              </w:rPr>
            </w:pPr>
            <w:r>
              <w:rPr>
                <w:rFonts w:ascii="Arial" w:cs="Arial" w:eastAsia="Arial" w:hAnsi="Arial"/>
                <w:sz w:val="10"/>
                <w:szCs w:val="10"/>
                <w:b w:val="1"/>
                <w:bCs w:val="1"/>
                <w:color w:val="auto"/>
              </w:rPr>
              <w:t>Accumulated</w:t>
            </w:r>
          </w:p>
        </w:tc>
        <w:tc>
          <w:tcPr>
            <w:tcW w:w="1040" w:type="dxa"/>
            <w:vAlign w:val="bottom"/>
            <w:gridSpan w:val="3"/>
          </w:tcPr>
          <w:p>
            <w:pPr>
              <w:jc w:val="center"/>
              <w:ind w:right="151"/>
              <w:spacing w:after="0" w:line="88" w:lineRule="exact"/>
              <w:rPr>
                <w:sz w:val="20"/>
                <w:szCs w:val="20"/>
                <w:color w:val="auto"/>
              </w:rPr>
            </w:pPr>
            <w:r>
              <w:rPr>
                <w:rFonts w:ascii="Arial" w:cs="Arial" w:eastAsia="Arial" w:hAnsi="Arial"/>
                <w:sz w:val="10"/>
                <w:szCs w:val="10"/>
                <w:b w:val="1"/>
                <w:bCs w:val="1"/>
                <w:color w:val="auto"/>
                <w:w w:val="95"/>
              </w:rPr>
              <w:t>Comprehensive</w:t>
            </w:r>
          </w:p>
        </w:tc>
        <w:tc>
          <w:tcPr>
            <w:tcW w:w="60" w:type="dxa"/>
            <w:vAlign w:val="bottom"/>
          </w:tcPr>
          <w:p>
            <w:pPr>
              <w:spacing w:after="0"/>
              <w:rPr>
                <w:sz w:val="7"/>
                <w:szCs w:val="7"/>
                <w:color w:val="auto"/>
              </w:rPr>
            </w:pPr>
          </w:p>
        </w:tc>
        <w:tc>
          <w:tcPr>
            <w:tcW w:w="1100" w:type="dxa"/>
            <w:vAlign w:val="bottom"/>
            <w:gridSpan w:val="2"/>
          </w:tcPr>
          <w:p>
            <w:pPr>
              <w:jc w:val="right"/>
              <w:ind w:right="180"/>
              <w:spacing w:after="0" w:line="88" w:lineRule="exact"/>
              <w:rPr>
                <w:sz w:val="20"/>
                <w:szCs w:val="20"/>
                <w:color w:val="auto"/>
              </w:rPr>
            </w:pPr>
            <w:r>
              <w:rPr>
                <w:rFonts w:ascii="Arial" w:cs="Arial" w:eastAsia="Arial" w:hAnsi="Arial"/>
                <w:sz w:val="10"/>
                <w:szCs w:val="10"/>
                <w:b w:val="1"/>
                <w:bCs w:val="1"/>
                <w:color w:val="auto"/>
                <w:w w:val="96"/>
              </w:rPr>
              <w:t>Total Shareholders'</w:t>
            </w: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86"/>
              <w:spacing w:after="0"/>
              <w:rPr>
                <w:sz w:val="20"/>
                <w:szCs w:val="20"/>
                <w:color w:val="auto"/>
              </w:rPr>
            </w:pPr>
            <w:r>
              <w:rPr>
                <w:rFonts w:ascii="Arial" w:cs="Arial" w:eastAsia="Arial" w:hAnsi="Arial"/>
                <w:sz w:val="11"/>
                <w:szCs w:val="11"/>
                <w:b w:val="1"/>
                <w:bCs w:val="1"/>
                <w:color w:val="auto"/>
              </w:rPr>
              <w:t>Par Value</w:t>
            </w: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ind w:right="351"/>
              <w:spacing w:after="0"/>
              <w:rPr>
                <w:sz w:val="20"/>
                <w:szCs w:val="20"/>
                <w:color w:val="auto"/>
              </w:rPr>
            </w:pPr>
            <w:r>
              <w:rPr>
                <w:rFonts w:ascii="Arial" w:cs="Arial" w:eastAsia="Arial" w:hAnsi="Arial"/>
                <w:sz w:val="11"/>
                <w:szCs w:val="11"/>
                <w:b w:val="1"/>
                <w:bCs w:val="1"/>
                <w:color w:val="auto"/>
              </w:rPr>
              <w:t>at cost</w:t>
            </w:r>
          </w:p>
        </w:tc>
        <w:tc>
          <w:tcPr>
            <w:tcW w:w="800" w:type="dxa"/>
            <w:vAlign w:val="bottom"/>
          </w:tcPr>
          <w:p>
            <w:pPr>
              <w:jc w:val="right"/>
              <w:ind w:right="246"/>
              <w:spacing w:after="0"/>
              <w:rPr>
                <w:sz w:val="20"/>
                <w:szCs w:val="20"/>
                <w:color w:val="auto"/>
              </w:rPr>
            </w:pPr>
            <w:r>
              <w:rPr>
                <w:rFonts w:ascii="Arial" w:cs="Arial" w:eastAsia="Arial" w:hAnsi="Arial"/>
                <w:sz w:val="11"/>
                <w:szCs w:val="11"/>
                <w:b w:val="1"/>
                <w:bCs w:val="1"/>
                <w:color w:val="auto"/>
              </w:rPr>
              <w:t>Capital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491"/>
              <w:spacing w:after="0"/>
              <w:rPr>
                <w:sz w:val="20"/>
                <w:szCs w:val="20"/>
                <w:color w:val="auto"/>
              </w:rPr>
            </w:pPr>
            <w:r>
              <w:rPr>
                <w:rFonts w:ascii="Arial" w:cs="Arial" w:eastAsia="Arial" w:hAnsi="Arial"/>
                <w:sz w:val="11"/>
                <w:szCs w:val="11"/>
                <w:b w:val="1"/>
                <w:bCs w:val="1"/>
                <w:color w:val="auto"/>
              </w:rPr>
              <w:t>Deficit</w:t>
            </w:r>
          </w:p>
        </w:tc>
        <w:tc>
          <w:tcPr>
            <w:tcW w:w="1040" w:type="dxa"/>
            <w:vAlign w:val="bottom"/>
            <w:gridSpan w:val="3"/>
          </w:tcPr>
          <w:p>
            <w:pPr>
              <w:jc w:val="center"/>
              <w:ind w:right="151"/>
              <w:spacing w:after="0"/>
              <w:rPr>
                <w:sz w:val="20"/>
                <w:szCs w:val="20"/>
                <w:color w:val="auto"/>
              </w:rPr>
            </w:pPr>
            <w:r>
              <w:rPr>
                <w:rFonts w:ascii="Arial" w:cs="Arial" w:eastAsia="Arial" w:hAnsi="Arial"/>
                <w:sz w:val="11"/>
                <w:szCs w:val="11"/>
                <w:b w:val="1"/>
                <w:bCs w:val="1"/>
                <w:color w:val="auto"/>
                <w:w w:val="85"/>
              </w:rPr>
              <w:t>Income (Loss)</w:t>
            </w:r>
          </w:p>
        </w:tc>
        <w:tc>
          <w:tcPr>
            <w:tcW w:w="60" w:type="dxa"/>
            <w:vAlign w:val="bottom"/>
          </w:tcPr>
          <w:p>
            <w:pPr>
              <w:spacing w:after="0"/>
              <w:rPr>
                <w:sz w:val="12"/>
                <w:szCs w:val="12"/>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b w:val="1"/>
                <w:bCs w:val="1"/>
                <w:color w:val="auto"/>
              </w:rPr>
              <w:t>Balance at December 31, 2018</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51,852,862</w:t>
            </w:r>
          </w:p>
        </w:tc>
        <w:tc>
          <w:tcPr>
            <w:tcW w:w="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1,584</w:t>
            </w:r>
          </w:p>
        </w:tc>
        <w:tc>
          <w:tcPr>
            <w:tcW w:w="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307,936</w:t>
            </w:r>
          </w:p>
        </w:tc>
        <w:tc>
          <w:tcPr>
            <w:tcW w:w="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(57</w:t>
            </w: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682,245</w:t>
            </w: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(291,569</w:t>
            </w: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392,195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360" w:type="dxa"/>
            <w:vAlign w:val="bottom"/>
          </w:tcPr>
          <w:p>
            <w:pPr>
              <w:ind w:left="160"/>
              <w:spacing w:after="0" w:line="116" w:lineRule="exact"/>
              <w:rPr>
                <w:sz w:val="20"/>
                <w:szCs w:val="20"/>
                <w:color w:val="auto"/>
              </w:rPr>
            </w:pPr>
            <w:r>
              <w:rPr>
                <w:rFonts w:ascii="Arial" w:cs="Arial" w:eastAsia="Arial" w:hAnsi="Arial"/>
                <w:sz w:val="11"/>
                <w:szCs w:val="11"/>
                <w:color w:val="auto"/>
                <w:w w:val="98"/>
              </w:rPr>
              <w:t>Issuance of common shares, net of issuance costs of $25.1 million</w:t>
            </w:r>
          </w:p>
        </w:tc>
        <w:tc>
          <w:tcPr>
            <w:tcW w:w="920" w:type="dxa"/>
            <w:vAlign w:val="bottom"/>
          </w:tcPr>
          <w:p>
            <w:pPr>
              <w:jc w:val="right"/>
              <w:spacing w:after="0" w:line="116" w:lineRule="exact"/>
              <w:rPr>
                <w:sz w:val="20"/>
                <w:szCs w:val="20"/>
                <w:color w:val="auto"/>
              </w:rPr>
            </w:pPr>
            <w:r>
              <w:rPr>
                <w:rFonts w:ascii="Arial" w:cs="Arial" w:eastAsia="Arial" w:hAnsi="Arial"/>
                <w:sz w:val="11"/>
                <w:szCs w:val="11"/>
                <w:color w:val="auto"/>
              </w:rPr>
              <w:t>7,704,068</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Arial" w:cs="Arial" w:eastAsia="Arial" w:hAnsi="Arial"/>
                <w:sz w:val="11"/>
                <w:szCs w:val="11"/>
                <w:color w:val="auto"/>
              </w:rPr>
              <w:t>230</w:t>
            </w:r>
          </w:p>
        </w:tc>
        <w:tc>
          <w:tcPr>
            <w:tcW w:w="900" w:type="dxa"/>
            <w:vAlign w:val="bottom"/>
            <w:gridSpan w:val="3"/>
          </w:tcPr>
          <w:p>
            <w:pPr>
              <w:jc w:val="right"/>
              <w:ind w:right="20"/>
              <w:spacing w:after="0" w:line="116" w:lineRule="exact"/>
              <w:rPr>
                <w:sz w:val="20"/>
                <w:szCs w:val="20"/>
                <w:color w:val="auto"/>
              </w:rPr>
            </w:pPr>
            <w:r>
              <w:rPr>
                <w:rFonts w:ascii="Arial" w:cs="Arial" w:eastAsia="Arial" w:hAnsi="Arial"/>
                <w:sz w:val="11"/>
                <w:szCs w:val="11"/>
                <w:color w:val="auto"/>
              </w:rPr>
              <w:t>(47,297 )</w:t>
            </w:r>
          </w:p>
        </w:tc>
        <w:tc>
          <w:tcPr>
            <w:tcW w:w="100" w:type="dxa"/>
            <w:vAlign w:val="bottom"/>
          </w:tcPr>
          <w:p>
            <w:pPr>
              <w:spacing w:after="0"/>
              <w:rPr>
                <w:sz w:val="10"/>
                <w:szCs w:val="10"/>
                <w:color w:val="auto"/>
              </w:rPr>
            </w:pPr>
          </w:p>
        </w:tc>
        <w:tc>
          <w:tcPr>
            <w:tcW w:w="780" w:type="dxa"/>
            <w:vAlign w:val="bottom"/>
            <w:gridSpan w:val="3"/>
          </w:tcPr>
          <w:p>
            <w:pPr>
              <w:jc w:val="right"/>
              <w:ind w:right="151"/>
              <w:spacing w:after="0" w:line="116"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16" w:lineRule="exact"/>
              <w:rPr>
                <w:sz w:val="20"/>
                <w:szCs w:val="20"/>
                <w:color w:val="auto"/>
              </w:rPr>
            </w:pPr>
            <w:r>
              <w:rPr>
                <w:rFonts w:ascii="Arial" w:cs="Arial" w:eastAsia="Arial" w:hAnsi="Arial"/>
                <w:sz w:val="11"/>
                <w:szCs w:val="11"/>
                <w:color w:val="auto"/>
              </w:rPr>
              <w:t>414,559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151"/>
              <w:spacing w:after="0" w:line="116" w:lineRule="exact"/>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31"/>
              <w:spacing w:after="0" w:line="11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80" w:type="dxa"/>
            <w:vAlign w:val="bottom"/>
          </w:tcPr>
          <w:p>
            <w:pPr>
              <w:jc w:val="right"/>
              <w:ind w:right="6"/>
              <w:spacing w:after="0" w:line="116" w:lineRule="exact"/>
              <w:rPr>
                <w:sz w:val="20"/>
                <w:szCs w:val="20"/>
                <w:color w:val="auto"/>
              </w:rPr>
            </w:pPr>
            <w:r>
              <w:rPr>
                <w:rFonts w:ascii="Arial" w:cs="Arial" w:eastAsia="Arial" w:hAnsi="Arial"/>
                <w:sz w:val="11"/>
                <w:szCs w:val="11"/>
                <w:color w:val="auto"/>
              </w:rPr>
              <w:t>414,789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Vesting of restricted shares</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68,009</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gridSpan w:val="3"/>
            <w:shd w:val="clear" w:color="auto" w:fill="CFF0FC"/>
          </w:tcPr>
          <w:p>
            <w:pPr>
              <w:jc w:val="right"/>
              <w:ind w:right="151"/>
              <w:spacing w:after="0"/>
              <w:rPr>
                <w:sz w:val="20"/>
                <w:szCs w:val="20"/>
                <w:color w:val="auto"/>
              </w:rPr>
            </w:pPr>
            <w:r>
              <w:rPr>
                <w:rFonts w:ascii="Arial" w:cs="Arial" w:eastAsia="Arial" w:hAnsi="Arial"/>
                <w:sz w:val="11"/>
                <w:szCs w:val="11"/>
                <w:color w:val="auto"/>
              </w:rPr>
              <w:t>—</w:t>
            </w:r>
          </w:p>
        </w:tc>
        <w:tc>
          <w:tcPr>
            <w:tcW w:w="1040" w:type="dxa"/>
            <w:vAlign w:val="bottom"/>
            <w:gridSpan w:val="3"/>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160"/>
              <w:spacing w:after="0"/>
              <w:rPr>
                <w:sz w:val="20"/>
                <w:szCs w:val="20"/>
                <w:color w:val="auto"/>
              </w:rPr>
            </w:pPr>
            <w:r>
              <w:rPr>
                <w:rFonts w:ascii="Arial" w:cs="Arial" w:eastAsia="Arial" w:hAnsi="Arial"/>
                <w:sz w:val="11"/>
                <w:szCs w:val="11"/>
                <w:color w:val="auto"/>
              </w:rPr>
              <w:t>Exercise of vested options, net of issuance costs of $0.3 million</w:t>
            </w:r>
          </w:p>
        </w:tc>
        <w:tc>
          <w:tcPr>
            <w:tcW w:w="920" w:type="dxa"/>
            <w:vAlign w:val="bottom"/>
          </w:tcPr>
          <w:p>
            <w:pPr>
              <w:jc w:val="right"/>
              <w:spacing w:after="0"/>
              <w:rPr>
                <w:sz w:val="20"/>
                <w:szCs w:val="20"/>
                <w:color w:val="auto"/>
              </w:rPr>
            </w:pPr>
            <w:r>
              <w:rPr>
                <w:rFonts w:ascii="Arial" w:cs="Arial" w:eastAsia="Arial" w:hAnsi="Arial"/>
                <w:sz w:val="11"/>
                <w:szCs w:val="11"/>
                <w:color w:val="auto"/>
              </w:rPr>
              <w:t>1,158,860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31</w:t>
            </w:r>
          </w:p>
        </w:tc>
        <w:tc>
          <w:tcPr>
            <w:tcW w:w="900" w:type="dxa"/>
            <w:vAlign w:val="bottom"/>
            <w:gridSpan w:val="3"/>
          </w:tcPr>
          <w:p>
            <w:pPr>
              <w:jc w:val="right"/>
              <w:ind w:right="20"/>
              <w:spacing w:after="0"/>
              <w:rPr>
                <w:sz w:val="20"/>
                <w:szCs w:val="20"/>
                <w:color w:val="auto"/>
              </w:rPr>
            </w:pPr>
            <w:r>
              <w:rPr>
                <w:rFonts w:ascii="Arial" w:cs="Arial" w:eastAsia="Arial" w:hAnsi="Arial"/>
                <w:sz w:val="11"/>
                <w:szCs w:val="11"/>
                <w:color w:val="auto"/>
              </w:rPr>
              <w:t>(10,413 )</w:t>
            </w:r>
          </w:p>
        </w:tc>
        <w:tc>
          <w:tcPr>
            <w:tcW w:w="100" w:type="dxa"/>
            <w:vAlign w:val="bottom"/>
          </w:tcPr>
          <w:p>
            <w:pPr>
              <w:spacing w:after="0"/>
              <w:rPr>
                <w:sz w:val="11"/>
                <w:szCs w:val="11"/>
                <w:color w:val="auto"/>
              </w:rPr>
            </w:pPr>
          </w:p>
        </w:tc>
        <w:tc>
          <w:tcPr>
            <w:tcW w:w="780" w:type="dxa"/>
            <w:vAlign w:val="bottom"/>
            <w:gridSpan w:val="3"/>
          </w:tcPr>
          <w:p>
            <w:pPr>
              <w:jc w:val="right"/>
              <w:ind w:right="91"/>
              <w:spacing w:after="0"/>
              <w:rPr>
                <w:sz w:val="20"/>
                <w:szCs w:val="20"/>
                <w:color w:val="auto"/>
              </w:rPr>
            </w:pPr>
            <w:r>
              <w:rPr>
                <w:rFonts w:ascii="Arial" w:cs="Arial" w:eastAsia="Arial" w:hAnsi="Arial"/>
                <w:sz w:val="11"/>
                <w:szCs w:val="11"/>
                <w:color w:val="auto"/>
              </w:rPr>
              <w:t>(6 )</w:t>
            </w:r>
          </w:p>
        </w:tc>
        <w:tc>
          <w:tcPr>
            <w:tcW w:w="800" w:type="dxa"/>
            <w:vAlign w:val="bottom"/>
          </w:tcPr>
          <w:p>
            <w:pPr>
              <w:jc w:val="right"/>
              <w:spacing w:after="0"/>
              <w:rPr>
                <w:sz w:val="20"/>
                <w:szCs w:val="20"/>
                <w:color w:val="auto"/>
              </w:rPr>
            </w:pPr>
            <w:r>
              <w:rPr>
                <w:rFonts w:ascii="Arial" w:cs="Arial" w:eastAsia="Arial" w:hAnsi="Arial"/>
                <w:sz w:val="11"/>
                <w:szCs w:val="11"/>
                <w:color w:val="auto"/>
              </w:rPr>
              <w:t>15,976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31"/>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16,001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Stock-based compensation expense</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49,524</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gridSpan w:val="3"/>
            <w:shd w:val="clear" w:color="auto" w:fill="CFF0FC"/>
          </w:tcPr>
          <w:p>
            <w:pPr>
              <w:jc w:val="right"/>
              <w:ind w:right="151"/>
              <w:spacing w:after="0"/>
              <w:rPr>
                <w:sz w:val="20"/>
                <w:szCs w:val="20"/>
                <w:color w:val="auto"/>
              </w:rPr>
            </w:pPr>
            <w:r>
              <w:rPr>
                <w:rFonts w:ascii="Arial" w:cs="Arial" w:eastAsia="Arial" w:hAnsi="Arial"/>
                <w:sz w:val="11"/>
                <w:szCs w:val="11"/>
                <w:color w:val="auto"/>
              </w:rPr>
              <w:t>—</w:t>
            </w:r>
          </w:p>
        </w:tc>
        <w:tc>
          <w:tcPr>
            <w:tcW w:w="1040" w:type="dxa"/>
            <w:vAlign w:val="bottom"/>
            <w:gridSpan w:val="3"/>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49,524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160"/>
              <w:spacing w:after="0"/>
              <w:rPr>
                <w:sz w:val="20"/>
                <w:szCs w:val="20"/>
                <w:color w:val="auto"/>
              </w:rPr>
            </w:pPr>
            <w:r>
              <w:rPr>
                <w:rFonts w:ascii="Arial" w:cs="Arial" w:eastAsia="Arial" w:hAnsi="Arial"/>
                <w:sz w:val="11"/>
                <w:szCs w:val="11"/>
                <w:color w:val="auto"/>
              </w:rPr>
              <w:t>Other comprehensive income</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1"/>
                <w:szCs w:val="11"/>
                <w:color w:val="auto"/>
              </w:rPr>
              <w:t>Net income</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66,858</w:t>
            </w:r>
          </w:p>
        </w:tc>
        <w:tc>
          <w:tcPr>
            <w:tcW w:w="4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FF0FC"/>
            </w:tcBorders>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66,858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60" w:type="dxa"/>
            <w:vAlign w:val="bottom"/>
          </w:tcPr>
          <w:p>
            <w:pPr>
              <w:ind w:left="40"/>
              <w:spacing w:after="0"/>
              <w:rPr>
                <w:sz w:val="20"/>
                <w:szCs w:val="20"/>
                <w:color w:val="auto"/>
              </w:rPr>
            </w:pPr>
            <w:r>
              <w:rPr>
                <w:rFonts w:ascii="Arial" w:cs="Arial" w:eastAsia="Arial" w:hAnsi="Arial"/>
                <w:sz w:val="11"/>
                <w:szCs w:val="11"/>
                <w:b w:val="1"/>
                <w:bCs w:val="1"/>
                <w:color w:val="auto"/>
              </w:rPr>
              <w:t>Balance at December 31, 2019</w:t>
            </w:r>
          </w:p>
        </w:tc>
        <w:tc>
          <w:tcPr>
            <w:tcW w:w="920" w:type="dxa"/>
            <w:vAlign w:val="bottom"/>
          </w:tcPr>
          <w:p>
            <w:pPr>
              <w:jc w:val="right"/>
              <w:spacing w:after="0"/>
              <w:rPr>
                <w:sz w:val="20"/>
                <w:szCs w:val="20"/>
                <w:color w:val="auto"/>
              </w:rPr>
            </w:pPr>
            <w:r>
              <w:rPr>
                <w:rFonts w:ascii="Arial" w:cs="Arial" w:eastAsia="Arial" w:hAnsi="Arial"/>
                <w:sz w:val="11"/>
                <w:szCs w:val="11"/>
                <w:color w:val="auto"/>
              </w:rPr>
              <w:t>60,783,799</w:t>
            </w:r>
          </w:p>
        </w:tc>
        <w:tc>
          <w:tcPr>
            <w:tcW w:w="4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1,847</w:t>
            </w:r>
          </w:p>
        </w:tc>
        <w:tc>
          <w:tcPr>
            <w:tcW w:w="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250,226</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ind w:right="31"/>
              <w:spacing w:after="0"/>
              <w:rPr>
                <w:sz w:val="20"/>
                <w:szCs w:val="20"/>
                <w:color w:val="auto"/>
              </w:rPr>
            </w:pPr>
            <w:r>
              <w:rPr>
                <w:rFonts w:ascii="Arial" w:cs="Arial" w:eastAsia="Arial" w:hAnsi="Arial"/>
                <w:sz w:val="11"/>
                <w:szCs w:val="11"/>
                <w:color w:val="auto"/>
              </w:rPr>
              <w:t>(63 )$</w:t>
            </w:r>
          </w:p>
        </w:tc>
        <w:tc>
          <w:tcPr>
            <w:tcW w:w="800" w:type="dxa"/>
            <w:vAlign w:val="bottom"/>
          </w:tcPr>
          <w:p>
            <w:pPr>
              <w:jc w:val="right"/>
              <w:spacing w:after="0"/>
              <w:rPr>
                <w:sz w:val="20"/>
                <w:szCs w:val="20"/>
                <w:color w:val="auto"/>
              </w:rPr>
            </w:pPr>
            <w:r>
              <w:rPr>
                <w:rFonts w:ascii="Arial" w:cs="Arial" w:eastAsia="Arial" w:hAnsi="Arial"/>
                <w:sz w:val="11"/>
                <w:szCs w:val="11"/>
                <w:color w:val="auto"/>
              </w:rPr>
              <w:t>1,162,345</w:t>
            </w:r>
          </w:p>
        </w:tc>
        <w:tc>
          <w:tcPr>
            <w:tcW w:w="1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31"/>
              <w:spacing w:after="0"/>
              <w:rPr>
                <w:sz w:val="20"/>
                <w:szCs w:val="20"/>
                <w:color w:val="auto"/>
              </w:rPr>
            </w:pPr>
            <w:r>
              <w:rPr>
                <w:rFonts w:ascii="Arial" w:cs="Arial" w:eastAsia="Arial" w:hAnsi="Arial"/>
                <w:sz w:val="11"/>
                <w:szCs w:val="11"/>
                <w:color w:val="auto"/>
              </w:rPr>
              <w:t>(224,711 )$</w:t>
            </w:r>
          </w:p>
        </w:tc>
        <w:tc>
          <w:tcPr>
            <w:tcW w:w="980" w:type="dxa"/>
            <w:vAlign w:val="bottom"/>
          </w:tcPr>
          <w:p>
            <w:pPr>
              <w:jc w:val="right"/>
              <w:spacing w:after="0"/>
              <w:rPr>
                <w:sz w:val="20"/>
                <w:szCs w:val="20"/>
                <w:color w:val="auto"/>
              </w:rPr>
            </w:pPr>
            <w:r>
              <w:rPr>
                <w:rFonts w:ascii="Arial" w:cs="Arial" w:eastAsia="Arial" w:hAnsi="Arial"/>
                <w:sz w:val="11"/>
                <w:szCs w:val="11"/>
                <w:color w:val="auto"/>
              </w:rPr>
              <w:t>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939,425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360" w:type="dxa"/>
            <w:vAlign w:val="bottom"/>
            <w:shd w:val="clear" w:color="auto" w:fill="CFF0FC"/>
          </w:tcPr>
          <w:p>
            <w:pPr>
              <w:ind w:left="160"/>
              <w:spacing w:after="0" w:line="116" w:lineRule="exact"/>
              <w:rPr>
                <w:sz w:val="20"/>
                <w:szCs w:val="20"/>
                <w:color w:val="auto"/>
              </w:rPr>
            </w:pPr>
            <w:r>
              <w:rPr>
                <w:rFonts w:ascii="Arial" w:cs="Arial" w:eastAsia="Arial" w:hAnsi="Arial"/>
                <w:sz w:val="11"/>
                <w:szCs w:val="11"/>
                <w:color w:val="auto"/>
                <w:w w:val="98"/>
              </w:rPr>
              <w:t>Issuance of common shares, net of issuance costs of $46.4 million</w:t>
            </w:r>
          </w:p>
        </w:tc>
        <w:tc>
          <w:tcPr>
            <w:tcW w:w="92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11,412,519</w:t>
            </w: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366</w:t>
            </w:r>
          </w:p>
        </w:tc>
        <w:tc>
          <w:tcPr>
            <w:tcW w:w="4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973,015</w:t>
            </w: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jc w:val="right"/>
              <w:spacing w:after="0" w:line="116" w:lineRule="exact"/>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80" w:type="dxa"/>
            <w:vAlign w:val="bottom"/>
            <w:tcBorders>
              <w:right w:val="single" w:sz="8" w:color="CFF0FC"/>
            </w:tcBorders>
            <w:shd w:val="clear" w:color="auto" w:fill="CFF0FC"/>
          </w:tcPr>
          <w:p>
            <w:pPr>
              <w:jc w:val="right"/>
              <w:ind w:right="6"/>
              <w:spacing w:after="0" w:line="116" w:lineRule="exact"/>
              <w:rPr>
                <w:sz w:val="20"/>
                <w:szCs w:val="20"/>
                <w:color w:val="auto"/>
              </w:rPr>
            </w:pPr>
            <w:r>
              <w:rPr>
                <w:rFonts w:ascii="Arial" w:cs="Arial" w:eastAsia="Arial" w:hAnsi="Arial"/>
                <w:sz w:val="11"/>
                <w:szCs w:val="11"/>
                <w:color w:val="auto"/>
              </w:rPr>
              <w:t>973,381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160"/>
              <w:spacing w:after="0"/>
              <w:rPr>
                <w:sz w:val="20"/>
                <w:szCs w:val="20"/>
                <w:color w:val="auto"/>
              </w:rPr>
            </w:pPr>
            <w:r>
              <w:rPr>
                <w:rFonts w:ascii="Arial" w:cs="Arial" w:eastAsia="Arial" w:hAnsi="Arial"/>
                <w:sz w:val="11"/>
                <w:szCs w:val="11"/>
                <w:color w:val="auto"/>
              </w:rPr>
              <w:t>Vesting of restricted shares</w:t>
            </w:r>
          </w:p>
        </w:tc>
        <w:tc>
          <w:tcPr>
            <w:tcW w:w="920" w:type="dxa"/>
            <w:vAlign w:val="bottom"/>
          </w:tcPr>
          <w:p>
            <w:pPr>
              <w:jc w:val="right"/>
              <w:spacing w:after="0"/>
              <w:rPr>
                <w:sz w:val="20"/>
                <w:szCs w:val="20"/>
                <w:color w:val="auto"/>
              </w:rPr>
            </w:pPr>
            <w:r>
              <w:rPr>
                <w:rFonts w:ascii="Arial" w:cs="Arial" w:eastAsia="Arial" w:hAnsi="Arial"/>
                <w:sz w:val="11"/>
                <w:szCs w:val="11"/>
                <w:color w:val="auto"/>
              </w:rPr>
              <w:t>204,650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w:t>
            </w:r>
          </w:p>
        </w:tc>
        <w:tc>
          <w:tcPr>
            <w:tcW w:w="4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31"/>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Exercise of vested options, net of issuance costs of $1.2 million</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1,482,636</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57</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1"/>
                <w:szCs w:val="11"/>
                <w:color w:val="auto"/>
              </w:rPr>
              <w:t>(37,080 )</w:t>
            </w:r>
          </w:p>
        </w:tc>
        <w:tc>
          <w:tcPr>
            <w:tcW w:w="10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32,718</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gridSpan w:val="3"/>
            <w:shd w:val="clear" w:color="auto" w:fill="CFF0FC"/>
          </w:tcPr>
          <w:p>
            <w:pPr>
              <w:jc w:val="right"/>
              <w:ind w:right="151"/>
              <w:spacing w:after="0"/>
              <w:rPr>
                <w:sz w:val="20"/>
                <w:szCs w:val="20"/>
                <w:color w:val="auto"/>
              </w:rPr>
            </w:pPr>
            <w:r>
              <w:rPr>
                <w:rFonts w:ascii="Arial" w:cs="Arial" w:eastAsia="Arial" w:hAnsi="Arial"/>
                <w:sz w:val="11"/>
                <w:szCs w:val="11"/>
                <w:color w:val="auto"/>
              </w:rPr>
              <w:t>—</w:t>
            </w:r>
          </w:p>
        </w:tc>
        <w:tc>
          <w:tcPr>
            <w:tcW w:w="1040" w:type="dxa"/>
            <w:vAlign w:val="bottom"/>
            <w:gridSpan w:val="3"/>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32,775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160"/>
              <w:spacing w:after="0"/>
              <w:rPr>
                <w:sz w:val="20"/>
                <w:szCs w:val="20"/>
                <w:color w:val="auto"/>
              </w:rPr>
            </w:pPr>
            <w:r>
              <w:rPr>
                <w:rFonts w:ascii="Arial" w:cs="Arial" w:eastAsia="Arial" w:hAnsi="Arial"/>
                <w:sz w:val="11"/>
                <w:szCs w:val="11"/>
                <w:color w:val="auto"/>
              </w:rPr>
              <w:t>Purchase of common stock under ESPP</w:t>
            </w:r>
          </w:p>
        </w:tc>
        <w:tc>
          <w:tcPr>
            <w:tcW w:w="920" w:type="dxa"/>
            <w:vAlign w:val="bottom"/>
          </w:tcPr>
          <w:p>
            <w:pPr>
              <w:jc w:val="right"/>
              <w:spacing w:after="0"/>
              <w:rPr>
                <w:sz w:val="20"/>
                <w:szCs w:val="20"/>
                <w:color w:val="auto"/>
              </w:rPr>
            </w:pPr>
            <w:r>
              <w:rPr>
                <w:rFonts w:ascii="Arial" w:cs="Arial" w:eastAsia="Arial" w:hAnsi="Arial"/>
                <w:sz w:val="11"/>
                <w:szCs w:val="11"/>
                <w:color w:val="auto"/>
              </w:rPr>
              <w:t>13,410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694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31"/>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694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Stock-based compensation expense</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66,018</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gridSpan w:val="3"/>
            <w:shd w:val="clear" w:color="auto" w:fill="CFF0FC"/>
          </w:tcPr>
          <w:p>
            <w:pPr>
              <w:jc w:val="right"/>
              <w:ind w:right="151"/>
              <w:spacing w:after="0"/>
              <w:rPr>
                <w:sz w:val="20"/>
                <w:szCs w:val="20"/>
                <w:color w:val="auto"/>
              </w:rPr>
            </w:pPr>
            <w:r>
              <w:rPr>
                <w:rFonts w:ascii="Arial" w:cs="Arial" w:eastAsia="Arial" w:hAnsi="Arial"/>
                <w:sz w:val="11"/>
                <w:szCs w:val="11"/>
                <w:color w:val="auto"/>
              </w:rPr>
              <w:t>—</w:t>
            </w:r>
          </w:p>
        </w:tc>
        <w:tc>
          <w:tcPr>
            <w:tcW w:w="1040" w:type="dxa"/>
            <w:vAlign w:val="bottom"/>
            <w:gridSpan w:val="3"/>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66,018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60" w:type="dxa"/>
            <w:vAlign w:val="bottom"/>
          </w:tcPr>
          <w:p>
            <w:pPr>
              <w:ind w:left="160"/>
              <w:spacing w:after="0" w:line="125" w:lineRule="exact"/>
              <w:rPr>
                <w:sz w:val="20"/>
                <w:szCs w:val="20"/>
                <w:color w:val="auto"/>
              </w:rPr>
            </w:pPr>
            <w:r>
              <w:rPr>
                <w:rFonts w:ascii="Arial" w:cs="Arial" w:eastAsia="Arial" w:hAnsi="Arial"/>
                <w:sz w:val="11"/>
                <w:szCs w:val="11"/>
                <w:color w:val="auto"/>
              </w:rPr>
              <w:t>Issuance of common stock for license agreements</w:t>
            </w: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17,830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20"/>
              <w:spacing w:after="0" w:line="125" w:lineRule="exact"/>
              <w:rPr>
                <w:sz w:val="20"/>
                <w:szCs w:val="20"/>
                <w:color w:val="auto"/>
              </w:rPr>
            </w:pPr>
            <w:r>
              <w:rPr>
                <w:rFonts w:ascii="Arial" w:cs="Arial" w:eastAsia="Arial" w:hAnsi="Arial"/>
                <w:sz w:val="11"/>
                <w:szCs w:val="11"/>
                <w:color w:val="auto"/>
              </w:rPr>
              <w:t>(17,830 )</w:t>
            </w:r>
          </w:p>
        </w:tc>
        <w:tc>
          <w:tcPr>
            <w:tcW w:w="100" w:type="dxa"/>
            <w:vAlign w:val="bottom"/>
          </w:tcPr>
          <w:p>
            <w:pPr>
              <w:spacing w:after="0"/>
              <w:rPr>
                <w:sz w:val="10"/>
                <w:szCs w:val="10"/>
                <w:color w:val="auto"/>
              </w:rPr>
            </w:pPr>
          </w:p>
        </w:tc>
        <w:tc>
          <w:tcPr>
            <w:tcW w:w="780" w:type="dxa"/>
            <w:vAlign w:val="bottom"/>
            <w:gridSpan w:val="3"/>
          </w:tcPr>
          <w:p>
            <w:pPr>
              <w:jc w:val="right"/>
              <w:ind w:right="151"/>
              <w:spacing w:after="0" w:line="125"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889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151"/>
              <w:spacing w:after="0" w:line="125" w:lineRule="exact"/>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31"/>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80" w:type="dxa"/>
            <w:vAlign w:val="bottom"/>
          </w:tcPr>
          <w:p>
            <w:pPr>
              <w:jc w:val="right"/>
              <w:ind w:right="6"/>
              <w:spacing w:after="0" w:line="125" w:lineRule="exact"/>
              <w:rPr>
                <w:sz w:val="20"/>
                <w:szCs w:val="20"/>
                <w:color w:val="auto"/>
              </w:rPr>
            </w:pPr>
            <w:r>
              <w:rPr>
                <w:rFonts w:ascii="Arial" w:cs="Arial" w:eastAsia="Arial" w:hAnsi="Arial"/>
                <w:sz w:val="11"/>
                <w:szCs w:val="11"/>
                <w:color w:val="auto"/>
              </w:rPr>
              <w:t>889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160"/>
              <w:spacing w:after="0"/>
              <w:rPr>
                <w:sz w:val="20"/>
                <w:szCs w:val="20"/>
                <w:color w:val="auto"/>
              </w:rPr>
            </w:pPr>
            <w:r>
              <w:rPr>
                <w:rFonts w:ascii="Arial" w:cs="Arial" w:eastAsia="Arial" w:hAnsi="Arial"/>
                <w:sz w:val="11"/>
                <w:szCs w:val="11"/>
                <w:color w:val="auto"/>
              </w:rPr>
              <w:t>Other comprehensive loss</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(90 )</w:t>
            </w:r>
          </w:p>
        </w:tc>
        <w:tc>
          <w:tcPr>
            <w:tcW w:w="60" w:type="dxa"/>
            <w:vAlign w:val="bottom"/>
          </w:tcPr>
          <w:p>
            <w:pPr>
              <w:spacing w:after="0"/>
              <w:rPr>
                <w:sz w:val="11"/>
                <w:szCs w:val="1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1"/>
                <w:szCs w:val="11"/>
                <w:color w:val="auto"/>
              </w:rPr>
              <w:t>(90 )</w:t>
            </w:r>
          </w:p>
        </w:tc>
        <w:tc>
          <w:tcPr>
            <w:tcW w:w="0" w:type="dxa"/>
            <w:vAlign w:val="bottom"/>
          </w:tcPr>
          <w:p>
            <w:pPr>
              <w:spacing w:after="0"/>
              <w:rPr>
                <w:sz w:val="1"/>
                <w:szCs w:val="1"/>
                <w:color w:val="auto"/>
              </w:rPr>
            </w:pPr>
          </w:p>
        </w:tc>
      </w:tr>
      <w:tr>
        <w:trPr>
          <w:trHeight w:val="138"/>
        </w:trPr>
        <w:tc>
          <w:tcPr>
            <w:tcW w:w="3360" w:type="dxa"/>
            <w:vAlign w:val="bottom"/>
          </w:tcPr>
          <w:p>
            <w:pPr>
              <w:ind w:left="160"/>
              <w:spacing w:after="0"/>
              <w:rPr>
                <w:sz w:val="20"/>
                <w:szCs w:val="20"/>
                <w:color w:val="auto"/>
              </w:rPr>
            </w:pPr>
            <w:r>
              <w:rPr>
                <w:rFonts w:ascii="Arial" w:cs="Arial" w:eastAsia="Arial" w:hAnsi="Arial"/>
                <w:sz w:val="11"/>
                <w:szCs w:val="11"/>
                <w:color w:val="auto"/>
              </w:rPr>
              <w:t>Net loss</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91"/>
              <w:spacing w:after="0"/>
              <w:rPr>
                <w:sz w:val="20"/>
                <w:szCs w:val="20"/>
                <w:color w:val="auto"/>
              </w:rPr>
            </w:pPr>
            <w:r>
              <w:rPr>
                <w:rFonts w:ascii="Arial" w:cs="Arial" w:eastAsia="Arial" w:hAnsi="Arial"/>
                <w:sz w:val="11"/>
                <w:szCs w:val="11"/>
                <w:color w:val="auto"/>
              </w:rPr>
              <w:t>(348,865 )</w:t>
            </w:r>
          </w:p>
        </w:tc>
        <w:tc>
          <w:tcPr>
            <w:tcW w:w="1040" w:type="dxa"/>
            <w:vAlign w:val="bottom"/>
            <w:gridSpan w:val="3"/>
          </w:tcPr>
          <w:p>
            <w:pPr>
              <w:jc w:val="right"/>
              <w:ind w:right="31"/>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1"/>
                <w:szCs w:val="11"/>
                <w:color w:val="auto"/>
              </w:rPr>
              <w:t>(348,865 )</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b w:val="1"/>
                <w:bCs w:val="1"/>
                <w:color w:val="auto"/>
              </w:rPr>
              <w:t>Balance at December 31, 2020</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73,914,844</w:t>
            </w:r>
          </w:p>
        </w:tc>
        <w:tc>
          <w:tcPr>
            <w:tcW w:w="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2,277</w:t>
            </w:r>
          </w:p>
        </w:tc>
        <w:tc>
          <w:tcPr>
            <w:tcW w:w="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195,316</w:t>
            </w:r>
          </w:p>
        </w:tc>
        <w:tc>
          <w:tcPr>
            <w:tcW w:w="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w:t>
            </w: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2,235,679</w:t>
            </w: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(573,576</w:t>
            </w: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(83</w:t>
            </w: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1,664,234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360" w:type="dxa"/>
            <w:vAlign w:val="bottom"/>
          </w:tcPr>
          <w:p>
            <w:pPr>
              <w:ind w:left="160"/>
              <w:spacing w:after="0" w:line="116" w:lineRule="exact"/>
              <w:rPr>
                <w:sz w:val="20"/>
                <w:szCs w:val="20"/>
                <w:color w:val="auto"/>
              </w:rPr>
            </w:pPr>
            <w:r>
              <w:rPr>
                <w:rFonts w:ascii="Arial" w:cs="Arial" w:eastAsia="Arial" w:hAnsi="Arial"/>
                <w:sz w:val="11"/>
                <w:szCs w:val="11"/>
                <w:color w:val="auto"/>
              </w:rPr>
              <w:t>Issuance of common shares, net of issuance costs of $5.4 million</w:t>
            </w:r>
          </w:p>
        </w:tc>
        <w:tc>
          <w:tcPr>
            <w:tcW w:w="920" w:type="dxa"/>
            <w:vAlign w:val="bottom"/>
          </w:tcPr>
          <w:p>
            <w:pPr>
              <w:jc w:val="right"/>
              <w:spacing w:after="0" w:line="116" w:lineRule="exact"/>
              <w:rPr>
                <w:sz w:val="20"/>
                <w:szCs w:val="20"/>
                <w:color w:val="auto"/>
              </w:rPr>
            </w:pPr>
            <w:r>
              <w:rPr>
                <w:rFonts w:ascii="Arial" w:cs="Arial" w:eastAsia="Arial" w:hAnsi="Arial"/>
                <w:sz w:val="11"/>
                <w:szCs w:val="11"/>
                <w:color w:val="auto"/>
              </w:rPr>
              <w:t>1,353,121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16" w:lineRule="exact"/>
              <w:rPr>
                <w:sz w:val="20"/>
                <w:szCs w:val="20"/>
                <w:color w:val="auto"/>
              </w:rPr>
            </w:pPr>
            <w:r>
              <w:rPr>
                <w:rFonts w:ascii="Arial" w:cs="Arial" w:eastAsia="Arial" w:hAnsi="Arial"/>
                <w:sz w:val="11"/>
                <w:szCs w:val="11"/>
                <w:color w:val="auto"/>
              </w:rPr>
              <w:t>45</w:t>
            </w:r>
          </w:p>
        </w:tc>
        <w:tc>
          <w:tcPr>
            <w:tcW w:w="40" w:type="dxa"/>
            <w:vAlign w:val="bottom"/>
          </w:tcPr>
          <w:p>
            <w:pPr>
              <w:spacing w:after="0"/>
              <w:rPr>
                <w:sz w:val="10"/>
                <w:szCs w:val="10"/>
                <w:color w:val="auto"/>
              </w:rPr>
            </w:pPr>
          </w:p>
        </w:tc>
        <w:tc>
          <w:tcPr>
            <w:tcW w:w="86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80" w:type="dxa"/>
            <w:vAlign w:val="bottom"/>
            <w:gridSpan w:val="3"/>
          </w:tcPr>
          <w:p>
            <w:pPr>
              <w:jc w:val="right"/>
              <w:ind w:right="151"/>
              <w:spacing w:after="0" w:line="116"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16" w:lineRule="exact"/>
              <w:rPr>
                <w:sz w:val="20"/>
                <w:szCs w:val="20"/>
                <w:color w:val="auto"/>
              </w:rPr>
            </w:pPr>
            <w:r>
              <w:rPr>
                <w:rFonts w:ascii="Arial" w:cs="Arial" w:eastAsia="Arial" w:hAnsi="Arial"/>
                <w:sz w:val="11"/>
                <w:szCs w:val="11"/>
                <w:color w:val="auto"/>
              </w:rPr>
              <w:t>222,130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151"/>
              <w:spacing w:after="0" w:line="116" w:lineRule="exact"/>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31"/>
              <w:spacing w:after="0" w:line="116"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80" w:type="dxa"/>
            <w:vAlign w:val="bottom"/>
          </w:tcPr>
          <w:p>
            <w:pPr>
              <w:jc w:val="right"/>
              <w:ind w:right="6"/>
              <w:spacing w:after="0" w:line="116" w:lineRule="exact"/>
              <w:rPr>
                <w:sz w:val="20"/>
                <w:szCs w:val="20"/>
                <w:color w:val="auto"/>
              </w:rPr>
            </w:pPr>
            <w:r>
              <w:rPr>
                <w:rFonts w:ascii="Arial" w:cs="Arial" w:eastAsia="Arial" w:hAnsi="Arial"/>
                <w:sz w:val="11"/>
                <w:szCs w:val="11"/>
                <w:color w:val="auto"/>
              </w:rPr>
              <w:t>222,175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Vesting of restricted shares</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455,440</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w:t>
            </w:r>
          </w:p>
        </w:tc>
        <w:tc>
          <w:tcPr>
            <w:tcW w:w="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gridSpan w:val="3"/>
            <w:shd w:val="clear" w:color="auto" w:fill="CFF0FC"/>
          </w:tcPr>
          <w:p>
            <w:pPr>
              <w:jc w:val="right"/>
              <w:ind w:right="151"/>
              <w:spacing w:after="0"/>
              <w:rPr>
                <w:sz w:val="20"/>
                <w:szCs w:val="20"/>
                <w:color w:val="auto"/>
              </w:rPr>
            </w:pPr>
            <w:r>
              <w:rPr>
                <w:rFonts w:ascii="Arial" w:cs="Arial" w:eastAsia="Arial" w:hAnsi="Arial"/>
                <w:sz w:val="11"/>
                <w:szCs w:val="11"/>
                <w:color w:val="auto"/>
              </w:rPr>
              <w:t>—</w:t>
            </w:r>
          </w:p>
        </w:tc>
        <w:tc>
          <w:tcPr>
            <w:tcW w:w="1040" w:type="dxa"/>
            <w:vAlign w:val="bottom"/>
            <w:gridSpan w:val="3"/>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160"/>
              <w:spacing w:after="0"/>
              <w:rPr>
                <w:sz w:val="20"/>
                <w:szCs w:val="20"/>
                <w:color w:val="auto"/>
              </w:rPr>
            </w:pPr>
            <w:r>
              <w:rPr>
                <w:rFonts w:ascii="Arial" w:cs="Arial" w:eastAsia="Arial" w:hAnsi="Arial"/>
                <w:sz w:val="11"/>
                <w:szCs w:val="11"/>
                <w:color w:val="auto"/>
              </w:rPr>
              <w:t>Exercise of vested options, net of issuance costs of $2.6 million</w:t>
            </w:r>
          </w:p>
        </w:tc>
        <w:tc>
          <w:tcPr>
            <w:tcW w:w="920" w:type="dxa"/>
            <w:vAlign w:val="bottom"/>
          </w:tcPr>
          <w:p>
            <w:pPr>
              <w:jc w:val="right"/>
              <w:spacing w:after="0"/>
              <w:rPr>
                <w:sz w:val="20"/>
                <w:szCs w:val="20"/>
                <w:color w:val="auto"/>
              </w:rPr>
            </w:pPr>
            <w:r>
              <w:rPr>
                <w:rFonts w:ascii="Arial" w:cs="Arial" w:eastAsia="Arial" w:hAnsi="Arial"/>
                <w:sz w:val="11"/>
                <w:szCs w:val="11"/>
                <w:color w:val="auto"/>
              </w:rPr>
              <w:t>1,245,071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54</w:t>
            </w:r>
          </w:p>
        </w:tc>
        <w:tc>
          <w:tcPr>
            <w:tcW w:w="900" w:type="dxa"/>
            <w:vAlign w:val="bottom"/>
            <w:gridSpan w:val="3"/>
          </w:tcPr>
          <w:p>
            <w:pPr>
              <w:jc w:val="right"/>
              <w:ind w:right="20"/>
              <w:spacing w:after="0"/>
              <w:rPr>
                <w:sz w:val="20"/>
                <w:szCs w:val="20"/>
                <w:color w:val="auto"/>
              </w:rPr>
            </w:pPr>
            <w:r>
              <w:rPr>
                <w:rFonts w:ascii="Arial" w:cs="Arial" w:eastAsia="Arial" w:hAnsi="Arial"/>
                <w:sz w:val="11"/>
                <w:szCs w:val="11"/>
                <w:color w:val="auto"/>
              </w:rPr>
              <w:t>(15,000 )</w:t>
            </w:r>
          </w:p>
        </w:tc>
        <w:tc>
          <w:tcPr>
            <w:tcW w:w="100" w:type="dxa"/>
            <w:vAlign w:val="bottom"/>
          </w:tcPr>
          <w:p>
            <w:pPr>
              <w:spacing w:after="0"/>
              <w:rPr>
                <w:sz w:val="11"/>
                <w:szCs w:val="11"/>
                <w:color w:val="auto"/>
              </w:rPr>
            </w:pPr>
          </w:p>
        </w:tc>
        <w:tc>
          <w:tcPr>
            <w:tcW w:w="78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35,820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31"/>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35,874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Purchase of common stock under ESPP</w:t>
            </w:r>
          </w:p>
        </w:tc>
        <w:tc>
          <w:tcPr>
            <w:tcW w:w="9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21,590</w:t>
            </w:r>
          </w:p>
        </w:tc>
        <w:tc>
          <w:tcPr>
            <w:tcW w:w="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780" w:type="dxa"/>
            <w:vAlign w:val="bottom"/>
            <w:gridSpan w:val="3"/>
            <w:shd w:val="clear" w:color="auto" w:fill="CFF0FC"/>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2,095</w:t>
            </w: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gridSpan w:val="3"/>
            <w:shd w:val="clear" w:color="auto" w:fill="CFF0FC"/>
          </w:tcPr>
          <w:p>
            <w:pPr>
              <w:jc w:val="right"/>
              <w:ind w:right="151"/>
              <w:spacing w:after="0"/>
              <w:rPr>
                <w:sz w:val="20"/>
                <w:szCs w:val="20"/>
                <w:color w:val="auto"/>
              </w:rPr>
            </w:pPr>
            <w:r>
              <w:rPr>
                <w:rFonts w:ascii="Arial" w:cs="Arial" w:eastAsia="Arial" w:hAnsi="Arial"/>
                <w:sz w:val="11"/>
                <w:szCs w:val="11"/>
                <w:color w:val="auto"/>
              </w:rPr>
              <w:t>—</w:t>
            </w:r>
          </w:p>
        </w:tc>
        <w:tc>
          <w:tcPr>
            <w:tcW w:w="1040" w:type="dxa"/>
            <w:vAlign w:val="bottom"/>
            <w:gridSpan w:val="3"/>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8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2,095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60" w:type="dxa"/>
            <w:vAlign w:val="bottom"/>
          </w:tcPr>
          <w:p>
            <w:pPr>
              <w:ind w:left="160"/>
              <w:spacing w:after="0" w:line="125" w:lineRule="exact"/>
              <w:rPr>
                <w:sz w:val="20"/>
                <w:szCs w:val="20"/>
                <w:color w:val="auto"/>
              </w:rPr>
            </w:pPr>
            <w:r>
              <w:rPr>
                <w:rFonts w:ascii="Arial" w:cs="Arial" w:eastAsia="Arial" w:hAnsi="Arial"/>
                <w:sz w:val="11"/>
                <w:szCs w:val="11"/>
                <w:color w:val="auto"/>
              </w:rPr>
              <w:t>Stock-based compensation expense</w:t>
            </w: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80" w:type="dxa"/>
            <w:vAlign w:val="bottom"/>
            <w:gridSpan w:val="3"/>
          </w:tcPr>
          <w:p>
            <w:pPr>
              <w:jc w:val="right"/>
              <w:ind w:right="151"/>
              <w:spacing w:after="0" w:line="125"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1"/>
                <w:szCs w:val="11"/>
                <w:color w:val="auto"/>
              </w:rPr>
              <w:t>102,390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151"/>
              <w:spacing w:after="0" w:line="125" w:lineRule="exact"/>
              <w:rPr>
                <w:sz w:val="20"/>
                <w:szCs w:val="20"/>
                <w:color w:val="auto"/>
              </w:rPr>
            </w:pPr>
            <w:r>
              <w:rPr>
                <w:rFonts w:ascii="Arial" w:cs="Arial" w:eastAsia="Arial" w:hAnsi="Arial"/>
                <w:sz w:val="11"/>
                <w:szCs w:val="11"/>
                <w:color w:val="auto"/>
              </w:rPr>
              <w:t>—</w:t>
            </w:r>
          </w:p>
        </w:tc>
        <w:tc>
          <w:tcPr>
            <w:tcW w:w="1040" w:type="dxa"/>
            <w:vAlign w:val="bottom"/>
            <w:gridSpan w:val="3"/>
          </w:tcPr>
          <w:p>
            <w:pPr>
              <w:jc w:val="right"/>
              <w:ind w:right="31"/>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80" w:type="dxa"/>
            <w:vAlign w:val="bottom"/>
          </w:tcPr>
          <w:p>
            <w:pPr>
              <w:jc w:val="right"/>
              <w:ind w:right="6"/>
              <w:spacing w:after="0" w:line="125" w:lineRule="exact"/>
              <w:rPr>
                <w:sz w:val="20"/>
                <w:szCs w:val="20"/>
                <w:color w:val="auto"/>
              </w:rPr>
            </w:pPr>
            <w:r>
              <w:rPr>
                <w:rFonts w:ascii="Arial" w:cs="Arial" w:eastAsia="Arial" w:hAnsi="Arial"/>
                <w:sz w:val="11"/>
                <w:szCs w:val="11"/>
                <w:color w:val="auto"/>
              </w:rPr>
              <w:t>102,390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160"/>
              <w:spacing w:after="0"/>
              <w:rPr>
                <w:sz w:val="20"/>
                <w:szCs w:val="20"/>
                <w:color w:val="auto"/>
              </w:rPr>
            </w:pPr>
            <w:r>
              <w:rPr>
                <w:rFonts w:ascii="Arial" w:cs="Arial" w:eastAsia="Arial" w:hAnsi="Arial"/>
                <w:sz w:val="11"/>
                <w:szCs w:val="11"/>
                <w:color w:val="auto"/>
              </w:rPr>
              <w:t>Other comprehensive loss</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1040" w:type="dxa"/>
            <w:vAlign w:val="bottom"/>
            <w:gridSpan w:val="3"/>
          </w:tcPr>
          <w:p>
            <w:pPr>
              <w:jc w:val="right"/>
              <w:spacing w:after="0"/>
              <w:rPr>
                <w:sz w:val="20"/>
                <w:szCs w:val="20"/>
                <w:color w:val="auto"/>
              </w:rPr>
            </w:pPr>
            <w:r>
              <w:rPr>
                <w:rFonts w:ascii="Arial" w:cs="Arial" w:eastAsia="Arial" w:hAnsi="Arial"/>
                <w:sz w:val="11"/>
                <w:szCs w:val="11"/>
                <w:color w:val="auto"/>
              </w:rPr>
              <w:t>(4,984 )</w:t>
            </w:r>
          </w:p>
        </w:tc>
        <w:tc>
          <w:tcPr>
            <w:tcW w:w="60" w:type="dxa"/>
            <w:vAlign w:val="bottom"/>
          </w:tcPr>
          <w:p>
            <w:pPr>
              <w:spacing w:after="0"/>
              <w:rPr>
                <w:sz w:val="11"/>
                <w:szCs w:val="1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1"/>
                <w:szCs w:val="11"/>
                <w:color w:val="auto"/>
              </w:rPr>
              <w:t>(4,984 )</w:t>
            </w:r>
          </w:p>
        </w:tc>
        <w:tc>
          <w:tcPr>
            <w:tcW w:w="0" w:type="dxa"/>
            <w:vAlign w:val="bottom"/>
          </w:tcPr>
          <w:p>
            <w:pPr>
              <w:spacing w:after="0"/>
              <w:rPr>
                <w:sz w:val="1"/>
                <w:szCs w:val="1"/>
                <w:color w:val="auto"/>
              </w:rPr>
            </w:pPr>
          </w:p>
        </w:tc>
      </w:tr>
      <w:tr>
        <w:trPr>
          <w:trHeight w:val="138"/>
        </w:trPr>
        <w:tc>
          <w:tcPr>
            <w:tcW w:w="3360" w:type="dxa"/>
            <w:vAlign w:val="bottom"/>
          </w:tcPr>
          <w:p>
            <w:pPr>
              <w:ind w:left="160"/>
              <w:spacing w:after="0"/>
              <w:rPr>
                <w:sz w:val="20"/>
                <w:szCs w:val="20"/>
                <w:color w:val="auto"/>
              </w:rPr>
            </w:pPr>
            <w:r>
              <w:rPr>
                <w:rFonts w:ascii="Arial" w:cs="Arial" w:eastAsia="Arial" w:hAnsi="Arial"/>
                <w:sz w:val="11"/>
                <w:szCs w:val="11"/>
                <w:color w:val="auto"/>
              </w:rPr>
              <w:t>Net income</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377,661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right"/>
              <w:ind w:right="31"/>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080" w:type="dxa"/>
            <w:vAlign w:val="bottom"/>
          </w:tcPr>
          <w:p>
            <w:pPr>
              <w:jc w:val="right"/>
              <w:ind w:right="6"/>
              <w:spacing w:after="0"/>
              <w:rPr>
                <w:sz w:val="20"/>
                <w:szCs w:val="20"/>
                <w:color w:val="auto"/>
              </w:rPr>
            </w:pPr>
            <w:r>
              <w:rPr>
                <w:rFonts w:ascii="Arial" w:cs="Arial" w:eastAsia="Arial" w:hAnsi="Arial"/>
                <w:sz w:val="11"/>
                <w:szCs w:val="11"/>
                <w:color w:val="auto"/>
              </w:rPr>
              <w:t>377,661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1"/>
                <w:szCs w:val="11"/>
                <w:b w:val="1"/>
                <w:bCs w:val="1"/>
                <w:color w:val="auto"/>
              </w:rPr>
              <w:t>Balance at December 31,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76,990,066</w:t>
            </w:r>
          </w:p>
        </w:tc>
        <w:tc>
          <w:tcPr>
            <w:tcW w:w="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2,391</w:t>
            </w:r>
          </w:p>
        </w:tc>
        <w:tc>
          <w:tcPr>
            <w:tcW w:w="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180,316</w:t>
            </w:r>
          </w:p>
        </w:tc>
        <w:tc>
          <w:tcPr>
            <w:tcW w:w="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w:t>
            </w: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2,598,114</w:t>
            </w: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(195,915</w:t>
            </w: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(5,067</w:t>
            </w:r>
          </w:p>
        </w:tc>
        <w:tc>
          <w:tcPr>
            <w:tcW w:w="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2,399,460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-2185670</wp:posOffset>
            </wp:positionV>
            <wp:extent cx="254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-2167890</wp:posOffset>
            </wp:positionV>
            <wp:extent cx="254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-2185670</wp:posOffset>
            </wp:positionV>
            <wp:extent cx="254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-2167890</wp:posOffset>
            </wp:positionV>
            <wp:extent cx="254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-2185670</wp:posOffset>
            </wp:positionV>
            <wp:extent cx="342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-2167890</wp:posOffset>
            </wp:positionV>
            <wp:extent cx="342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-2185670</wp:posOffset>
            </wp:positionV>
            <wp:extent cx="254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3">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-2167890</wp:posOffset>
            </wp:positionV>
            <wp:extent cx="254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-2185670</wp:posOffset>
            </wp:positionV>
            <wp:extent cx="1714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-2167890</wp:posOffset>
            </wp:positionV>
            <wp:extent cx="1714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-2185670</wp:posOffset>
            </wp:positionV>
            <wp:extent cx="260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-2167890</wp:posOffset>
            </wp:positionV>
            <wp:extent cx="260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8">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-2185670</wp:posOffset>
            </wp:positionV>
            <wp:extent cx="260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-2167890</wp:posOffset>
            </wp:positionV>
            <wp:extent cx="260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-2185670</wp:posOffset>
            </wp:positionV>
            <wp:extent cx="260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-2167890</wp:posOffset>
            </wp:positionV>
            <wp:extent cx="260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-1642110</wp:posOffset>
            </wp:positionV>
            <wp:extent cx="2540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3">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-1642110</wp:posOffset>
            </wp:positionV>
            <wp:extent cx="2540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4">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-1642110</wp:posOffset>
            </wp:positionV>
            <wp:extent cx="3429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-1642110</wp:posOffset>
            </wp:positionV>
            <wp:extent cx="2540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6">
                      <a:extLst>
                        <a:ext uri="{28A0092B-C50C-407E-A947-70E740481C1C}"/>
                      </a:extLst>
                    </a:blip>
                    <a:srcRect/>
                    <a:stretch>
                      <a:fillRect/>
                    </a:stretch>
                  </pic:blipFill>
                  <pic:spPr bwMode="auto">
                    <a:xfrm>
                      <a:off x="0" y="0"/>
                      <a:ext cx="2540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-1642110</wp:posOffset>
            </wp:positionV>
            <wp:extent cx="1714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7">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-1642110</wp:posOffset>
            </wp:positionV>
            <wp:extent cx="2603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-1642110</wp:posOffset>
            </wp:positionV>
            <wp:extent cx="2603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-1642110</wp:posOffset>
            </wp:positionV>
            <wp:extent cx="2603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857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-744855</wp:posOffset>
            </wp:positionV>
            <wp:extent cx="254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-728345</wp:posOffset>
            </wp:positionV>
            <wp:extent cx="254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-744855</wp:posOffset>
            </wp:positionV>
            <wp:extent cx="254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-728345</wp:posOffset>
            </wp:positionV>
            <wp:extent cx="254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-744855</wp:posOffset>
            </wp:positionV>
            <wp:extent cx="342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-728345</wp:posOffset>
            </wp:positionV>
            <wp:extent cx="34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-744855</wp:posOffset>
            </wp:positionV>
            <wp:extent cx="254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-728345</wp:posOffset>
            </wp:positionV>
            <wp:extent cx="254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-744855</wp:posOffset>
            </wp:positionV>
            <wp:extent cx="1714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-728345</wp:posOffset>
            </wp:positionV>
            <wp:extent cx="171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-744855</wp:posOffset>
            </wp:positionV>
            <wp:extent cx="260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-728345</wp:posOffset>
            </wp:positionV>
            <wp:extent cx="260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-744855</wp:posOffset>
            </wp:positionV>
            <wp:extent cx="260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-728345</wp:posOffset>
            </wp:positionV>
            <wp:extent cx="260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5">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-744855</wp:posOffset>
            </wp:positionV>
            <wp:extent cx="260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-728345</wp:posOffset>
            </wp:positionV>
            <wp:extent cx="260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5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-25400</wp:posOffset>
            </wp:positionV>
            <wp:extent cx="254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-7620</wp:posOffset>
            </wp:positionV>
            <wp:extent cx="254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-25400</wp:posOffset>
            </wp:positionV>
            <wp:extent cx="254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1">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-7620</wp:posOffset>
            </wp:positionV>
            <wp:extent cx="2540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-25400</wp:posOffset>
            </wp:positionV>
            <wp:extent cx="342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342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254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254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1714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1714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8">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260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260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0">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260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260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2">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-7620</wp:posOffset>
            </wp:positionV>
            <wp:extent cx="260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4">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CRISPR Therapeutics AG</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20" w:type="dxa"/>
            <w:vAlign w:val="bottom"/>
            <w:tcBorders>
              <w:right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377,661</w:t>
            </w:r>
          </w:p>
        </w:tc>
        <w:tc>
          <w:tcPr>
            <w:tcW w:w="220" w:type="dxa"/>
            <w:vAlign w:val="bottom"/>
          </w:tcPr>
          <w:p>
            <w:pPr>
              <w:spacing w:after="0"/>
              <w:rPr>
                <w:sz w:val="16"/>
                <w:szCs w:val="16"/>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(348,865 )</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66,858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Reconciliation of net income (loss) to net cash used in operating activities:</w:t>
            </w:r>
          </w:p>
        </w:tc>
        <w:tc>
          <w:tcPr>
            <w:tcW w:w="320" w:type="dxa"/>
            <w:vAlign w:val="bottom"/>
            <w:shd w:val="clear" w:color="auto" w:fill="CFF0FC"/>
          </w:tcPr>
          <w:p>
            <w:pPr>
              <w:spacing w:after="0"/>
              <w:rPr>
                <w:sz w:val="16"/>
                <w:szCs w:val="16"/>
                <w:color w:val="auto"/>
              </w:rPr>
            </w:pPr>
          </w:p>
        </w:tc>
        <w:tc>
          <w:tcPr>
            <w:tcW w:w="10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17,953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9,184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Equity-based compensation</w:t>
            </w:r>
          </w:p>
        </w:tc>
        <w:tc>
          <w:tcPr>
            <w:tcW w:w="320" w:type="dxa"/>
            <w:vAlign w:val="bottom"/>
            <w:shd w:val="clear" w:color="auto" w:fill="CFF0FC"/>
          </w:tcPr>
          <w:p>
            <w:pPr>
              <w:spacing w:after="0"/>
              <w:rPr>
                <w:sz w:val="16"/>
                <w:szCs w:val="16"/>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102,390</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66,018</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44,057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380"/>
              <w:spacing w:after="0"/>
              <w:rPr>
                <w:sz w:val="20"/>
                <w:szCs w:val="20"/>
                <w:color w:val="auto"/>
              </w:rPr>
            </w:pPr>
            <w:r>
              <w:rPr>
                <w:rFonts w:ascii="Arial" w:cs="Arial" w:eastAsia="Arial" w:hAnsi="Arial"/>
                <w:sz w:val="16"/>
                <w:szCs w:val="16"/>
                <w:color w:val="auto"/>
              </w:rPr>
              <w:t>Loss from equity method investment in Casebia</w:t>
            </w:r>
          </w:p>
        </w:tc>
        <w:tc>
          <w:tcPr>
            <w:tcW w:w="320" w:type="dxa"/>
            <w:vAlign w:val="bottom"/>
          </w:tcPr>
          <w:p>
            <w:pPr>
              <w:spacing w:after="0"/>
              <w:rPr>
                <w:sz w:val="16"/>
                <w:szCs w:val="16"/>
                <w:color w:val="auto"/>
              </w:rPr>
            </w:pPr>
          </w:p>
        </w:tc>
        <w:tc>
          <w:tcPr>
            <w:tcW w:w="128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5,467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Gain from consolidation of Casebia</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(16,000 )</w:t>
            </w:r>
          </w:p>
        </w:tc>
        <w:tc>
          <w:tcPr>
            <w:tcW w:w="0" w:type="dxa"/>
            <w:vAlign w:val="bottom"/>
          </w:tcPr>
          <w:p>
            <w:pPr>
              <w:spacing w:after="0"/>
              <w:rPr>
                <w:sz w:val="1"/>
                <w:szCs w:val="1"/>
                <w:color w:val="auto"/>
              </w:rPr>
            </w:pPr>
          </w:p>
        </w:tc>
      </w:tr>
      <w:tr>
        <w:trPr>
          <w:trHeight w:val="189"/>
        </w:trPr>
        <w:tc>
          <w:tcPr>
            <w:tcW w:w="6620" w:type="dxa"/>
            <w:vAlign w:val="bottom"/>
          </w:tcPr>
          <w:p>
            <w:pPr>
              <w:ind w:left="380"/>
              <w:spacing w:after="0"/>
              <w:rPr>
                <w:sz w:val="20"/>
                <w:szCs w:val="20"/>
                <w:color w:val="auto"/>
              </w:rPr>
            </w:pPr>
            <w:r>
              <w:rPr>
                <w:rFonts w:ascii="Arial" w:cs="Arial" w:eastAsia="Arial" w:hAnsi="Arial"/>
                <w:sz w:val="16"/>
                <w:szCs w:val="16"/>
                <w:color w:val="auto"/>
              </w:rPr>
              <w:t>Net amortization of premiums and discounts on marketable securities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14,109</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Changes in:</w:t>
            </w:r>
          </w:p>
        </w:tc>
        <w:tc>
          <w:tcPr>
            <w:tcW w:w="320" w:type="dxa"/>
            <w:vAlign w:val="bottom"/>
            <w:shd w:val="clear" w:color="auto" w:fill="CFF0FC"/>
          </w:tcPr>
          <w:p>
            <w:pPr>
              <w:spacing w:after="0"/>
              <w:rPr>
                <w:sz w:val="16"/>
                <w:szCs w:val="16"/>
                <w:color w:val="auto"/>
              </w:rPr>
            </w:pPr>
          </w:p>
        </w:tc>
        <w:tc>
          <w:tcPr>
            <w:tcW w:w="106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6"/>
                <w:szCs w:val="16"/>
                <w:color w:val="auto"/>
              </w:rPr>
            </w:pPr>
          </w:p>
        </w:tc>
        <w:tc>
          <w:tcPr>
            <w:tcW w:w="1280" w:type="dxa"/>
            <w:vAlign w:val="bottom"/>
            <w:gridSpan w:val="2"/>
          </w:tcPr>
          <w:p>
            <w:pPr>
              <w:jc w:val="right"/>
              <w:ind w:right="84"/>
              <w:spacing w:after="0"/>
              <w:rPr>
                <w:sz w:val="20"/>
                <w:szCs w:val="20"/>
                <w:color w:val="auto"/>
              </w:rPr>
            </w:pPr>
            <w:r>
              <w:rPr>
                <w:rFonts w:ascii="Arial" w:cs="Arial" w:eastAsia="Arial" w:hAnsi="Arial"/>
                <w:sz w:val="16"/>
                <w:szCs w:val="16"/>
                <w:color w:val="auto"/>
              </w:rPr>
              <w:t>(161 )</w:t>
            </w:r>
          </w:p>
        </w:tc>
        <w:tc>
          <w:tcPr>
            <w:tcW w:w="3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(45 )</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189"/>
        </w:trPr>
        <w:tc>
          <w:tcPr>
            <w:tcW w:w="66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(13,912 )</w:t>
            </w:r>
          </w:p>
        </w:tc>
        <w:tc>
          <w:tcPr>
            <w:tcW w:w="32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17,338</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(32,618 )</w:t>
            </w:r>
          </w:p>
        </w:tc>
        <w:tc>
          <w:tcPr>
            <w:tcW w:w="0" w:type="dxa"/>
            <w:vAlign w:val="bottom"/>
          </w:tcPr>
          <w:p>
            <w:pPr>
              <w:spacing w:after="0"/>
              <w:rPr>
                <w:sz w:val="1"/>
                <w:szCs w:val="1"/>
                <w:color w:val="auto"/>
              </w:rPr>
            </w:pPr>
          </w:p>
        </w:tc>
      </w:tr>
      <w:tr>
        <w:trPr>
          <w:trHeight w:val="189"/>
        </w:trPr>
        <w:tc>
          <w:tcPr>
            <w:tcW w:w="6620" w:type="dxa"/>
            <w:vAlign w:val="bottom"/>
          </w:tcPr>
          <w:p>
            <w:pPr>
              <w:ind w:left="380"/>
              <w:spacing w:after="0"/>
              <w:rPr>
                <w:sz w:val="20"/>
                <w:szCs w:val="20"/>
                <w:color w:val="auto"/>
              </w:rPr>
            </w:pPr>
            <w:r>
              <w:rPr>
                <w:rFonts w:ascii="Arial" w:cs="Arial" w:eastAsia="Arial" w:hAnsi="Arial"/>
                <w:sz w:val="16"/>
                <w:szCs w:val="16"/>
                <w:color w:val="auto"/>
              </w:rPr>
              <w:t>Accounts payable and accrued expenses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37,514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25,747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(783 )</w:t>
            </w:r>
          </w:p>
        </w:tc>
        <w:tc>
          <w:tcPr>
            <w:tcW w:w="32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1,381</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(45,146 )</w:t>
            </w:r>
          </w:p>
        </w:tc>
        <w:tc>
          <w:tcPr>
            <w:tcW w:w="0" w:type="dxa"/>
            <w:vAlign w:val="bottom"/>
          </w:tcPr>
          <w:p>
            <w:pPr>
              <w:spacing w:after="0"/>
              <w:rPr>
                <w:sz w:val="1"/>
                <w:szCs w:val="1"/>
                <w:color w:val="auto"/>
              </w:rPr>
            </w:pPr>
          </w:p>
        </w:tc>
      </w:tr>
      <w:tr>
        <w:trPr>
          <w:trHeight w:val="189"/>
        </w:trPr>
        <w:tc>
          <w:tcPr>
            <w:tcW w:w="6620" w:type="dxa"/>
            <w:vAlign w:val="bottom"/>
          </w:tcPr>
          <w:p>
            <w:pPr>
              <w:ind w:left="380"/>
              <w:spacing w:after="0"/>
              <w:rPr>
                <w:sz w:val="20"/>
                <w:szCs w:val="20"/>
                <w:color w:val="auto"/>
              </w:rPr>
            </w:pPr>
            <w:r>
              <w:rPr>
                <w:rFonts w:ascii="Arial" w:cs="Arial" w:eastAsia="Arial" w:hAnsi="Arial"/>
                <w:sz w:val="16"/>
                <w:szCs w:val="16"/>
                <w:color w:val="auto"/>
              </w:rPr>
              <w:t>Operating lease assets and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9,506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(473 )</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(663 )</w:t>
            </w:r>
          </w:p>
        </w:tc>
        <w:tc>
          <w:tcPr>
            <w:tcW w:w="0" w:type="dxa"/>
            <w:vAlign w:val="bottom"/>
          </w:tcPr>
          <w:p>
            <w:pPr>
              <w:spacing w:after="0"/>
              <w:rPr>
                <w:sz w:val="1"/>
                <w:szCs w:val="1"/>
                <w:color w:val="auto"/>
              </w:rPr>
            </w:pPr>
          </w:p>
        </w:tc>
      </w:tr>
      <w:tr>
        <w:trPr>
          <w:trHeight w:val="189"/>
        </w:trPr>
        <w:tc>
          <w:tcPr>
            <w:tcW w:w="662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Other liabilities, net</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(5,305 )</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(10,508 )</w:t>
            </w:r>
          </w:p>
        </w:tc>
        <w:tc>
          <w:tcPr>
            <w:tcW w:w="320" w:type="dxa"/>
            <w:vAlign w:val="bottom"/>
            <w:shd w:val="clear" w:color="auto" w:fill="CFF0FC"/>
          </w:tcPr>
          <w:p>
            <w:pPr>
              <w:spacing w:after="0"/>
              <w:rPr>
                <w:sz w:val="16"/>
                <w:szCs w:val="16"/>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24,983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20" w:type="dxa"/>
            <w:vAlign w:val="bottom"/>
          </w:tcPr>
          <w:p>
            <w:pPr>
              <w:ind w:left="480"/>
              <w:spacing w:after="0" w:line="183" w:lineRule="exact"/>
              <w:rPr>
                <w:sz w:val="20"/>
                <w:szCs w:val="20"/>
                <w:color w:val="auto"/>
              </w:rPr>
            </w:pPr>
            <w:r>
              <w:rPr>
                <w:rFonts w:ascii="Arial" w:cs="Arial" w:eastAsia="Arial" w:hAnsi="Arial"/>
                <w:sz w:val="16"/>
                <w:szCs w:val="16"/>
                <w:color w:val="auto"/>
              </w:rPr>
              <w:t>Net cash provided by (used in) operating activities</w:t>
            </w:r>
          </w:p>
        </w:tc>
        <w:tc>
          <w:tcPr>
            <w:tcW w:w="32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538,972</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(238,366 )</w:t>
            </w:r>
          </w:p>
        </w:tc>
        <w:tc>
          <w:tcPr>
            <w:tcW w:w="32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56,677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20" w:type="dxa"/>
            <w:vAlign w:val="bottom"/>
            <w:tcBorders>
              <w:right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Investing activities</w:t>
            </w:r>
          </w:p>
        </w:tc>
        <w:tc>
          <w:tcPr>
            <w:tcW w:w="3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200"/>
              <w:spacing w:after="0"/>
              <w:rPr>
                <w:sz w:val="20"/>
                <w:szCs w:val="20"/>
                <w:color w:val="auto"/>
              </w:rPr>
            </w:pPr>
            <w:r>
              <w:rPr>
                <w:rFonts w:ascii="Arial" w:cs="Arial" w:eastAsia="Arial" w:hAnsi="Arial"/>
                <w:sz w:val="16"/>
                <w:szCs w:val="16"/>
                <w:color w:val="auto"/>
              </w:rPr>
              <w:t>Purchase of property, plant and equipment</w:t>
            </w:r>
          </w:p>
        </w:tc>
        <w:tc>
          <w:tcPr>
            <w:tcW w:w="320" w:type="dxa"/>
            <w:vAlign w:val="bottom"/>
          </w:tcPr>
          <w:p>
            <w:pPr>
              <w:spacing w:after="0"/>
              <w:rPr>
                <w:sz w:val="16"/>
                <w:szCs w:val="16"/>
                <w:color w:val="auto"/>
              </w:rPr>
            </w:pPr>
          </w:p>
        </w:tc>
        <w:tc>
          <w:tcPr>
            <w:tcW w:w="1280" w:type="dxa"/>
            <w:vAlign w:val="bottom"/>
            <w:gridSpan w:val="2"/>
          </w:tcPr>
          <w:p>
            <w:pPr>
              <w:jc w:val="right"/>
              <w:ind w:right="84"/>
              <w:spacing w:after="0"/>
              <w:rPr>
                <w:sz w:val="20"/>
                <w:szCs w:val="20"/>
                <w:color w:val="auto"/>
              </w:rPr>
            </w:pPr>
            <w:r>
              <w:rPr>
                <w:rFonts w:ascii="Arial" w:cs="Arial" w:eastAsia="Arial" w:hAnsi="Arial"/>
                <w:sz w:val="16"/>
                <w:szCs w:val="16"/>
                <w:color w:val="auto"/>
              </w:rPr>
              <w:t>(81,705 )</w:t>
            </w:r>
          </w:p>
        </w:tc>
        <w:tc>
          <w:tcPr>
            <w:tcW w:w="3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(18,358 )</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(6,684 )</w:t>
            </w:r>
          </w:p>
        </w:tc>
        <w:tc>
          <w:tcPr>
            <w:tcW w:w="0" w:type="dxa"/>
            <w:vAlign w:val="bottom"/>
          </w:tcPr>
          <w:p>
            <w:pPr>
              <w:spacing w:after="0"/>
              <w:rPr>
                <w:sz w:val="1"/>
                <w:szCs w:val="1"/>
                <w:color w:val="auto"/>
              </w:rPr>
            </w:pPr>
          </w:p>
        </w:tc>
      </w:tr>
      <w:tr>
        <w:trPr>
          <w:trHeight w:val="152"/>
        </w:trPr>
        <w:tc>
          <w:tcPr>
            <w:tcW w:w="6620" w:type="dxa"/>
            <w:vAlign w:val="bottom"/>
            <w:tcBorders>
              <w:right w:val="single" w:sz="8" w:color="CFF0FC"/>
            </w:tcBorders>
            <w:shd w:val="clear" w:color="auto" w:fill="CFF0FC"/>
          </w:tcPr>
          <w:p>
            <w:pPr>
              <w:ind w:left="200"/>
              <w:spacing w:after="0" w:line="152" w:lineRule="exact"/>
              <w:rPr>
                <w:sz w:val="20"/>
                <w:szCs w:val="20"/>
                <w:color w:val="auto"/>
              </w:rPr>
            </w:pPr>
            <w:r>
              <w:rPr>
                <w:rFonts w:ascii="Arial" w:cs="Arial" w:eastAsia="Arial" w:hAnsi="Arial"/>
                <w:sz w:val="16"/>
                <w:szCs w:val="16"/>
                <w:color w:val="auto"/>
              </w:rPr>
              <w:t>Net cash and restricted cash received in connection with the acquisition</w:t>
            </w:r>
          </w:p>
        </w:tc>
        <w:tc>
          <w:tcPr>
            <w:tcW w:w="320" w:type="dxa"/>
            <w:vAlign w:val="bottom"/>
            <w:shd w:val="clear" w:color="auto" w:fill="CFF0FC"/>
          </w:tcPr>
          <w:p>
            <w:pPr>
              <w:spacing w:after="0"/>
              <w:rPr>
                <w:sz w:val="13"/>
                <w:szCs w:val="13"/>
                <w:color w:val="auto"/>
              </w:rPr>
            </w:pPr>
          </w:p>
        </w:tc>
        <w:tc>
          <w:tcPr>
            <w:tcW w:w="1280" w:type="dxa"/>
            <w:vAlign w:val="bottom"/>
            <w:gridSpan w:val="2"/>
            <w:vMerge w:val="restart"/>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3"/>
                <w:szCs w:val="13"/>
                <w:color w:val="auto"/>
              </w:rPr>
            </w:pPr>
          </w:p>
        </w:tc>
        <w:tc>
          <w:tcPr>
            <w:tcW w:w="12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3"/>
                <w:szCs w:val="13"/>
                <w:color w:val="auto"/>
              </w:rPr>
            </w:pPr>
          </w:p>
        </w:tc>
        <w:tc>
          <w:tcPr>
            <w:tcW w:w="10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8,009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620" w:type="dxa"/>
            <w:vAlign w:val="bottom"/>
            <w:tcBorders>
              <w:right w:val="single" w:sz="8" w:color="CFF0FC"/>
            </w:tcBorders>
            <w:shd w:val="clear" w:color="auto" w:fill="CFF0FC"/>
          </w:tcPr>
          <w:p>
            <w:pPr>
              <w:ind w:left="320"/>
              <w:spacing w:after="0"/>
              <w:rPr>
                <w:sz w:val="20"/>
                <w:szCs w:val="20"/>
                <w:color w:val="auto"/>
              </w:rPr>
            </w:pPr>
            <w:r>
              <w:rPr>
                <w:rFonts w:ascii="Arial" w:cs="Arial" w:eastAsia="Arial" w:hAnsi="Arial"/>
                <w:sz w:val="16"/>
                <w:szCs w:val="16"/>
                <w:color w:val="auto"/>
              </w:rPr>
              <w:t>of Casebia</w:t>
            </w:r>
          </w:p>
        </w:tc>
        <w:tc>
          <w:tcPr>
            <w:tcW w:w="320" w:type="dxa"/>
            <w:vAlign w:val="bottom"/>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tcBorders>
              <w:right w:val="single" w:sz="8" w:color="CFF0FC"/>
            </w:tcBorders>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20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tcPr>
          <w:p>
            <w:pPr>
              <w:spacing w:after="0"/>
              <w:rPr>
                <w:sz w:val="16"/>
                <w:szCs w:val="16"/>
                <w:color w:val="auto"/>
              </w:rPr>
            </w:pPr>
          </w:p>
        </w:tc>
        <w:tc>
          <w:tcPr>
            <w:tcW w:w="1280" w:type="dxa"/>
            <w:vAlign w:val="bottom"/>
            <w:gridSpan w:val="2"/>
          </w:tcPr>
          <w:p>
            <w:pPr>
              <w:jc w:val="right"/>
              <w:ind w:right="84"/>
              <w:spacing w:after="0"/>
              <w:rPr>
                <w:sz w:val="20"/>
                <w:szCs w:val="20"/>
                <w:color w:val="auto"/>
              </w:rPr>
            </w:pPr>
            <w:r>
              <w:rPr>
                <w:rFonts w:ascii="Arial" w:cs="Arial" w:eastAsia="Arial" w:hAnsi="Arial"/>
                <w:sz w:val="16"/>
                <w:szCs w:val="16"/>
                <w:color w:val="auto"/>
              </w:rPr>
              <w:t>(1,509,327 )</w:t>
            </w:r>
          </w:p>
        </w:tc>
        <w:tc>
          <w:tcPr>
            <w:tcW w:w="3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(593,998 )</w:t>
            </w:r>
          </w:p>
        </w:tc>
        <w:tc>
          <w:tcPr>
            <w:tcW w:w="3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2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Maturities of marketable securities</w:t>
            </w:r>
          </w:p>
        </w:tc>
        <w:tc>
          <w:tcPr>
            <w:tcW w:w="3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555,602</w:t>
            </w: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71,186</w:t>
            </w: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20" w:type="dxa"/>
            <w:vAlign w:val="bottom"/>
          </w:tcPr>
          <w:p>
            <w:pPr>
              <w:ind w:left="480"/>
              <w:spacing w:after="0" w:line="183" w:lineRule="exact"/>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Pr>
          <w:p>
            <w:pPr>
              <w:spacing w:after="0"/>
              <w:rPr>
                <w:sz w:val="15"/>
                <w:szCs w:val="15"/>
                <w:color w:val="auto"/>
              </w:rPr>
            </w:pPr>
          </w:p>
        </w:tc>
        <w:tc>
          <w:tcPr>
            <w:tcW w:w="1280" w:type="dxa"/>
            <w:vAlign w:val="bottom"/>
            <w:gridSpan w:val="2"/>
          </w:tcPr>
          <w:p>
            <w:pPr>
              <w:jc w:val="right"/>
              <w:ind w:right="84"/>
              <w:spacing w:after="0" w:line="183" w:lineRule="exact"/>
              <w:rPr>
                <w:sz w:val="20"/>
                <w:szCs w:val="20"/>
                <w:color w:val="auto"/>
              </w:rPr>
            </w:pPr>
            <w:r>
              <w:rPr>
                <w:rFonts w:ascii="Arial" w:cs="Arial" w:eastAsia="Arial" w:hAnsi="Arial"/>
                <w:sz w:val="16"/>
                <w:szCs w:val="16"/>
                <w:color w:val="auto"/>
              </w:rPr>
              <w:t>(1,035,430 )</w:t>
            </w:r>
          </w:p>
        </w:tc>
        <w:tc>
          <w:tcPr>
            <w:tcW w:w="320" w:type="dxa"/>
            <w:vAlign w:val="bottom"/>
          </w:tcPr>
          <w:p>
            <w:pPr>
              <w:spacing w:after="0"/>
              <w:rPr>
                <w:sz w:val="15"/>
                <w:szCs w:val="15"/>
                <w:color w:val="auto"/>
              </w:rPr>
            </w:pPr>
          </w:p>
        </w:tc>
        <w:tc>
          <w:tcPr>
            <w:tcW w:w="12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(541,170 )</w:t>
            </w:r>
          </w:p>
        </w:tc>
        <w:tc>
          <w:tcPr>
            <w:tcW w:w="32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1,325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20" w:type="dxa"/>
            <w:vAlign w:val="bottom"/>
            <w:tcBorders>
              <w:right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Financing activities</w:t>
            </w:r>
          </w:p>
        </w:tc>
        <w:tc>
          <w:tcPr>
            <w:tcW w:w="3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right w:val="single" w:sz="8" w:color="CFF0FC"/>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200"/>
              <w:spacing w:after="0"/>
              <w:rPr>
                <w:sz w:val="20"/>
                <w:szCs w:val="20"/>
                <w:color w:val="auto"/>
              </w:rPr>
            </w:pPr>
            <w:r>
              <w:rPr>
                <w:rFonts w:ascii="Arial" w:cs="Arial" w:eastAsia="Arial" w:hAnsi="Arial"/>
                <w:sz w:val="16"/>
                <w:szCs w:val="16"/>
                <w:color w:val="auto"/>
              </w:rPr>
              <w:t>Proceeds from issuance of common shares, net of issuance costs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213,267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982,289</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415,019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2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Proceeds from exercise of options and ESPP contributions, net of issuance costs</w:t>
            </w:r>
          </w:p>
        </w:tc>
        <w:tc>
          <w:tcPr>
            <w:tcW w:w="32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37,678</w:t>
            </w: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33,863</w:t>
            </w:r>
          </w:p>
        </w:tc>
        <w:tc>
          <w:tcPr>
            <w:tcW w:w="22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15,964</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20" w:type="dxa"/>
            <w:vAlign w:val="bottom"/>
          </w:tcPr>
          <w:p>
            <w:pPr>
              <w:ind w:left="48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250,945</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1,016,152</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430,983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20" w:type="dxa"/>
            <w:vAlign w:val="bottom"/>
            <w:tcBorders>
              <w:right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Effect of exchange rate changes on cash</w:t>
            </w:r>
          </w:p>
        </w:tc>
        <w:tc>
          <w:tcPr>
            <w:tcW w:w="32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jc w:val="right"/>
              <w:ind w:right="84"/>
              <w:spacing w:after="0" w:line="183" w:lineRule="exact"/>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40</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480"/>
              <w:spacing w:after="0"/>
              <w:rPr>
                <w:sz w:val="20"/>
                <w:szCs w:val="20"/>
                <w:color w:val="auto"/>
              </w:rPr>
            </w:pPr>
            <w:r>
              <w:rPr>
                <w:rFonts w:ascii="Arial" w:cs="Arial" w:eastAsia="Arial" w:hAnsi="Arial"/>
                <w:sz w:val="16"/>
                <w:szCs w:val="16"/>
                <w:color w:val="auto"/>
              </w:rPr>
              <w:t>(Decrease) increase in cash</w:t>
            </w:r>
          </w:p>
        </w:tc>
        <w:tc>
          <w:tcPr>
            <w:tcW w:w="320" w:type="dxa"/>
            <w:vAlign w:val="bottom"/>
          </w:tcPr>
          <w:p>
            <w:pPr>
              <w:spacing w:after="0"/>
              <w:rPr>
                <w:sz w:val="16"/>
                <w:szCs w:val="16"/>
                <w:color w:val="auto"/>
              </w:rPr>
            </w:pPr>
          </w:p>
        </w:tc>
        <w:tc>
          <w:tcPr>
            <w:tcW w:w="1280" w:type="dxa"/>
            <w:vAlign w:val="bottom"/>
            <w:gridSpan w:val="2"/>
          </w:tcPr>
          <w:p>
            <w:pPr>
              <w:jc w:val="right"/>
              <w:ind w:right="84"/>
              <w:spacing w:after="0"/>
              <w:rPr>
                <w:sz w:val="20"/>
                <w:szCs w:val="20"/>
                <w:color w:val="auto"/>
              </w:rPr>
            </w:pPr>
            <w:r>
              <w:rPr>
                <w:rFonts w:ascii="Arial" w:cs="Arial" w:eastAsia="Arial" w:hAnsi="Arial"/>
                <w:sz w:val="16"/>
                <w:szCs w:val="16"/>
                <w:color w:val="auto"/>
              </w:rPr>
              <w:t>(245,524 )</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236,656</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489,000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20" w:type="dxa"/>
            <w:vAlign w:val="bottom"/>
            <w:tcBorders>
              <w:bottom w:val="single" w:sz="8" w:color="CFF0FC"/>
              <w:right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Cash, cash equivalents and restricted cash, beginning of period</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6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1,185,468</w:t>
            </w:r>
          </w:p>
        </w:tc>
        <w:tc>
          <w:tcPr>
            <w:tcW w:w="2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948,812</w:t>
            </w:r>
          </w:p>
        </w:tc>
        <w:tc>
          <w:tcPr>
            <w:tcW w:w="2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459,812</w:t>
            </w: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20" w:type="dxa"/>
            <w:vAlign w:val="bottom"/>
          </w:tcPr>
          <w:p>
            <w:pPr>
              <w:ind w:left="200"/>
              <w:spacing w:after="0" w:line="183" w:lineRule="exact"/>
              <w:rPr>
                <w:sz w:val="20"/>
                <w:szCs w:val="20"/>
                <w:color w:val="auto"/>
              </w:rPr>
            </w:pPr>
            <w:r>
              <w:rPr>
                <w:rFonts w:ascii="Arial" w:cs="Arial" w:eastAsia="Arial" w:hAnsi="Arial"/>
                <w:sz w:val="16"/>
                <w:szCs w:val="16"/>
                <w:color w:val="auto"/>
              </w:rPr>
              <w:t>Cash, cash equivalents and restricted cash, end of period</w:t>
            </w: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939,944</w:t>
            </w:r>
          </w:p>
        </w:tc>
        <w:tc>
          <w:tcPr>
            <w:tcW w:w="220" w:type="dxa"/>
            <w:vAlign w:val="bottom"/>
          </w:tcPr>
          <w:p>
            <w:pPr>
              <w:spacing w:after="0"/>
              <w:rPr>
                <w:sz w:val="15"/>
                <w:szCs w:val="15"/>
                <w:color w:val="auto"/>
              </w:rPr>
            </w:pPr>
          </w:p>
        </w:tc>
        <w:tc>
          <w:tcPr>
            <w:tcW w:w="320" w:type="dxa"/>
            <w:vAlign w:val="bottom"/>
            <w:tcBorders>
              <w:bottom w:val="single" w:sz="8" w:color="auto"/>
            </w:tcBorders>
          </w:tcPr>
          <w:p>
            <w:pPr>
              <w:jc w:val="right"/>
              <w:ind w:right="141"/>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1,185,468</w:t>
            </w:r>
          </w:p>
        </w:tc>
        <w:tc>
          <w:tcPr>
            <w:tcW w:w="22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948,812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20" w:type="dxa"/>
            <w:vAlign w:val="bottom"/>
            <w:tcBorders>
              <w:right w:val="single" w:sz="8" w:color="CFF0FC"/>
            </w:tcBorders>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20" w:type="dxa"/>
            <w:vAlign w:val="bottom"/>
            <w:shd w:val="clear" w:color="auto" w:fill="CFF0FC"/>
          </w:tcPr>
          <w:p>
            <w:pPr>
              <w:spacing w:after="0"/>
              <w:rPr>
                <w:sz w:val="14"/>
                <w:szCs w:val="14"/>
                <w:color w:val="auto"/>
              </w:rPr>
            </w:pPr>
          </w:p>
        </w:tc>
        <w:tc>
          <w:tcPr>
            <w:tcW w:w="106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20"/>
              <w:spacing w:after="0"/>
              <w:rPr>
                <w:sz w:val="20"/>
                <w:szCs w:val="20"/>
                <w:color w:val="auto"/>
              </w:rPr>
            </w:pPr>
            <w:r>
              <w:rPr>
                <w:rFonts w:ascii="Arial" w:cs="Arial" w:eastAsia="Arial" w:hAnsi="Arial"/>
                <w:sz w:val="16"/>
                <w:szCs w:val="16"/>
                <w:color w:val="auto"/>
              </w:rPr>
              <w:t>Property and equipment purchases in accounts payable and accrued expenses</w:t>
            </w: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8,348</w:t>
            </w:r>
          </w:p>
        </w:tc>
        <w:tc>
          <w:tcPr>
            <w:tcW w:w="220" w:type="dxa"/>
            <w:vAlign w:val="bottom"/>
          </w:tcPr>
          <w:p>
            <w:pPr>
              <w:spacing w:after="0"/>
              <w:rPr>
                <w:sz w:val="16"/>
                <w:szCs w:val="16"/>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w:t>
            </w:r>
          </w:p>
        </w:tc>
        <w:tc>
          <w:tcPr>
            <w:tcW w:w="22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Borders>
              <w:bottom w:val="single" w:sz="8" w:color="CFF0FC"/>
              <w:right w:val="single" w:sz="8" w:color="CFF0FC"/>
            </w:tcBorders>
            <w:shd w:val="clear" w:color="auto" w:fill="CFF0FC"/>
          </w:tcPr>
          <w:p>
            <w:pPr>
              <w:ind w:left="20"/>
              <w:spacing w:after="0" w:line="170" w:lineRule="exact"/>
              <w:rPr>
                <w:sz w:val="20"/>
                <w:szCs w:val="20"/>
                <w:color w:val="auto"/>
              </w:rPr>
            </w:pPr>
            <w:r>
              <w:rPr>
                <w:rFonts w:ascii="Arial" w:cs="Arial" w:eastAsia="Arial" w:hAnsi="Arial"/>
                <w:sz w:val="16"/>
                <w:szCs w:val="16"/>
                <w:color w:val="auto"/>
              </w:rPr>
              <w:t>Equity issuance costs in accounts payable and accrued expenses</w:t>
            </w:r>
          </w:p>
        </w:tc>
        <w:tc>
          <w:tcPr>
            <w:tcW w:w="320" w:type="dxa"/>
            <w:vAlign w:val="bottom"/>
            <w:tcBorders>
              <w:bottom w:val="single" w:sz="8" w:color="auto"/>
            </w:tcBorders>
            <w:shd w:val="clear" w:color="auto" w:fill="CFF0FC"/>
          </w:tcPr>
          <w:p>
            <w:pPr>
              <w:jc w:val="right"/>
              <w:ind w:right="163"/>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right w:val="single" w:sz="8" w:color="CFF0FC"/>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334</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41"/>
              <w:spacing w:after="0" w:line="170"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right w:val="single" w:sz="8" w:color="CFF0FC"/>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9,590</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right w:val="single" w:sz="8" w:color="CFF0FC"/>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295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Reconciliation to amounts within the consolidated balance sheets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2"/>
              </w:rPr>
              <w:t>As of December 31,</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20" w:type="dxa"/>
            <w:vAlign w:val="bottom"/>
            <w:tcBorders>
              <w:right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923,031</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1,168,620</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943,771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16,913</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16,848</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right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FF0FC"/>
          </w:tcPr>
          <w:p>
            <w:pPr>
              <w:jc w:val="right"/>
              <w:ind w:right="143"/>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939,944</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41"/>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1,185,468</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948,812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-3168015</wp:posOffset>
            </wp:positionV>
            <wp:extent cx="5143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-3168015</wp:posOffset>
            </wp:positionV>
            <wp:extent cx="5143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-3168015</wp:posOffset>
            </wp:positionV>
            <wp:extent cx="5143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-2327910</wp:posOffset>
            </wp:positionV>
            <wp:extent cx="51435"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-2327910</wp:posOffset>
            </wp:positionV>
            <wp:extent cx="51435"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-2327910</wp:posOffset>
            </wp:positionV>
            <wp:extent cx="5143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-1830705</wp:posOffset>
            </wp:positionV>
            <wp:extent cx="5143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-1830705</wp:posOffset>
            </wp:positionV>
            <wp:extent cx="5143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-1830705</wp:posOffset>
            </wp:positionV>
            <wp:extent cx="5143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-1325245</wp:posOffset>
            </wp:positionV>
            <wp:extent cx="5143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-1325245</wp:posOffset>
            </wp:positionV>
            <wp:extent cx="51435"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-1325245</wp:posOffset>
            </wp:positionV>
            <wp:extent cx="5143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-788035</wp:posOffset>
            </wp:positionV>
            <wp:extent cx="514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-770890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-788035</wp:posOffset>
            </wp:positionV>
            <wp:extent cx="514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-770890</wp:posOffset>
            </wp:positionV>
            <wp:extent cx="514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-788035</wp:posOffset>
            </wp:positionV>
            <wp:extent cx="514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-770890</wp:posOffset>
            </wp:positionV>
            <wp:extent cx="514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CRISPR Therapeutics AG</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108"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CRISPR Therapeutics AG (“CRISPR” or the “Company”) was incorporated on October 31, 2013 in Basel, Switzerland. The Company was established to translate CRISPR/Cas9, a genome editing technology, into transformative gene-based medicines for the treatment of serious human diseases. The foundational intellectual property underlying the Company’s operations was licensed to the Company in April 2014. The Company devotes substantially all of its efforts to product research and development activities, initial market development and raising capital. The Company’s principal offices are in Zug, Switzerland and operations are in Cambridge, Massachusetts.</w:t>
      </w:r>
    </w:p>
    <w:p>
      <w:pPr>
        <w:spacing w:after="0" w:line="189"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risks of failure of preclinical studies and clinical trials, the need to obtain marketing approval for any drug product candidate that it may identify and develop, the need to successfully commercialize and gain market acceptance of its product candidates, dependence on key personnel, protection of proprietary technology, compliance with government regulations, development by competitors of technological innovations and ability to transition from pilot-scale manufacturing to large-scale production of products.</w:t>
      </w:r>
    </w:p>
    <w:p>
      <w:pPr>
        <w:spacing w:after="0" w:line="176" w:lineRule="exact"/>
        <w:rPr>
          <w:sz w:val="20"/>
          <w:szCs w:val="20"/>
          <w:color w:val="auto"/>
        </w:rPr>
      </w:pPr>
    </w:p>
    <w:p>
      <w:pPr>
        <w:ind w:firstLine="509"/>
        <w:spacing w:after="0" w:line="231" w:lineRule="auto"/>
        <w:rPr>
          <w:sz w:val="20"/>
          <w:szCs w:val="20"/>
          <w:color w:val="auto"/>
        </w:rPr>
      </w:pPr>
      <w:r>
        <w:rPr>
          <w:rFonts w:ascii="Arial" w:cs="Arial" w:eastAsia="Arial" w:hAnsi="Arial"/>
          <w:sz w:val="18"/>
          <w:szCs w:val="18"/>
          <w:color w:val="auto"/>
        </w:rPr>
        <w:t>The Company had an accumulated deficit of $195.9 million as of December 31, 2021 and has financed its operations to date from a series of preferred shares and convertible loan issuances, proceeds obtained from its initial public offering, subsequent public offerings of its common shares, as well as upfront fees and milestones received under its collaboration and joint venture arrangements. The Company will require substantial additional capital to fund its research and development and ongoing operating expenses.</w:t>
      </w:r>
    </w:p>
    <w:p>
      <w:pPr>
        <w:spacing w:after="0" w:line="175" w:lineRule="exact"/>
        <w:rPr>
          <w:sz w:val="20"/>
          <w:szCs w:val="20"/>
          <w:color w:val="auto"/>
        </w:rPr>
      </w:pPr>
    </w:p>
    <w:p>
      <w:pPr>
        <w:ind w:right="20" w:firstLine="509"/>
        <w:spacing w:after="0" w:line="228" w:lineRule="auto"/>
        <w:rPr>
          <w:sz w:val="20"/>
          <w:szCs w:val="20"/>
          <w:color w:val="auto"/>
        </w:rPr>
      </w:pPr>
      <w:r>
        <w:rPr>
          <w:rFonts w:ascii="Arial" w:cs="Arial" w:eastAsia="Arial" w:hAnsi="Arial"/>
          <w:sz w:val="18"/>
          <w:szCs w:val="18"/>
          <w:color w:val="auto"/>
        </w:rPr>
        <w:t>As of December 31, 2021, the Company had cash, cash equivalents and marketable securities of $2,379.1 million. While the Company was in a net income position in the current and certain previous years due to upfronts associated with the Company's collaborations with Vertex Pharmaceuticals Incorporated and certain of its subsidiaries, or Vertex, the Company has a history of recurring losses and expects to continue to incur losses for the foreseeable future. The Company expects its cash and cash equivalents will be sufficient to fund current planned operations for at least the next twenty-four months.</w:t>
      </w:r>
    </w:p>
    <w:p>
      <w:pPr>
        <w:spacing w:after="0" w:line="191"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The full extent of the impact of the coronavirus pandemic on the Company’s business, operations and financial results will depend on numerous evolving factors that we may not be able to accurately predict. See Item 1A: "Risk Factors" section set forth in this Annual Report on Form 10-K for additional details. At this stage, the impact on the Company’s results has not been significant.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Basis of Presentation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10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or GAAP, and include the accounts of the Company and its wholly-owned subsidiaries as of December 31, 2021. All intercompany accounts and transactions have been eliminated. Any reference in these notes to applicable guidance is meant to refer to the authoritative United States generally accepted accounting principles as found in the Accounting Standards Codification, or ASC, and Accounting Standards Updates, or ASUs, of the Financial Accounting Standards Board.</w:t>
      </w:r>
    </w:p>
    <w:p>
      <w:pPr>
        <w:spacing w:after="0" w:line="189"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Prior to December 13, 2019, the Company accounted for its 50% investment in Casebia Therapeutics, Limited Liability Partnership, or Casebia, under the equity method. As described in Note 9, on December 13, 2019, Casebia became a wholly-owned subsidiary and, as a result, the Company consolidated Casebia’s financial results from that date forward.</w:t>
      </w:r>
    </w:p>
    <w:p>
      <w:pPr>
        <w:spacing w:after="0" w:line="182"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revenue recognition, equity-based compensation expense and reported amounts of research and development expenses during the period. Significant estimates in these consolidated financial statements have been made in connection with revenue recognition and equity-based compensation expense. The Company bases its estimates on historical experience and other market-specific or other relevant assumptions that it believes to be reasonable under the circumstances. Actual results may differ from those estimates or assumptions.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9" w:name="page160"/>
    <w:bookmarkEnd w:id="159"/>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0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The Company and the Company’s chief operating decision maker, namely, the chief executive officer, view the Company’s operations and manage its business in one operating segment, which is the business of discovering, developing and commercializing therapies derived from or incorporating genome-editing technology.</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0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The majority of the Company’s operations occur in entities that have the U.S. dollar as their functional currency. Non-U.S. dollar denominated functional currency subsidiaries have assets and liabilities translated into U.S. dollars at rates of exchange in effect at the end of the year. Revenue and expense amounts are translated using the average exchange rates for the period. Net unrealized gains and losses resulting from foreign currency translation are included in “Accumulated other comprehensive income (loss).” Net foreign currency exchange transaction gains or losses are included in “Other income (expense), net” on the Company’s consolidated statement of operations, the impact of which is not significant.</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right="260" w:firstLine="509"/>
        <w:spacing w:after="0" w:line="291" w:lineRule="auto"/>
        <w:rPr>
          <w:sz w:val="20"/>
          <w:szCs w:val="20"/>
          <w:color w:val="auto"/>
        </w:rPr>
      </w:pPr>
      <w:r>
        <w:rPr>
          <w:rFonts w:ascii="Arial" w:cs="Arial" w:eastAsia="Arial" w:hAnsi="Arial"/>
          <w:sz w:val="17"/>
          <w:szCs w:val="17"/>
          <w:color w:val="auto"/>
        </w:rPr>
        <w:t>The Company considers all highly liquid investments with maturities of three months or less from the purchase date to be cash equivalents. As of December 31, 2021 and 2020, the Company had $923.0 million and $1,168.6 million in cash and cash equivalents, respectively.</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As of December 31, 2021, the Company had $16.9 million in restricted cash representing letters of credit securing the Company’s obligations under certain leased facilities, as well as certain credit card arrangements, which was unchanged from December 31, 2020. The letters of credit are secured by cash held in a restricted depository account and recorded in restricted cash in the accompanying consolidated balance sheet as of December 31, 2021.</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As of December 31, 2021 and 2020, the Company had $1,456.1 million and $521.7 million, respectively in marketable securities. The Company’s investment strategy is focused on capital preservation. The Company invests in instruments that meet the credit quality standards outlined in the Company’s investment policy. The Company classifies marketable securities with a remaining maturity, when purchased, of greater than three months as available-for-sale. Marketable securities are classified as current assets on the consolidated balance sheets if the marketable securities are available to be converted into cash to fund current operations. As a result, the Company classified all of these securities as current assets even though the stated maturity of some individual securities may be one year or more beyond the balance sheet date.</w:t>
      </w:r>
    </w:p>
    <w:p>
      <w:pPr>
        <w:spacing w:after="0" w:line="6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auto"/>
        </w:rPr>
        <w:t>Marketable securities classified as Level 2 within the valuation hierarchy generally consist of U.S. treasury securities and government agency securities, corporate bonds, and commercial paper. Debt securities are carried at fair value with the unrealized gains and losses included in other comprehensive income (loss) as a component of stockholders’ equity until realized. Any premium arising at purchase is amortized to interest expense over the period of the earliest call date, and any discount arising at purchase is accreted to interest income over the life of the instrument. Realized gains and losses on debt securities are determined using the specific identification method and are included in other income (expense), net.</w:t>
      </w:r>
    </w:p>
    <w:p>
      <w:pPr>
        <w:spacing w:after="0" w:line="146"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 xml:space="preserve">Effective January 1, 2020, the Company adopted ASU 2016-13, </w:t>
      </w:r>
      <w:r>
        <w:rPr>
          <w:rFonts w:ascii="Arial" w:cs="Arial" w:eastAsia="Arial" w:hAnsi="Arial"/>
          <w:sz w:val="18"/>
          <w:szCs w:val="18"/>
          <w:i w:val="1"/>
          <w:iCs w:val="1"/>
          <w:color w:val="auto"/>
        </w:rPr>
        <w:t>Financial Instruments – 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Statements</w:t>
      </w:r>
      <w:r>
        <w:rPr>
          <w:rFonts w:ascii="Arial" w:cs="Arial" w:eastAsia="Arial" w:hAnsi="Arial"/>
          <w:sz w:val="18"/>
          <w:szCs w:val="18"/>
          <w:color w:val="auto"/>
        </w:rPr>
        <w:t>, or ASC 326. As the Company did not hold available-for-sale debt securities upon adoption, no related transition provisions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the Company upon adoption.</w:t>
      </w:r>
    </w:p>
    <w:p>
      <w:pPr>
        <w:spacing w:after="0" w:line="7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Company assesses its available-for-sale debt securities under the available-for-sale debt security impairment model in ASC 326 as of each reporting date in order to determine if a portion of any decline in fair value below carrying value recognized on its available-for-sale debt securities is the result of a credit loss. The Company records credit losses in the consolidated statements of operations and comprehensive loss as credit loss expense within other expense, net, which is limited to the difference between the fair value and the amortized cost of the security. To date, the Company has not recorded any credit losses on its available-for-sale debt securities.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60" w:name="page161"/>
    <w:bookmarkEnd w:id="160"/>
    <w:p>
      <w:pPr>
        <w:ind w:left="260"/>
        <w:spacing w:after="0"/>
        <w:rPr>
          <w:sz w:val="20"/>
          <w:szCs w:val="20"/>
          <w:color w:val="auto"/>
        </w:rPr>
      </w:pPr>
      <w:r>
        <w:rPr>
          <w:rFonts w:ascii="Arial" w:cs="Arial" w:eastAsia="Arial" w:hAnsi="Arial"/>
          <w:sz w:val="18"/>
          <w:szCs w:val="18"/>
          <w:b w:val="1"/>
          <w:bCs w:val="1"/>
          <w:i w:val="1"/>
          <w:iCs w:val="1"/>
          <w:color w:val="auto"/>
        </w:rPr>
        <w:t>Other Receivables</w:t>
      </w:r>
    </w:p>
    <w:p>
      <w:pPr>
        <w:spacing w:after="0" w:line="131" w:lineRule="exact"/>
        <w:rPr>
          <w:sz w:val="20"/>
          <w:szCs w:val="20"/>
          <w:color w:val="auto"/>
        </w:rPr>
      </w:pPr>
    </w:p>
    <w:p>
      <w:pPr>
        <w:ind w:firstLine="608"/>
        <w:spacing w:after="0" w:line="283" w:lineRule="auto"/>
        <w:rPr>
          <w:sz w:val="20"/>
          <w:szCs w:val="20"/>
          <w:color w:val="auto"/>
        </w:rPr>
      </w:pPr>
      <w:r>
        <w:rPr>
          <w:rFonts w:ascii="Arial" w:cs="Arial" w:eastAsia="Arial" w:hAnsi="Arial"/>
          <w:sz w:val="16"/>
          <w:szCs w:val="16"/>
          <w:color w:val="auto"/>
        </w:rPr>
        <w:t xml:space="preserve">Amounts due from collaboration partners where an arrangement is accounted for under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or ASC 808, are considered other receivables and are included within prepaid and other current assets in the consolidated balance sheet. Other receivables consisted of $8.4 million and $10.7 million as of December 31, 2021 and 2020, respectively and are due from Vertex. Other receivables are recorded at invoiced amounts due under the Vertex collaboration agreement, as described further in Note 9. Vertex is a creditworthy entity that maintains an ongoing relationship with the Company and as such, the Company does not have an allowance for estimated credit losses recorded related to these other receivables.</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104" w:lineRule="exact"/>
        <w:rPr>
          <w:sz w:val="20"/>
          <w:szCs w:val="20"/>
          <w:color w:val="auto"/>
        </w:rPr>
      </w:pPr>
    </w:p>
    <w:p>
      <w:pPr>
        <w:ind w:right="460" w:firstLine="509"/>
        <w:spacing w:after="0" w:line="243" w:lineRule="auto"/>
        <w:rPr>
          <w:sz w:val="20"/>
          <w:szCs w:val="20"/>
          <w:color w:val="auto"/>
        </w:rPr>
      </w:pPr>
      <w:r>
        <w:rPr>
          <w:rFonts w:ascii="Arial" w:cs="Arial" w:eastAsia="Arial" w:hAnsi="Arial"/>
          <w:sz w:val="18"/>
          <w:szCs w:val="18"/>
          <w:color w:val="auto"/>
        </w:rPr>
        <w:t>Financial instruments that potentially subject the Company to concentrations of credit risk are primarily cash, cash equivalents and marketable securities. The Company’s cash is held in accounts with financial institutions that management believes are creditworthy. The Company has not experienced any credit losses in such accounts and does not believe it is exposed to any significant credit risk on these funds. The Company has no financial instruments with off-balance sheet risk of loss.</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in active markets that are accessible at the market date for identical unrestricted assets or liabilities.</w:t>
      </w:r>
    </w:p>
    <w:p>
      <w:pPr>
        <w:spacing w:after="0" w:line="104" w:lineRule="exact"/>
        <w:rPr>
          <w:sz w:val="20"/>
          <w:szCs w:val="20"/>
          <w:color w:val="auto"/>
        </w:rPr>
      </w:pPr>
    </w:p>
    <w:p>
      <w:pPr>
        <w:ind w:left="520" w:right="80"/>
        <w:spacing w:after="0" w:line="248"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23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8" w:lineRule="exact"/>
        <w:rPr>
          <w:sz w:val="20"/>
          <w:szCs w:val="20"/>
          <w:color w:val="auto"/>
        </w:rPr>
      </w:pPr>
    </w:p>
    <w:p>
      <w:pPr>
        <w:ind w:right="420" w:firstLine="509"/>
        <w:spacing w:after="0" w:line="294" w:lineRule="auto"/>
        <w:rPr>
          <w:sz w:val="20"/>
          <w:szCs w:val="20"/>
          <w:color w:val="auto"/>
        </w:rPr>
      </w:pPr>
      <w:r>
        <w:rPr>
          <w:rFonts w:ascii="Arial" w:cs="Arial" w:eastAsia="Arial" w:hAnsi="Arial"/>
          <w:sz w:val="16"/>
          <w:szCs w:val="16"/>
          <w:color w:val="auto"/>
        </w:rPr>
        <w:t xml:space="preserve">Items measured at fair value on a recurring basis include marketable securities (see Note 3, </w:t>
      </w:r>
      <w:r>
        <w:rPr>
          <w:rFonts w:ascii="Arial" w:cs="Arial" w:eastAsia="Arial" w:hAnsi="Arial"/>
          <w:sz w:val="16"/>
          <w:szCs w:val="16"/>
          <w:i w:val="1"/>
          <w:iCs w:val="1"/>
          <w:color w:val="auto"/>
        </w:rPr>
        <w:t>Marketable Securities</w:t>
      </w:r>
      <w:r>
        <w:rPr>
          <w:rFonts w:ascii="Arial" w:cs="Arial" w:eastAsia="Arial" w:hAnsi="Arial"/>
          <w:sz w:val="16"/>
          <w:szCs w:val="16"/>
          <w:color w:val="auto"/>
        </w:rPr>
        <w:t xml:space="preserve">, and Note 4,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w:t>
      </w:r>
      <w:r>
        <w:rPr>
          <w:rFonts w:ascii="Arial" w:cs="Arial" w:eastAsia="Arial" w:hAnsi="Arial"/>
          <w:sz w:val="16"/>
          <w:szCs w:val="16"/>
          <w:color w:val="auto"/>
        </w:rPr>
        <w:t>). The carrying amount of accounts receivable, other receivables, accounts payable and accrued expenses as reported on the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sheets as of December 31, 2021 and 2020, approximate fair value, due to the short-term duration of these instruments.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Property and equipment are recorded at cost, less accumulated depreciation. Maintenance and repairs that do not improve or extend the lives of the respective assets are expensed to operations as incurred. Upon disposal, the related cost and accumulated depreciation is removed from the accounts and any resulting gain or loss is included in the results of operations. Depreciation is recorded using the straight-line method over the estimated useful lives of the respective assets, which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6"/>
                <w:szCs w:val="16"/>
                <w:color w:val="auto"/>
              </w:rPr>
            </w:pPr>
          </w:p>
        </w:tc>
        <w:tc>
          <w:tcPr>
            <w:tcW w:w="5500" w:type="dxa"/>
            <w:vAlign w:val="bottom"/>
            <w:tcBorders>
              <w:bottom w:val="single" w:sz="8" w:color="auto"/>
            </w:tcBorders>
          </w:tcPr>
          <w:p>
            <w:pPr>
              <w:ind w:left="2180"/>
              <w:spacing w:after="0"/>
              <w:rPr>
                <w:sz w:val="20"/>
                <w:szCs w:val="20"/>
                <w:color w:val="auto"/>
              </w:rPr>
            </w:pPr>
            <w:r>
              <w:rPr>
                <w:rFonts w:ascii="Arial" w:cs="Arial" w:eastAsia="Arial" w:hAnsi="Arial"/>
                <w:sz w:val="14"/>
                <w:szCs w:val="14"/>
                <w:b w:val="1"/>
                <w:bCs w:val="1"/>
                <w:color w:val="auto"/>
              </w:rPr>
              <w:t>Estimated useful life</w:t>
            </w:r>
          </w:p>
        </w:tc>
      </w:tr>
      <w:tr>
        <w:trPr>
          <w:trHeight w:val="182"/>
        </w:trPr>
        <w:tc>
          <w:tcPr>
            <w:tcW w:w="5640" w:type="dxa"/>
            <w:vAlign w:val="bottom"/>
          </w:tcPr>
          <w:p>
            <w:pPr>
              <w:ind w:left="20"/>
              <w:spacing w:after="0" w:line="182" w:lineRule="exact"/>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5"/>
                <w:szCs w:val="15"/>
                <w:color w:val="auto"/>
              </w:rPr>
            </w:pPr>
          </w:p>
        </w:tc>
        <w:tc>
          <w:tcPr>
            <w:tcW w:w="5500" w:type="dxa"/>
            <w:vAlign w:val="bottom"/>
          </w:tcPr>
          <w:p>
            <w:pPr>
              <w:jc w:val="center"/>
              <w:spacing w:after="0" w:line="182" w:lineRule="exact"/>
              <w:rPr>
                <w:sz w:val="20"/>
                <w:szCs w:val="20"/>
                <w:color w:val="auto"/>
              </w:rPr>
            </w:pPr>
            <w:r>
              <w:rPr>
                <w:rFonts w:ascii="Arial" w:cs="Arial" w:eastAsia="Arial" w:hAnsi="Arial"/>
                <w:sz w:val="18"/>
                <w:szCs w:val="18"/>
                <w:color w:val="auto"/>
                <w:w w:val="88"/>
              </w:rPr>
              <w:t>3 years</w:t>
            </w: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8"/>
                <w:szCs w:val="18"/>
                <w:color w:val="auto"/>
              </w:rPr>
              <w:t>Furniture, fixtures and other</w:t>
            </w:r>
          </w:p>
        </w:tc>
        <w:tc>
          <w:tcPr>
            <w:tcW w:w="100" w:type="dxa"/>
            <w:vAlign w:val="bottom"/>
          </w:tcPr>
          <w:p>
            <w:pPr>
              <w:spacing w:after="0"/>
              <w:rPr>
                <w:sz w:val="17"/>
                <w:szCs w:val="17"/>
                <w:color w:val="auto"/>
              </w:rPr>
            </w:pPr>
          </w:p>
        </w:tc>
        <w:tc>
          <w:tcPr>
            <w:tcW w:w="5500" w:type="dxa"/>
            <w:vAlign w:val="bottom"/>
          </w:tcPr>
          <w:p>
            <w:pPr>
              <w:jc w:val="center"/>
              <w:spacing w:after="0" w:line="202" w:lineRule="exact"/>
              <w:rPr>
                <w:sz w:val="20"/>
                <w:szCs w:val="20"/>
                <w:color w:val="auto"/>
              </w:rPr>
            </w:pPr>
            <w:r>
              <w:rPr>
                <w:rFonts w:ascii="Arial" w:cs="Arial" w:eastAsia="Arial" w:hAnsi="Arial"/>
                <w:sz w:val="18"/>
                <w:szCs w:val="18"/>
                <w:color w:val="auto"/>
                <w:w w:val="88"/>
              </w:rPr>
              <w:t>5 years</w:t>
            </w:r>
          </w:p>
        </w:tc>
      </w:tr>
      <w:tr>
        <w:trPr>
          <w:trHeight w:val="203"/>
        </w:trPr>
        <w:tc>
          <w:tcPr>
            <w:tcW w:w="5640" w:type="dxa"/>
            <w:vAlign w:val="bottom"/>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100" w:type="dxa"/>
            <w:vAlign w:val="bottom"/>
          </w:tcPr>
          <w:p>
            <w:pPr>
              <w:spacing w:after="0"/>
              <w:rPr>
                <w:sz w:val="17"/>
                <w:szCs w:val="17"/>
                <w:color w:val="auto"/>
              </w:rPr>
            </w:pPr>
          </w:p>
        </w:tc>
        <w:tc>
          <w:tcPr>
            <w:tcW w:w="5500" w:type="dxa"/>
            <w:vAlign w:val="bottom"/>
          </w:tcPr>
          <w:p>
            <w:pPr>
              <w:jc w:val="center"/>
              <w:spacing w:after="0" w:line="202" w:lineRule="exact"/>
              <w:rPr>
                <w:sz w:val="20"/>
                <w:szCs w:val="20"/>
                <w:color w:val="auto"/>
              </w:rPr>
            </w:pPr>
            <w:r>
              <w:rPr>
                <w:rFonts w:ascii="Arial" w:cs="Arial" w:eastAsia="Arial" w:hAnsi="Arial"/>
                <w:sz w:val="18"/>
                <w:szCs w:val="18"/>
                <w:color w:val="auto"/>
                <w:w w:val="88"/>
              </w:rPr>
              <w:t>5 years</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Shorter of useful life or remaining lease term</w:t>
            </w:r>
          </w:p>
        </w:tc>
      </w:tr>
    </w:tbl>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The Company reviews long-lived assets when events or changes in circumstances indicate the carrying value of the assets may not be recoverable. Recoverability is measured by comparison of the book values of the assets to future net undiscounted cash flows that the assets are expected to generate. If such assets are considered to be impaired, the impairment to be recognized is measured by the amount by which the book value of the assets exceed their fair value, which is measured based on the projected discounted future net cash flows arising from the assets.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61" w:name="page162"/>
    <w:bookmarkEnd w:id="161"/>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jc w:val="both"/>
        <w:ind w:right="280" w:firstLine="509"/>
        <w:spacing w:after="0" w:line="294" w:lineRule="auto"/>
        <w:rPr>
          <w:sz w:val="20"/>
          <w:szCs w:val="20"/>
          <w:color w:val="auto"/>
        </w:rPr>
      </w:pPr>
      <w:r>
        <w:rPr>
          <w:rFonts w:ascii="Arial" w:cs="Arial" w:eastAsia="Arial" w:hAnsi="Arial"/>
          <w:sz w:val="16"/>
          <w:szCs w:val="16"/>
          <w:color w:val="auto"/>
        </w:rPr>
        <w:t xml:space="preserve">The Company records revenue in accordance with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ASC 606 applies to all contracts with customers, except for contracts that are within the scope of other standards, such as leases and collaboration arrangements. To determine revenue recognition for arrangements that an entity determines are within the scope of ASC 606, the entity performs the following five steps: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1) Identify the contract with the customer</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 Identify the performance obligations in the contract</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If these criteria are not met, the promised goods and services are accounted for as a combined performance obligation.</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3) Determine the transaction price</w:t>
      </w:r>
    </w:p>
    <w:p>
      <w:pPr>
        <w:spacing w:after="0" w:line="104" w:lineRule="exact"/>
        <w:rPr>
          <w:sz w:val="20"/>
          <w:szCs w:val="20"/>
          <w:color w:val="auto"/>
        </w:rPr>
      </w:pPr>
    </w:p>
    <w:p>
      <w:pPr>
        <w:ind w:right="280" w:firstLine="509"/>
        <w:spacing w:after="0" w:line="271" w:lineRule="auto"/>
        <w:rPr>
          <w:sz w:val="20"/>
          <w:szCs w:val="20"/>
          <w:color w:val="auto"/>
        </w:rPr>
      </w:pPr>
      <w:r>
        <w:rPr>
          <w:rFonts w:ascii="Arial" w:cs="Arial" w:eastAsia="Arial" w:hAnsi="Arial"/>
          <w:sz w:val="16"/>
          <w:szCs w:val="16"/>
          <w:color w:val="auto"/>
        </w:rPr>
        <w:t>The transaction price is determined based on the consideration to which the Company will be entitled in exchange for transferring goods and services to the customer. To the extent the transaction price includes variable consideration such as research, development, regulatory and commercial milestones, the Company determines if it is probable that it will receive such amounts and there is no risk of a significant revenue reversal. When the Company cannot conclude that receipt of such amounts is probable, the Company constrains the related variable consideration resulting in its exclusion from transaction consideration. In determining the portion of the transaction consideration to be constrained, the Company considers the probability and uncertainty that the related research, developmental, regulatory and commercial milestones will be achieved given the nature of research and clinical development and the stage of the underlying programs. This assessment is performed at each reporting period. In making this evaluation, the Company considers both internal and external information available, including information from industry publications and other relevant factors. Changes to the constraint of variable consideration can have a material effect on the amount of revenue recognized in the period.</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4) Allocate the transaction consideration to performance obligations in the contract</w:t>
      </w:r>
    </w:p>
    <w:p>
      <w:pPr>
        <w:spacing w:after="0" w:line="104"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If the contract contains a single performance obligation, the entire transaction consideration is allocated to the single performance obligation. Contracts that contain multiple performance obligations require an allocation of the transaction consideration to each performance obligation on a relative standalone selling price basis unless the transaction consideration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In determining these estimated standalone selling prices, the Company makes a number of significant judgements including, for licenses, management’s assumptions regarding probability weighted projected discounted cash flows for each of the collaboration development programs. The estimated standalone selling prices are sensitive to changes in assumptions, such as probabilities of scientific success, discount rate and certain assumptions that form the basis of forecasted cash flows. In developing these assumptions, management considers both internal and external information available, including information from other guideline companies within the same industry and other relevant factors. Changes to these assumptions can have a material effect on the allocation of the transaction consideration to performance obligations, as well as the amount and timing of revenue recognized.</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5) Recognize revenue when or as the Company satisfies a performance obligation</w:t>
      </w:r>
    </w:p>
    <w:p>
      <w:pPr>
        <w:spacing w:after="0" w:line="104"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 satisfies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62" w:name="page163"/>
    <w:bookmarkEnd w:id="162"/>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The Company recognizes a contract asset when the Company transfers goods or services to a customer before the customer pays consideration or before payment is due, excluding any amounts presented as an account or other receivable. A contract asset is an entity’s right to consideration in exchange for goods or services that the entity has transferred to a customer. The contract liabilities, or deferred revenue, primarily relate to contracts where we have received payment, but we have not yet satisfied the related performance obligations. Contract assets are not significant as of December 31, 2021 and 2020. Contract liabilities recorded as deferred revenue as of December 31, 2021 and 2020 are $12.3 million and $12.2 million, respectively. The change in contract assets and contract liabilities recorded as deferred revenue is related to the collaboration agreement with Vertex described in Note 9.</w:t>
      </w:r>
    </w:p>
    <w:p>
      <w:pPr>
        <w:spacing w:after="0" w:line="2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Arrangements</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 xml:space="preserve">The Company records the elements of its collaboration agreements that represent joint operating activities in accordance with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or ASC 808. Accordingly, the elements of the collaboration agreements that represent activities in which both parties are</w:t>
      </w:r>
      <w:r>
        <w:rPr>
          <w:rFonts w:ascii="Arial" w:cs="Arial" w:eastAsia="Arial" w:hAnsi="Arial"/>
          <w:sz w:val="18"/>
          <w:szCs w:val="18"/>
          <w:i w:val="1"/>
          <w:iCs w:val="1"/>
          <w:color w:val="auto"/>
        </w:rPr>
        <w:t xml:space="preserve"> </w:t>
      </w:r>
      <w:r>
        <w:rPr>
          <w:rFonts w:ascii="Arial" w:cs="Arial" w:eastAsia="Arial" w:hAnsi="Arial"/>
          <w:sz w:val="18"/>
          <w:szCs w:val="18"/>
          <w:color w:val="auto"/>
        </w:rPr>
        <w:t>active participants and to which both parties are exposed to the significant risks and rewards that are dependent on the commercial success of the activities, are recorded as collaborative arrangements.</w:t>
      </w:r>
    </w:p>
    <w:p>
      <w:pPr>
        <w:spacing w:after="0" w:line="188" w:lineRule="exact"/>
        <w:rPr>
          <w:sz w:val="20"/>
          <w:szCs w:val="20"/>
          <w:color w:val="auto"/>
        </w:rPr>
      </w:pPr>
    </w:p>
    <w:p>
      <w:pPr>
        <w:ind w:firstLine="509"/>
        <w:spacing w:after="0" w:line="207" w:lineRule="exact"/>
        <w:rPr>
          <w:sz w:val="20"/>
          <w:szCs w:val="20"/>
          <w:color w:val="auto"/>
        </w:rPr>
      </w:pPr>
      <w:r>
        <w:rPr>
          <w:rFonts w:ascii="Arial" w:cs="Arial" w:eastAsia="Arial" w:hAnsi="Arial"/>
          <w:sz w:val="18"/>
          <w:szCs w:val="18"/>
          <w:color w:val="auto"/>
        </w:rPr>
        <w:t>The Company evaluates the proper presentation of the commercial activities and the pro</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t and loss sharing associated with the collaboration agreements. ASC 808 states that when payments between parties in a collaborative arrangement are not within the scope of other authoritative accounting literature, the income statement classification should be based on the nature of the arrangement, the nature of its business operations and the contractual terms of the arrangement. To the extent that these payments are not within the scope of other authoritative accounting literature, the income statement classification for the payments shall be based on an analogy to authoritative accounting literature or if there is no appropriate analogy, a reasonable, rational and consistently applied accounting policy election.</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Research and development costs are charged to expense as costs are incurred in performing research and development activities, including salaries and benefits, facilities costs, overhead costs, clinical study and related clinical manufacturing costs, license and milestone fees, contract services and other related costs. Research and development costs, including up-front fees and milestones paid to collaborators, are also expensed as incurred. In circumstances where amounts have been paid in excess of costs incurred, the Company records a prepaid expense. The Company accrues costs for clinical trial activities based upon estimates of the services received and related expenses incurred that have yet to be invoiced by the contract research organizations, clinical study sites, laboratories, consultants or other clinical trial vendors that perform the activities. The Company recognizes the reimbursement associated with collaborative activities to its collaborative partners as a reduction to research and development expense in the period the services are provided.</w:t>
      </w: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 xml:space="preserve">The Company accounts for its leases in accordance with ASC 842, </w:t>
      </w:r>
      <w:r>
        <w:rPr>
          <w:rFonts w:ascii="Arial" w:cs="Arial" w:eastAsia="Arial" w:hAnsi="Arial"/>
          <w:sz w:val="18"/>
          <w:szCs w:val="18"/>
          <w:i w:val="1"/>
          <w:iCs w:val="1"/>
          <w:color w:val="auto"/>
        </w:rPr>
        <w:t>Leases</w:t>
      </w:r>
      <w:r>
        <w:rPr>
          <w:rFonts w:ascii="Arial" w:cs="Arial" w:eastAsia="Arial" w:hAnsi="Arial"/>
          <w:sz w:val="18"/>
          <w:szCs w:val="18"/>
          <w:color w:val="auto"/>
        </w:rPr>
        <w:t>, or ASC 842. At the inception of an arrangement, the Company determines whether the arrangement is or contains a lease based on the unique facts and circumstances present in the arrangement. Leases with a term greater than one year are recognized on the balance sheet as right-of-use assets and short-term and long-term lease liabilities, as applicable. The Company does not have financing leases.</w:t>
      </w:r>
    </w:p>
    <w:p>
      <w:pPr>
        <w:spacing w:after="0" w:line="18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Operating lease liabilities and their corresponding right-of-use assets are initially recorded based on the present value of lease payments over the expected remaining lease term.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91"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Company has elected not to recognize leases with an original term of one year or less on the balance sheet. The Company typically only includes an initial lease term in its assessment of a lease arrangement. Options to renew a lease are not included in the Company’s assessment unless there is reasonable certainty of renewal.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163" w:name="page164"/>
    <w:bookmarkEnd w:id="163"/>
    <w:p>
      <w:pPr>
        <w:ind w:right="160" w:firstLine="509"/>
        <w:spacing w:after="0" w:line="243" w:lineRule="auto"/>
        <w:rPr>
          <w:sz w:val="20"/>
          <w:szCs w:val="20"/>
          <w:color w:val="auto"/>
        </w:rPr>
      </w:pPr>
      <w:r>
        <w:rPr>
          <w:rFonts w:ascii="Arial" w:cs="Arial" w:eastAsia="Arial" w:hAnsi="Arial"/>
          <w:sz w:val="18"/>
          <w:szCs w:val="18"/>
          <w:color w:val="auto"/>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Based Compensation Expense</w:t>
      </w:r>
    </w:p>
    <w:p>
      <w:pPr>
        <w:spacing w:after="0" w:line="104"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The Company’s share-based compensation programs grant awards that have included stock options, restricted stock units and restricted stock awards. Grants are awarded to employees and non-employees, including directors.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 Company accounts for its stock-based compensation awards in accordance with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or ASC</w:t>
      </w:r>
    </w:p>
    <w:p>
      <w:pPr>
        <w:spacing w:after="0" w:line="35" w:lineRule="exact"/>
        <w:rPr>
          <w:sz w:val="20"/>
          <w:szCs w:val="20"/>
          <w:color w:val="auto"/>
        </w:rPr>
      </w:pPr>
    </w:p>
    <w:p>
      <w:pPr>
        <w:ind w:right="40" w:firstLine="8"/>
        <w:spacing w:after="0" w:line="260" w:lineRule="auto"/>
        <w:tabs>
          <w:tab w:leader="none" w:pos="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ASC 718 requires all stock-based payments to employees and non-employee directors, including grants of employee stock options and restricted stock units and modifications to existing stock options, to be recognized in the consolidated statements of operations and comprehensive income (loss) based on their fair values. The Company uses the Black-Scholes option pricing model to determine the fair value of options granted.</w:t>
      </w:r>
    </w:p>
    <w:p>
      <w:pPr>
        <w:spacing w:after="0" w:line="159" w:lineRule="exact"/>
        <w:rPr>
          <w:sz w:val="20"/>
          <w:szCs w:val="20"/>
          <w:color w:val="auto"/>
        </w:rPr>
      </w:pPr>
    </w:p>
    <w:p>
      <w:pPr>
        <w:ind w:right="140" w:firstLine="509"/>
        <w:spacing w:after="0" w:line="235" w:lineRule="auto"/>
        <w:rPr>
          <w:sz w:val="20"/>
          <w:szCs w:val="20"/>
          <w:color w:val="auto"/>
        </w:rPr>
      </w:pPr>
      <w:r>
        <w:rPr>
          <w:rFonts w:ascii="Arial" w:cs="Arial" w:eastAsia="Arial" w:hAnsi="Arial"/>
          <w:sz w:val="18"/>
          <w:szCs w:val="18"/>
          <w:color w:val="auto"/>
        </w:rPr>
        <w:t>The Company accounts for forfeitures as they occur instead of estimating forfeitures at the time of grant and revising those estimates in subsequent periods if actual forfeitures differ from its estimates. Stock-based compensation expense recognized in the financial statements is based on awards for which performance or service conditions are expected to be satisfied.</w:t>
      </w:r>
    </w:p>
    <w:p>
      <w:pPr>
        <w:spacing w:after="0" w:line="175" w:lineRule="exact"/>
        <w:rPr>
          <w:sz w:val="20"/>
          <w:szCs w:val="20"/>
          <w:color w:val="auto"/>
        </w:rPr>
      </w:pPr>
    </w:p>
    <w:p>
      <w:pPr>
        <w:ind w:right="80" w:firstLine="509"/>
        <w:spacing w:after="0" w:line="228" w:lineRule="auto"/>
        <w:rPr>
          <w:sz w:val="20"/>
          <w:szCs w:val="20"/>
          <w:color w:val="auto"/>
        </w:rPr>
      </w:pPr>
      <w:r>
        <w:rPr>
          <w:rFonts w:ascii="Arial" w:cs="Arial" w:eastAsia="Arial" w:hAnsi="Arial"/>
          <w:sz w:val="18"/>
          <w:szCs w:val="18"/>
          <w:color w:val="auto"/>
        </w:rPr>
        <w:t>The Company’s stock-based awards are subject to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the grant date fair value over the requisite service period using the accelerated attribution method to the extent achievement of the performance condition is probable.</w:t>
      </w:r>
    </w:p>
    <w:p>
      <w:pPr>
        <w:spacing w:after="0" w:line="178"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The Company expenses restricted stock unit awards to employees based on the fair value of the award on a straight-line basis over the associated service period of the award.</w:t>
      </w:r>
    </w:p>
    <w:p>
      <w:pPr>
        <w:spacing w:after="0" w:line="170" w:lineRule="exact"/>
        <w:rPr>
          <w:sz w:val="20"/>
          <w:szCs w:val="20"/>
          <w:color w:val="auto"/>
        </w:rPr>
      </w:pPr>
    </w:p>
    <w:p>
      <w:pPr>
        <w:ind w:firstLine="509"/>
        <w:spacing w:after="0" w:line="235" w:lineRule="auto"/>
        <w:rPr>
          <w:sz w:val="20"/>
          <w:szCs w:val="20"/>
          <w:color w:val="auto"/>
        </w:rPr>
      </w:pPr>
      <w:r>
        <w:rPr>
          <w:rFonts w:ascii="Arial" w:cs="Arial" w:eastAsia="Arial" w:hAnsi="Arial"/>
          <w:sz w:val="17"/>
          <w:szCs w:val="17"/>
          <w:color w:val="auto"/>
        </w:rPr>
        <w:t>The Company estimates the fair value of its option awards to employees, directors and non-employees using the Black-Scholes option pricing model, which requires the input of subjective assumptions, including (i) the expected stock price volatility, (ii) the calculation of expected term of the award, (iii) the risk-free interest rate and (iv) expected dividends. Due to the lack of complete company-specific historical and implied volatility data for the full expected term of the stock-based awards, the Company bases its estimate of expected volatility on a representative group of publicly traded companies in addition to its own volatility data. For these analyses, the Company selected companies with comparable characteristics to its own, including enterprise value, risk profiles, position within the industry, and with historical share price information sufficient to meet the expected life of the stock-based awards. The Company computes historical volatility data using the daily closing prices for the selected companies’ shares during the equivalent period of the calculated expected term of the stock-based awards. The Company will continue to apply this process until a sufficient amount of historical information regarding the volatility of its own stock price becomes available. The Company has estimated the expected term of its employee stock options using the “simplified” method, whereby the expected term equals the arithmetic average of the vesting term and the original contractual term of the option, due to its lack of sufficient historical data. The risk-free interest rates for periods within the expected term of the option are based on the U.S. Treasury securities with a maturity date commensurate with the expected term of the associated award. The Company has never paid, and does not expect to pay, dividends in the foreseeable future.</w:t>
      </w:r>
    </w:p>
    <w:p>
      <w:pPr>
        <w:spacing w:after="0" w:line="2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 Costs</w:t>
      </w:r>
    </w:p>
    <w:p>
      <w:pPr>
        <w:spacing w:after="0" w:line="90" w:lineRule="exact"/>
        <w:rPr>
          <w:sz w:val="20"/>
          <w:szCs w:val="20"/>
          <w:color w:val="auto"/>
        </w:rPr>
      </w:pPr>
    </w:p>
    <w:p>
      <w:pPr>
        <w:ind w:right="120" w:firstLine="509"/>
        <w:spacing w:after="0" w:line="274" w:lineRule="auto"/>
        <w:rPr>
          <w:sz w:val="20"/>
          <w:szCs w:val="20"/>
          <w:color w:val="auto"/>
        </w:rPr>
      </w:pPr>
      <w:r>
        <w:rPr>
          <w:rFonts w:ascii="Arial" w:cs="Arial" w:eastAsia="Arial" w:hAnsi="Arial"/>
          <w:sz w:val="17"/>
          <w:szCs w:val="17"/>
          <w:color w:val="auto"/>
        </w:rPr>
        <w:t>Costs to secure and prosecute patent applications and other legal costs related to the protection of the Company’s intellectual property are expensed as incurred and are classified as general and administrative expenses in the Company’s consolidated statements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4" w:name="page165"/>
    <w:bookmarkEnd w:id="164"/>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509"/>
        <w:spacing w:after="0" w:line="225"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or ASC 740, which provides for deferred taxes using an asset and liability approach. Under this method, deferred tax assets and liabilities are determined based on the difference between the financial reporting and tax reporting basis of assets and liabilities and are measured using enacted tax rates and laws that are expected to be in effect when the differences are expected to reverse. Valuation allowances are provided if, based upon the weight of available evidence, it is more likely than not that some or all of the deferred tax assets will not be realized. The Company has evaluated available evidence and concluded that the Company may not realize all the benefit of its deferred tax assets; therefore, a valuation allowance has been established for the amount of the deferred tax assets that the Company does not believe is more likely than not to be realized.</w:t>
      </w:r>
    </w:p>
    <w:p>
      <w:pPr>
        <w:spacing w:after="0" w:line="181" w:lineRule="exact"/>
        <w:rPr>
          <w:sz w:val="20"/>
          <w:szCs w:val="20"/>
          <w:color w:val="auto"/>
        </w:rPr>
      </w:pPr>
    </w:p>
    <w:p>
      <w:pPr>
        <w:ind w:right="20" w:firstLine="509"/>
        <w:spacing w:after="0" w:line="242" w:lineRule="auto"/>
        <w:rPr>
          <w:sz w:val="20"/>
          <w:szCs w:val="20"/>
          <w:color w:val="auto"/>
        </w:rPr>
      </w:pPr>
      <w:r>
        <w:rPr>
          <w:rFonts w:ascii="Arial" w:cs="Arial" w:eastAsia="Arial" w:hAnsi="Arial"/>
          <w:sz w:val="17"/>
          <w:szCs w:val="17"/>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2021 and 2020, the Company does not have any significant uncertain tax positions. The Company’s practice is to recognize interest and/or penalties related to income tax matters in income tax expense. See Note 14 for further details.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Comprehensive income (loss) consists of net income or loss and other comprehensive income (loss). Other comprehensive income (loss) consists of foreign currency translation adjustments and unrealized losses on marketable securities.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04"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auto"/>
        </w:rPr>
        <w:t xml:space="preserve">The Company reviews each legal entity formed by parties related to the Company to determine whether or not the Company has a variable interest in the entity and whether or not the entity would meet the definition of a variable interest entity, or VIE,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or ASC 810. If the entity is a VIE, the Company assesses whether or not the Company is the primary beneficiary of that VIE based on a number of factors, including (i) which party has the power to direct the activities that most significantly affect the VIE’s economic performance, (ii) the parties’ contractual rights and responsibilities pursuant to any contractual agreements and (iii) which party has the obligation to absorb losses or the right to receive benefits from the VIE. If the Company determines it is the primary beneficiary of a VIE, the Company consolidates the financial statements of the VIE into the Company’s consolidated financial statements at the time that determination is made. The Company evaluates whether it continues to be the primary beneficiary of any consolidated VIEs on a quarterly basis. If the Company were to determine that it is no longer the primary beneficiary of a consolidated VIE, or no longer has a variable interest in the VIE, it would deconsolidate the VIE in the period that the determination is made.</w:t>
      </w:r>
    </w:p>
    <w:p>
      <w:pPr>
        <w:spacing w:after="0" w:line="16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If the Company determines it is the primary beneficiary of a VIE that meets the definition of a business, the Company measures the assets, liabilities and noncontrolling interests of the newly consolidated entity at fair value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or ASC 805, at the date the reporting entity first becomes the primary beneficiary.</w:t>
      </w:r>
    </w:p>
    <w:p>
      <w:pPr>
        <w:spacing w:after="0" w:line="182"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In February 2016, Casebia, was formed in the United Kingdom. In March 2016, upon consummation of the joint venture (“JV”), Bayer Healthcare LLC and certain of its affiliates (“Bayer”) and the Company each received a 50% equity interest in the entity in exchange for their contributions to the entity. The Company determined that Casebia was considered a VIE and concluded that it is not the primary beneficiary of the VIE. As such, the Company has not historically consolidated Casebia’s results into the consolidated financial statements.</w:t>
      </w:r>
    </w:p>
    <w:p>
      <w:pPr>
        <w:spacing w:after="0" w:line="188"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As described in Note 9, on December 13, 2019, Casebia became a fully-owned subsidiary and, as a result, the Company consolidated Casebia’s financial results accordingly from that point forward.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Income (Loss) Per Share Attributable to Common Shareholders</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Basic net income (loss) per share is calculated by dividing net income (loss) attributable to common shareholders by the weighted-average number of common shares outstanding during the period. Diluted net income (loss) per share is calculated by dividing the net income (loss) attributable to common shareholders by the weighted-average number of common equivalent shares outstanding for the period, including any dilutive effect from outstanding stock options and restricted stock units using the treasury stock method. See Note 12 for further details.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8" w:right="359" w:bottom="1440" w:gutter="0" w:footer="0" w:header="0"/>
        </w:sectPr>
      </w:pPr>
    </w:p>
    <w:bookmarkStart w:id="165" w:name="page166"/>
    <w:bookmarkEnd w:id="165"/>
    <w:p>
      <w:pPr>
        <w:ind w:left="2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ASU No. 2019-12, Income Taxes (Topic 740): Simplifying the Accounting for Income Taxes</w:t>
      </w:r>
    </w:p>
    <w:p>
      <w:pPr>
        <w:spacing w:after="0" w:line="306"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 or ASU 2019-12</w:t>
      </w:r>
      <w:r>
        <w:rPr>
          <w:rFonts w:ascii="Arial" w:cs="Arial" w:eastAsia="Arial" w:hAnsi="Arial"/>
          <w:sz w:val="17"/>
          <w:szCs w:val="17"/>
          <w:color w:val="auto"/>
        </w:rPr>
        <w:t>, which is intended to simplify the accounting for income taxes. ASU 2019-12 removes certain exceptions to the general principles in Topic 740 and also clarifies and amends existing guidance to improve consistent application. The Company adopted ASU 2019-12 on January 1, 2021. The adoption of ASU 2019-12 did not have a material impact on the Company’s financial position or results of operations upon adoption.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43" w:lineRule="exact"/>
        <w:rPr>
          <w:sz w:val="20"/>
          <w:szCs w:val="20"/>
          <w:color w:val="auto"/>
        </w:rPr>
      </w:pPr>
    </w:p>
    <w:p>
      <w:pPr>
        <w:ind w:right="160" w:firstLine="509"/>
        <w:spacing w:after="0" w:line="291" w:lineRule="auto"/>
        <w:rPr>
          <w:sz w:val="20"/>
          <w:szCs w:val="20"/>
          <w:color w:val="auto"/>
        </w:rPr>
      </w:pPr>
      <w:r>
        <w:rPr>
          <w:rFonts w:ascii="Arial" w:cs="Arial" w:eastAsia="Arial" w:hAnsi="Arial"/>
          <w:sz w:val="17"/>
          <w:szCs w:val="17"/>
          <w:color w:val="auto"/>
        </w:rPr>
        <w:t>A summary of the Company’s cash equivalents and marketable securities as of December 31, 2021 and 2020, which are recorded at fair value (and excludes $405.6 million and $395.1 million of cash at December 31, 2021 and 2020, respectively) is shown below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vMerge w:val="restart"/>
          </w:tcPr>
          <w:p>
            <w:pPr>
              <w:jc w:val="center"/>
              <w:ind w:right="520"/>
              <w:spacing w:after="0"/>
              <w:rPr>
                <w:sz w:val="20"/>
                <w:szCs w:val="20"/>
                <w:color w:val="auto"/>
              </w:rPr>
            </w:pPr>
            <w:r>
              <w:rPr>
                <w:rFonts w:ascii="Arial" w:cs="Arial" w:eastAsia="Arial" w:hAnsi="Arial"/>
                <w:sz w:val="16"/>
                <w:szCs w:val="16"/>
                <w:b w:val="1"/>
                <w:bCs w:val="1"/>
                <w:color w:val="auto"/>
                <w:w w:val="94"/>
              </w:rPr>
              <w:t>Amortized</w:t>
            </w:r>
          </w:p>
        </w:tc>
        <w:tc>
          <w:tcPr>
            <w:tcW w:w="1160" w:type="dxa"/>
            <w:vAlign w:val="bottom"/>
          </w:tcPr>
          <w:p>
            <w:pPr>
              <w:jc w:val="center"/>
              <w:ind w:left="126"/>
              <w:spacing w:after="0"/>
              <w:rPr>
                <w:sz w:val="20"/>
                <w:szCs w:val="20"/>
                <w:color w:val="auto"/>
              </w:rPr>
            </w:pPr>
            <w:r>
              <w:rPr>
                <w:rFonts w:ascii="Arial" w:cs="Arial" w:eastAsia="Arial" w:hAnsi="Arial"/>
                <w:sz w:val="16"/>
                <w:szCs w:val="16"/>
                <w:b w:val="1"/>
                <w:bCs w:val="1"/>
                <w:color w:val="auto"/>
                <w:w w:val="86"/>
              </w:rPr>
              <w:t>Gross</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center"/>
              <w:ind w:right="453"/>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160" w:type="dxa"/>
            <w:vAlign w:val="bottom"/>
            <w:vMerge w:val="restart"/>
          </w:tcPr>
          <w:p>
            <w:pPr>
              <w:jc w:val="center"/>
              <w:ind w:left="146"/>
              <w:spacing w:after="0" w:line="162" w:lineRule="exact"/>
              <w:rPr>
                <w:sz w:val="20"/>
                <w:szCs w:val="20"/>
                <w:color w:val="auto"/>
              </w:rPr>
            </w:pPr>
            <w:r>
              <w:rPr>
                <w:rFonts w:ascii="Arial" w:cs="Arial" w:eastAsia="Arial" w:hAnsi="Arial"/>
                <w:sz w:val="16"/>
                <w:szCs w:val="16"/>
                <w:b w:val="1"/>
                <w:bCs w:val="1"/>
                <w:color w:val="auto"/>
                <w:w w:val="91"/>
              </w:rPr>
              <w:t>Unrealized</w:t>
            </w: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gridSpan w:val="2"/>
            <w:vMerge w:val="restart"/>
          </w:tcPr>
          <w:p>
            <w:pPr>
              <w:jc w:val="center"/>
              <w:ind w:right="453"/>
              <w:spacing w:after="0" w:line="162"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7"/>
                <w:szCs w:val="7"/>
                <w:color w:val="auto"/>
              </w:rPr>
            </w:pPr>
          </w:p>
        </w:tc>
        <w:tc>
          <w:tcPr>
            <w:tcW w:w="1260" w:type="dxa"/>
            <w:vAlign w:val="bottom"/>
            <w:vMerge w:val="restart"/>
          </w:tcPr>
          <w:p>
            <w:pPr>
              <w:jc w:val="right"/>
              <w:ind w:right="339"/>
              <w:spacing w:after="0" w:line="162"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gridSpan w:val="2"/>
            <w:vMerge w:val="restart"/>
          </w:tcPr>
          <w:p>
            <w:pPr>
              <w:jc w:val="center"/>
              <w:ind w:right="520"/>
              <w:spacing w:after="0"/>
              <w:rPr>
                <w:sz w:val="20"/>
                <w:szCs w:val="20"/>
                <w:color w:val="auto"/>
              </w:rPr>
            </w:pPr>
            <w:r>
              <w:rPr>
                <w:rFonts w:ascii="Arial" w:cs="Arial" w:eastAsia="Arial" w:hAnsi="Arial"/>
                <w:sz w:val="16"/>
                <w:szCs w:val="16"/>
                <w:b w:val="1"/>
                <w:bCs w:val="1"/>
                <w:color w:val="auto"/>
                <w:w w:val="84"/>
              </w:rPr>
              <w:t>Cost</w:t>
            </w:r>
          </w:p>
        </w:tc>
        <w:tc>
          <w:tcPr>
            <w:tcW w:w="11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December 31, 2021</w:t>
            </w:r>
          </w:p>
        </w:tc>
        <w:tc>
          <w:tcPr>
            <w:tcW w:w="2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160" w:type="dxa"/>
            <w:vAlign w:val="bottom"/>
            <w:vMerge w:val="restart"/>
          </w:tcPr>
          <w:p>
            <w:pPr>
              <w:jc w:val="center"/>
              <w:ind w:left="146"/>
              <w:spacing w:after="0"/>
              <w:rPr>
                <w:sz w:val="20"/>
                <w:szCs w:val="20"/>
                <w:color w:val="auto"/>
              </w:rPr>
            </w:pPr>
            <w:r>
              <w:rPr>
                <w:rFonts w:ascii="Arial" w:cs="Arial" w:eastAsia="Arial" w:hAnsi="Arial"/>
                <w:sz w:val="16"/>
                <w:szCs w:val="16"/>
                <w:b w:val="1"/>
                <w:bCs w:val="1"/>
                <w:color w:val="auto"/>
                <w:w w:val="94"/>
              </w:rPr>
              <w:t>Gains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vMerge w:val="restart"/>
          </w:tcPr>
          <w:p>
            <w:pPr>
              <w:jc w:val="center"/>
              <w:ind w:right="453"/>
              <w:spacing w:after="0"/>
              <w:rPr>
                <w:sz w:val="20"/>
                <w:szCs w:val="20"/>
                <w:color w:val="auto"/>
              </w:rPr>
            </w:pPr>
            <w:r>
              <w:rPr>
                <w:rFonts w:ascii="Arial" w:cs="Arial" w:eastAsia="Arial" w:hAnsi="Arial"/>
                <w:sz w:val="16"/>
                <w:szCs w:val="16"/>
                <w:b w:val="1"/>
                <w:bCs w:val="1"/>
                <w:color w:val="auto"/>
                <w:w w:val="79"/>
              </w:rPr>
              <w:t>Losses</w:t>
            </w: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700" w:type="dxa"/>
            <w:vAlign w:val="bottom"/>
            <w:tcBorders>
              <w:right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Cash equivalents:</w:t>
            </w:r>
          </w:p>
        </w:tc>
        <w:tc>
          <w:tcPr>
            <w:tcW w:w="2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right w:val="single" w:sz="8" w:color="CFF0FC"/>
            </w:tcBorders>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40" w:type="dxa"/>
            <w:vAlign w:val="bottom"/>
            <w:tcBorders>
              <w:top w:val="single" w:sz="8" w:color="auto"/>
              <w:right w:val="single" w:sz="8" w:color="CFF0FC"/>
            </w:tcBorders>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200" w:type="dxa"/>
            <w:vAlign w:val="bottom"/>
          </w:tcPr>
          <w:p>
            <w:pPr>
              <w:jc w:val="right"/>
              <w:ind w:right="109"/>
              <w:spacing w:after="0"/>
              <w:rPr>
                <w:sz w:val="20"/>
                <w:szCs w:val="20"/>
                <w:color w:val="auto"/>
              </w:rPr>
            </w:pPr>
            <w:r>
              <w:rPr>
                <w:rFonts w:ascii="Arial" w:cs="Arial" w:eastAsia="Arial" w:hAnsi="Arial"/>
                <w:sz w:val="5"/>
                <w:szCs w:val="5"/>
                <w:color w:val="auto"/>
                <w:w w:val="70"/>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507,386</w:t>
            </w:r>
          </w:p>
        </w:tc>
        <w:tc>
          <w:tcPr>
            <w:tcW w:w="240" w:type="dxa"/>
            <w:vAlign w:val="bottom"/>
          </w:tcPr>
          <w:p>
            <w:pPr>
              <w:spacing w:after="0"/>
              <w:rPr>
                <w:sz w:val="16"/>
                <w:szCs w:val="16"/>
                <w:color w:val="auto"/>
              </w:rPr>
            </w:pPr>
          </w:p>
        </w:tc>
        <w:tc>
          <w:tcPr>
            <w:tcW w:w="1160" w:type="dxa"/>
            <w:vAlign w:val="bottom"/>
          </w:tcPr>
          <w:p>
            <w:pPr>
              <w:jc w:val="right"/>
              <w:ind w:right="1026"/>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74"/>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213"/>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507,386</w:t>
            </w:r>
          </w:p>
        </w:tc>
        <w:tc>
          <w:tcPr>
            <w:tcW w:w="0" w:type="dxa"/>
            <w:vAlign w:val="bottom"/>
          </w:tcPr>
          <w:p>
            <w:pPr>
              <w:spacing w:after="0"/>
              <w:rPr>
                <w:sz w:val="1"/>
                <w:szCs w:val="1"/>
                <w:color w:val="auto"/>
              </w:rPr>
            </w:pPr>
          </w:p>
        </w:tc>
      </w:tr>
      <w:tr>
        <w:trPr>
          <w:trHeight w:val="189"/>
        </w:trPr>
        <w:tc>
          <w:tcPr>
            <w:tcW w:w="47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FF0FC"/>
          </w:tcPr>
          <w:p>
            <w:pPr>
              <w:spacing w:after="0"/>
              <w:rPr>
                <w:sz w:val="16"/>
                <w:szCs w:val="16"/>
                <w:color w:val="auto"/>
              </w:rPr>
            </w:pPr>
          </w:p>
        </w:tc>
        <w:tc>
          <w:tcPr>
            <w:tcW w:w="150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spacing w:after="0"/>
              <w:rPr>
                <w:sz w:val="16"/>
                <w:szCs w:val="16"/>
                <w:color w:val="auto"/>
              </w:rPr>
            </w:pPr>
          </w:p>
        </w:tc>
        <w:tc>
          <w:tcPr>
            <w:tcW w:w="5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480" w:type="dxa"/>
            <w:vAlign w:val="bottom"/>
            <w:tcBorders>
              <w:right w:val="single" w:sz="8" w:color="CFF0FC"/>
            </w:tcBorders>
            <w:gridSpan w:val="2"/>
            <w:shd w:val="clear" w:color="auto" w:fill="CFF0FC"/>
          </w:tcPr>
          <w:p>
            <w:pPr>
              <w:jc w:val="right"/>
              <w:ind w:right="213"/>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6"/>
                <w:szCs w:val="16"/>
                <w:color w:val="auto"/>
              </w:rPr>
              <w:t>Certificates of deposit</w:t>
            </w:r>
          </w:p>
        </w:tc>
        <w:tc>
          <w:tcPr>
            <w:tcW w:w="200" w:type="dxa"/>
            <w:vAlign w:val="bottom"/>
          </w:tcPr>
          <w:p>
            <w:pPr>
              <w:spacing w:after="0"/>
              <w:rPr>
                <w:sz w:val="16"/>
                <w:szCs w:val="16"/>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6"/>
                <w:szCs w:val="16"/>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80" w:type="dxa"/>
            <w:vAlign w:val="bottom"/>
            <w:gridSpan w:val="2"/>
          </w:tcPr>
          <w:p>
            <w:pPr>
              <w:jc w:val="right"/>
              <w:ind w:right="21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Commercial paper</w:t>
            </w:r>
          </w:p>
        </w:tc>
        <w:tc>
          <w:tcPr>
            <w:tcW w:w="2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9,997</w:t>
            </w:r>
          </w:p>
        </w:tc>
        <w:tc>
          <w:tcPr>
            <w:tcW w:w="240" w:type="dxa"/>
            <w:vAlign w:val="bottom"/>
            <w:tcBorders>
              <w:right w:val="single" w:sz="8" w:color="CFF0FC"/>
            </w:tcBorders>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tcBorders>
              <w:right w:val="single" w:sz="8" w:color="CFF0FC"/>
            </w:tcBorders>
            <w:gridSpan w:val="2"/>
            <w:shd w:val="clear" w:color="auto" w:fill="CFF0FC"/>
          </w:tcPr>
          <w:p>
            <w:pPr>
              <w:jc w:val="right"/>
              <w:ind w:right="133"/>
              <w:spacing w:after="0"/>
              <w:rPr>
                <w:sz w:val="20"/>
                <w:szCs w:val="20"/>
                <w:color w:val="auto"/>
              </w:rPr>
            </w:pPr>
            <w:r>
              <w:rPr>
                <w:rFonts w:ascii="Arial" w:cs="Arial" w:eastAsia="Arial" w:hAnsi="Arial"/>
                <w:sz w:val="16"/>
                <w:szCs w:val="16"/>
                <w:color w:val="auto"/>
              </w:rPr>
              <w:t>(1 )</w:t>
            </w:r>
          </w:p>
        </w:tc>
        <w:tc>
          <w:tcPr>
            <w:tcW w:w="22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9,996</w:t>
            </w:r>
          </w:p>
        </w:tc>
        <w:tc>
          <w:tcPr>
            <w:tcW w:w="0" w:type="dxa"/>
            <w:vAlign w:val="bottom"/>
          </w:tcPr>
          <w:p>
            <w:pPr>
              <w:spacing w:after="0"/>
              <w:rPr>
                <w:sz w:val="1"/>
                <w:szCs w:val="1"/>
                <w:color w:val="auto"/>
              </w:rPr>
            </w:pPr>
          </w:p>
        </w:tc>
      </w:tr>
      <w:tr>
        <w:trPr>
          <w:trHeight w:val="20"/>
        </w:trPr>
        <w:tc>
          <w:tcPr>
            <w:tcW w:w="470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00" w:type="dxa"/>
            <w:vAlign w:val="bottom"/>
          </w:tcPr>
          <w:p>
            <w:pPr>
              <w:ind w:left="200"/>
              <w:spacing w:after="0" w:line="183" w:lineRule="exact"/>
              <w:rPr>
                <w:sz w:val="20"/>
                <w:szCs w:val="20"/>
                <w:color w:val="auto"/>
              </w:rPr>
            </w:pPr>
            <w:r>
              <w:rPr>
                <w:rFonts w:ascii="Arial" w:cs="Arial" w:eastAsia="Arial" w:hAnsi="Arial"/>
                <w:sz w:val="16"/>
                <w:szCs w:val="16"/>
                <w:color w:val="auto"/>
              </w:rPr>
              <w:t>Total cash equivalents</w:t>
            </w:r>
          </w:p>
        </w:tc>
        <w:tc>
          <w:tcPr>
            <w:tcW w:w="20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517,383</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133"/>
              <w:spacing w:after="0" w:line="183" w:lineRule="exact"/>
              <w:rPr>
                <w:sz w:val="20"/>
                <w:szCs w:val="20"/>
                <w:color w:val="auto"/>
              </w:rPr>
            </w:pPr>
            <w:r>
              <w:rPr>
                <w:rFonts w:ascii="Arial" w:cs="Arial" w:eastAsia="Arial" w:hAnsi="Arial"/>
                <w:sz w:val="16"/>
                <w:szCs w:val="16"/>
                <w:color w:val="auto"/>
              </w:rPr>
              <w:t>(1 )</w:t>
            </w:r>
          </w:p>
        </w:tc>
        <w:tc>
          <w:tcPr>
            <w:tcW w:w="22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517,382</w:t>
            </w:r>
          </w:p>
        </w:tc>
        <w:tc>
          <w:tcPr>
            <w:tcW w:w="0" w:type="dxa"/>
            <w:vAlign w:val="bottom"/>
          </w:tcPr>
          <w:p>
            <w:pPr>
              <w:spacing w:after="0"/>
              <w:rPr>
                <w:sz w:val="1"/>
                <w:szCs w:val="1"/>
                <w:color w:val="auto"/>
              </w:rPr>
            </w:pPr>
          </w:p>
        </w:tc>
      </w:tr>
      <w:tr>
        <w:trPr>
          <w:trHeight w:val="189"/>
        </w:trPr>
        <w:tc>
          <w:tcPr>
            <w:tcW w:w="470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Marketable securities:</w:t>
            </w:r>
          </w:p>
        </w:tc>
        <w:tc>
          <w:tcPr>
            <w:tcW w:w="2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6"/>
                <w:szCs w:val="16"/>
                <w:color w:val="auto"/>
              </w:rPr>
              <w:t>U.S. Treasury securities</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16,238</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6"/>
                <w:szCs w:val="16"/>
                <w:color w:val="auto"/>
              </w:rPr>
              <w:t>(52 )</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16,192</w:t>
            </w:r>
          </w:p>
        </w:tc>
        <w:tc>
          <w:tcPr>
            <w:tcW w:w="0" w:type="dxa"/>
            <w:vAlign w:val="bottom"/>
          </w:tcPr>
          <w:p>
            <w:pPr>
              <w:spacing w:after="0"/>
              <w:rPr>
                <w:sz w:val="1"/>
                <w:szCs w:val="1"/>
                <w:color w:val="auto"/>
              </w:rPr>
            </w:pPr>
          </w:p>
        </w:tc>
      </w:tr>
      <w:tr>
        <w:trPr>
          <w:trHeight w:val="189"/>
        </w:trPr>
        <w:tc>
          <w:tcPr>
            <w:tcW w:w="47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1,173,659</w:t>
            </w:r>
          </w:p>
        </w:tc>
        <w:tc>
          <w:tcPr>
            <w:tcW w:w="240" w:type="dxa"/>
            <w:vAlign w:val="bottom"/>
            <w:tcBorders>
              <w:right w:val="single" w:sz="8" w:color="CFF0FC"/>
            </w:tcBorders>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tcBorders>
              <w:right w:val="single" w:sz="8" w:color="CFF0FC"/>
            </w:tcBorders>
            <w:gridSpan w:val="2"/>
            <w:shd w:val="clear" w:color="auto" w:fill="CFF0FC"/>
          </w:tcPr>
          <w:p>
            <w:pPr>
              <w:jc w:val="right"/>
              <w:ind w:right="133"/>
              <w:spacing w:after="0"/>
              <w:rPr>
                <w:sz w:val="20"/>
                <w:szCs w:val="20"/>
                <w:color w:val="auto"/>
              </w:rPr>
            </w:pPr>
            <w:r>
              <w:rPr>
                <w:rFonts w:ascii="Arial" w:cs="Arial" w:eastAsia="Arial" w:hAnsi="Arial"/>
                <w:sz w:val="16"/>
                <w:szCs w:val="16"/>
                <w:color w:val="auto"/>
              </w:rPr>
              <w:t>(4,903 )</w:t>
            </w:r>
          </w:p>
        </w:tc>
        <w:tc>
          <w:tcPr>
            <w:tcW w:w="22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1,168,766</w:t>
            </w: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6"/>
                <w:szCs w:val="16"/>
                <w:color w:val="auto"/>
              </w:rPr>
              <w:t>Certificates of deposit</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45,164</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80" w:type="dxa"/>
            <w:vAlign w:val="bottom"/>
            <w:gridSpan w:val="2"/>
          </w:tcPr>
          <w:p>
            <w:pPr>
              <w:jc w:val="right"/>
              <w:ind w:right="21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45,164</w:t>
            </w:r>
          </w:p>
        </w:tc>
        <w:tc>
          <w:tcPr>
            <w:tcW w:w="0" w:type="dxa"/>
            <w:vAlign w:val="bottom"/>
          </w:tcPr>
          <w:p>
            <w:pPr>
              <w:spacing w:after="0"/>
              <w:rPr>
                <w:sz w:val="1"/>
                <w:szCs w:val="1"/>
                <w:color w:val="auto"/>
              </w:rPr>
            </w:pPr>
          </w:p>
        </w:tc>
      </w:tr>
      <w:tr>
        <w:trPr>
          <w:trHeight w:val="189"/>
        </w:trPr>
        <w:tc>
          <w:tcPr>
            <w:tcW w:w="47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Government-sponsored enterprise securities</w:t>
            </w:r>
          </w:p>
        </w:tc>
        <w:tc>
          <w:tcPr>
            <w:tcW w:w="2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13,334</w:t>
            </w:r>
          </w:p>
        </w:tc>
        <w:tc>
          <w:tcPr>
            <w:tcW w:w="240" w:type="dxa"/>
            <w:vAlign w:val="bottom"/>
            <w:tcBorders>
              <w:right w:val="single" w:sz="8" w:color="CFF0FC"/>
            </w:tcBorders>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480" w:type="dxa"/>
            <w:vAlign w:val="bottom"/>
            <w:tcBorders>
              <w:right w:val="single" w:sz="8" w:color="CFF0FC"/>
            </w:tcBorders>
            <w:gridSpan w:val="2"/>
            <w:shd w:val="clear" w:color="auto" w:fill="CFF0FC"/>
          </w:tcPr>
          <w:p>
            <w:pPr>
              <w:jc w:val="right"/>
              <w:ind w:right="133"/>
              <w:spacing w:after="0"/>
              <w:rPr>
                <w:sz w:val="20"/>
                <w:szCs w:val="20"/>
                <w:color w:val="auto"/>
              </w:rPr>
            </w:pPr>
            <w:r>
              <w:rPr>
                <w:rFonts w:ascii="Arial" w:cs="Arial" w:eastAsia="Arial" w:hAnsi="Arial"/>
                <w:sz w:val="16"/>
                <w:szCs w:val="16"/>
                <w:color w:val="auto"/>
              </w:rPr>
              <w:t>(77 )</w:t>
            </w:r>
          </w:p>
        </w:tc>
        <w:tc>
          <w:tcPr>
            <w:tcW w:w="22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13,257</w:t>
            </w: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6"/>
                <w:szCs w:val="16"/>
                <w:color w:val="auto"/>
              </w:rPr>
              <w:t>Commercial paper</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212,805</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80" w:type="dxa"/>
            <w:vAlign w:val="bottom"/>
            <w:gridSpan w:val="2"/>
          </w:tcPr>
          <w:p>
            <w:pPr>
              <w:jc w:val="right"/>
              <w:ind w:right="133"/>
              <w:spacing w:after="0"/>
              <w:rPr>
                <w:sz w:val="20"/>
                <w:szCs w:val="20"/>
                <w:color w:val="auto"/>
              </w:rPr>
            </w:pPr>
            <w:r>
              <w:rPr>
                <w:rFonts w:ascii="Arial" w:cs="Arial" w:eastAsia="Arial" w:hAnsi="Arial"/>
                <w:sz w:val="16"/>
                <w:szCs w:val="16"/>
                <w:color w:val="auto"/>
              </w:rPr>
              <w:t>(86 )</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212,719</w:t>
            </w:r>
          </w:p>
        </w:tc>
        <w:tc>
          <w:tcPr>
            <w:tcW w:w="0" w:type="dxa"/>
            <w:vAlign w:val="bottom"/>
          </w:tcPr>
          <w:p>
            <w:pPr>
              <w:spacing w:after="0"/>
              <w:rPr>
                <w:sz w:val="1"/>
                <w:szCs w:val="1"/>
                <w:color w:val="auto"/>
              </w:rPr>
            </w:pPr>
          </w:p>
        </w:tc>
      </w:tr>
      <w:tr>
        <w:trPr>
          <w:trHeight w:val="183"/>
        </w:trPr>
        <w:tc>
          <w:tcPr>
            <w:tcW w:w="4700" w:type="dxa"/>
            <w:vAlign w:val="bottom"/>
            <w:tcBorders>
              <w:bottom w:val="single" w:sz="8" w:color="CFF0FC"/>
              <w:right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marketable securities</w:t>
            </w: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26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1,461,200</w:t>
            </w: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160" w:type="dxa"/>
            <w:vAlign w:val="bottom"/>
            <w:tcBorders>
              <w:top w:val="single" w:sz="8" w:color="auto"/>
              <w:bottom w:val="single" w:sz="8" w:color="auto"/>
            </w:tcBorders>
            <w:shd w:val="clear" w:color="auto" w:fill="CFF0FC"/>
          </w:tcPr>
          <w:p>
            <w:pPr>
              <w:spacing w:after="0"/>
              <w:rPr>
                <w:sz w:val="15"/>
                <w:szCs w:val="15"/>
                <w:color w:val="auto"/>
              </w:rPr>
            </w:pPr>
          </w:p>
        </w:tc>
        <w:tc>
          <w:tcPr>
            <w:tcW w:w="30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24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(5,118</w:t>
            </w:r>
          </w:p>
        </w:tc>
        <w:tc>
          <w:tcPr>
            <w:tcW w:w="240" w:type="dxa"/>
            <w:vAlign w:val="bottom"/>
            <w:tcBorders>
              <w:bottom w:val="single" w:sz="8" w:color="CFF0FC"/>
              <w:right w:val="single" w:sz="8" w:color="CFF0FC"/>
            </w:tcBorders>
            <w:shd w:val="clear" w:color="auto" w:fill="CFF0FC"/>
          </w:tcPr>
          <w:p>
            <w:pPr>
              <w:jc w:val="right"/>
              <w:ind w:right="133"/>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260" w:type="dxa"/>
            <w:vAlign w:val="bottom"/>
            <w:tcBorders>
              <w:top w:val="single" w:sz="8" w:color="auto"/>
              <w:bottom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1,456,098</w:t>
            </w:r>
          </w:p>
        </w:tc>
        <w:tc>
          <w:tcPr>
            <w:tcW w:w="0" w:type="dxa"/>
            <w:vAlign w:val="bottom"/>
          </w:tcPr>
          <w:p>
            <w:pPr>
              <w:spacing w:after="0"/>
              <w:rPr>
                <w:sz w:val="1"/>
                <w:szCs w:val="1"/>
                <w:color w:val="auto"/>
              </w:rPr>
            </w:pPr>
          </w:p>
        </w:tc>
      </w:tr>
      <w:tr>
        <w:trPr>
          <w:trHeight w:val="183"/>
        </w:trPr>
        <w:tc>
          <w:tcPr>
            <w:tcW w:w="4700" w:type="dxa"/>
            <w:vAlign w:val="bottom"/>
          </w:tcPr>
          <w:p>
            <w:pPr>
              <w:ind w:left="200"/>
              <w:spacing w:after="0" w:line="169" w:lineRule="exact"/>
              <w:rPr>
                <w:sz w:val="20"/>
                <w:szCs w:val="20"/>
                <w:color w:val="auto"/>
              </w:rPr>
            </w:pPr>
            <w:r>
              <w:rPr>
                <w:rFonts w:ascii="Arial" w:cs="Arial" w:eastAsia="Arial" w:hAnsi="Arial"/>
                <w:sz w:val="16"/>
                <w:szCs w:val="16"/>
                <w:color w:val="auto"/>
              </w:rPr>
              <w:t>Total cash equivalents and marketable securities</w:t>
            </w:r>
          </w:p>
        </w:tc>
        <w:tc>
          <w:tcPr>
            <w:tcW w:w="200" w:type="dxa"/>
            <w:vAlign w:val="bottom"/>
          </w:tcPr>
          <w:p>
            <w:pPr>
              <w:jc w:val="right"/>
              <w:ind w:right="109"/>
              <w:spacing w:after="0"/>
              <w:rPr>
                <w:sz w:val="20"/>
                <w:szCs w:val="20"/>
                <w:color w:val="auto"/>
              </w:rPr>
            </w:pPr>
            <w:r>
              <w:rPr>
                <w:rFonts w:ascii="Arial" w:cs="Arial" w:eastAsia="Arial" w:hAnsi="Arial"/>
                <w:sz w:val="5"/>
                <w:szCs w:val="5"/>
                <w:color w:val="auto"/>
                <w:w w:val="70"/>
              </w:rPr>
              <w:t>$</w:t>
            </w:r>
          </w:p>
        </w:tc>
        <w:tc>
          <w:tcPr>
            <w:tcW w:w="1260" w:type="dxa"/>
            <w:vAlign w:val="bottom"/>
          </w:tcPr>
          <w:p>
            <w:pPr>
              <w:jc w:val="right"/>
              <w:spacing w:after="0" w:line="169" w:lineRule="exact"/>
              <w:rPr>
                <w:sz w:val="20"/>
                <w:szCs w:val="20"/>
                <w:color w:val="auto"/>
              </w:rPr>
            </w:pPr>
            <w:r>
              <w:rPr>
                <w:rFonts w:ascii="Arial" w:cs="Arial" w:eastAsia="Arial" w:hAnsi="Arial"/>
                <w:sz w:val="16"/>
                <w:szCs w:val="16"/>
                <w:color w:val="auto"/>
              </w:rPr>
              <w:t>1,978,583</w:t>
            </w:r>
          </w:p>
        </w:tc>
        <w:tc>
          <w:tcPr>
            <w:tcW w:w="240" w:type="dxa"/>
            <w:vAlign w:val="bottom"/>
          </w:tcPr>
          <w:p>
            <w:pPr>
              <w:spacing w:after="0"/>
              <w:rPr>
                <w:sz w:val="15"/>
                <w:szCs w:val="15"/>
                <w:color w:val="auto"/>
              </w:rPr>
            </w:pPr>
          </w:p>
        </w:tc>
        <w:tc>
          <w:tcPr>
            <w:tcW w:w="1160" w:type="dxa"/>
            <w:vAlign w:val="bottom"/>
          </w:tcPr>
          <w:p>
            <w:pPr>
              <w:jc w:val="right"/>
              <w:ind w:right="1026"/>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line="169" w:lineRule="exact"/>
              <w:rPr>
                <w:sz w:val="20"/>
                <w:szCs w:val="20"/>
                <w:color w:val="auto"/>
              </w:rPr>
            </w:pPr>
            <w:r>
              <w:rPr>
                <w:rFonts w:ascii="Arial" w:cs="Arial" w:eastAsia="Arial" w:hAnsi="Arial"/>
                <w:sz w:val="16"/>
                <w:szCs w:val="16"/>
                <w:color w:val="auto"/>
              </w:rPr>
              <w:t>16</w:t>
            </w:r>
          </w:p>
        </w:tc>
        <w:tc>
          <w:tcPr>
            <w:tcW w:w="220" w:type="dxa"/>
            <w:vAlign w:val="bottom"/>
          </w:tcPr>
          <w:p>
            <w:pPr>
              <w:spacing w:after="0"/>
              <w:rPr>
                <w:sz w:val="15"/>
                <w:szCs w:val="15"/>
                <w:color w:val="auto"/>
              </w:rPr>
            </w:pPr>
          </w:p>
        </w:tc>
        <w:tc>
          <w:tcPr>
            <w:tcW w:w="200" w:type="dxa"/>
            <w:vAlign w:val="bottom"/>
          </w:tcPr>
          <w:p>
            <w:pPr>
              <w:jc w:val="right"/>
              <w:ind w:right="74"/>
              <w:spacing w:after="0"/>
              <w:rPr>
                <w:sz w:val="20"/>
                <w:szCs w:val="20"/>
                <w:color w:val="auto"/>
              </w:rPr>
            </w:pPr>
            <w:r>
              <w:rPr>
                <w:rFonts w:ascii="Arial" w:cs="Arial" w:eastAsia="Arial" w:hAnsi="Arial"/>
                <w:sz w:val="10"/>
                <w:szCs w:val="10"/>
                <w:color w:val="auto"/>
                <w:w w:val="71"/>
              </w:rPr>
              <w:t>$</w:t>
            </w:r>
          </w:p>
        </w:tc>
        <w:tc>
          <w:tcPr>
            <w:tcW w:w="1480" w:type="dxa"/>
            <w:vAlign w:val="bottom"/>
            <w:gridSpan w:val="2"/>
          </w:tcPr>
          <w:p>
            <w:pPr>
              <w:jc w:val="right"/>
              <w:ind w:right="133"/>
              <w:spacing w:after="0" w:line="169" w:lineRule="exact"/>
              <w:rPr>
                <w:sz w:val="20"/>
                <w:szCs w:val="20"/>
                <w:color w:val="auto"/>
              </w:rPr>
            </w:pPr>
            <w:r>
              <w:rPr>
                <w:rFonts w:ascii="Arial" w:cs="Arial" w:eastAsia="Arial" w:hAnsi="Arial"/>
                <w:sz w:val="16"/>
                <w:szCs w:val="16"/>
                <w:color w:val="auto"/>
              </w:rPr>
              <w:t>(5,119 )</w:t>
            </w:r>
          </w:p>
        </w:tc>
        <w:tc>
          <w:tcPr>
            <w:tcW w:w="220" w:type="dxa"/>
            <w:vAlign w:val="bottom"/>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69" w:lineRule="exact"/>
              <w:rPr>
                <w:sz w:val="20"/>
                <w:szCs w:val="20"/>
                <w:color w:val="auto"/>
              </w:rPr>
            </w:pPr>
            <w:r>
              <w:rPr>
                <w:rFonts w:ascii="Arial" w:cs="Arial" w:eastAsia="Arial" w:hAnsi="Arial"/>
                <w:sz w:val="16"/>
                <w:szCs w:val="16"/>
                <w:color w:val="auto"/>
              </w:rPr>
              <w:t>1,973,480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94"/>
              </w:rPr>
              <w:t>Amortized</w:t>
            </w:r>
          </w:p>
        </w:tc>
        <w:tc>
          <w:tcPr>
            <w:tcW w:w="1160" w:type="dxa"/>
            <w:vAlign w:val="bottom"/>
          </w:tcPr>
          <w:p>
            <w:pPr>
              <w:jc w:val="center"/>
              <w:ind w:left="206"/>
              <w:spacing w:after="0"/>
              <w:rPr>
                <w:sz w:val="20"/>
                <w:szCs w:val="20"/>
                <w:color w:val="auto"/>
              </w:rPr>
            </w:pPr>
            <w:r>
              <w:rPr>
                <w:rFonts w:ascii="Arial" w:cs="Arial" w:eastAsia="Arial" w:hAnsi="Arial"/>
                <w:sz w:val="16"/>
                <w:szCs w:val="16"/>
                <w:b w:val="1"/>
                <w:bCs w:val="1"/>
                <w:color w:val="auto"/>
                <w:w w:val="86"/>
              </w:rPr>
              <w:t>Gross</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373"/>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160" w:type="dxa"/>
            <w:vAlign w:val="bottom"/>
            <w:vMerge w:val="restart"/>
          </w:tcPr>
          <w:p>
            <w:pPr>
              <w:jc w:val="center"/>
              <w:ind w:left="206"/>
              <w:spacing w:after="0" w:line="162" w:lineRule="exact"/>
              <w:rPr>
                <w:sz w:val="20"/>
                <w:szCs w:val="20"/>
                <w:color w:val="auto"/>
              </w:rPr>
            </w:pPr>
            <w:r>
              <w:rPr>
                <w:rFonts w:ascii="Arial" w:cs="Arial" w:eastAsia="Arial" w:hAnsi="Arial"/>
                <w:sz w:val="16"/>
                <w:szCs w:val="16"/>
                <w:b w:val="1"/>
                <w:bCs w:val="1"/>
                <w:color w:val="auto"/>
                <w:w w:val="93"/>
              </w:rPr>
              <w:t>Unrealized</w:t>
            </w: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gridSpan w:val="2"/>
            <w:vMerge w:val="restart"/>
          </w:tcPr>
          <w:p>
            <w:pPr>
              <w:jc w:val="center"/>
              <w:ind w:right="373"/>
              <w:spacing w:after="0" w:line="162" w:lineRule="exact"/>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7"/>
                <w:szCs w:val="7"/>
                <w:color w:val="auto"/>
              </w:rPr>
            </w:pPr>
          </w:p>
        </w:tc>
        <w:tc>
          <w:tcPr>
            <w:tcW w:w="1260" w:type="dxa"/>
            <w:vAlign w:val="bottom"/>
            <w:vMerge w:val="restart"/>
          </w:tcPr>
          <w:p>
            <w:pPr>
              <w:jc w:val="right"/>
              <w:ind w:right="319"/>
              <w:spacing w:after="0" w:line="162" w:lineRule="exact"/>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00" w:type="dxa"/>
            <w:vAlign w:val="bottom"/>
            <w:gridSpan w:val="2"/>
            <w:vMerge w:val="restart"/>
          </w:tcPr>
          <w:p>
            <w:pPr>
              <w:jc w:val="center"/>
              <w:ind w:right="460"/>
              <w:spacing w:after="0"/>
              <w:rPr>
                <w:sz w:val="20"/>
                <w:szCs w:val="20"/>
                <w:color w:val="auto"/>
              </w:rPr>
            </w:pPr>
            <w:r>
              <w:rPr>
                <w:rFonts w:ascii="Arial" w:cs="Arial" w:eastAsia="Arial" w:hAnsi="Arial"/>
                <w:sz w:val="16"/>
                <w:szCs w:val="16"/>
                <w:b w:val="1"/>
                <w:bCs w:val="1"/>
                <w:color w:val="auto"/>
                <w:w w:val="89"/>
              </w:rPr>
              <w:t>Cost</w:t>
            </w:r>
          </w:p>
        </w:tc>
        <w:tc>
          <w:tcPr>
            <w:tcW w:w="11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December 31, 2020</w:t>
            </w:r>
          </w:p>
        </w:tc>
        <w:tc>
          <w:tcPr>
            <w:tcW w:w="2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160" w:type="dxa"/>
            <w:vAlign w:val="bottom"/>
            <w:vMerge w:val="restart"/>
          </w:tcPr>
          <w:p>
            <w:pPr>
              <w:jc w:val="center"/>
              <w:ind w:left="206"/>
              <w:spacing w:after="0"/>
              <w:rPr>
                <w:sz w:val="20"/>
                <w:szCs w:val="20"/>
                <w:color w:val="auto"/>
              </w:rPr>
            </w:pPr>
            <w:r>
              <w:rPr>
                <w:rFonts w:ascii="Arial" w:cs="Arial" w:eastAsia="Arial" w:hAnsi="Arial"/>
                <w:sz w:val="16"/>
                <w:szCs w:val="16"/>
                <w:b w:val="1"/>
                <w:bCs w:val="1"/>
                <w:color w:val="auto"/>
                <w:w w:val="89"/>
              </w:rPr>
              <w:t>Gains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vMerge w:val="restart"/>
          </w:tcPr>
          <w:p>
            <w:pPr>
              <w:jc w:val="center"/>
              <w:ind w:right="373"/>
              <w:spacing w:after="0"/>
              <w:rPr>
                <w:sz w:val="20"/>
                <w:szCs w:val="20"/>
                <w:color w:val="auto"/>
              </w:rPr>
            </w:pPr>
            <w:r>
              <w:rPr>
                <w:rFonts w:ascii="Arial" w:cs="Arial" w:eastAsia="Arial" w:hAnsi="Arial"/>
                <w:sz w:val="16"/>
                <w:szCs w:val="16"/>
                <w:b w:val="1"/>
                <w:bCs w:val="1"/>
                <w:color w:val="auto"/>
                <w:w w:val="79"/>
              </w:rPr>
              <w:t>Losses</w:t>
            </w: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47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1"/>
        </w:trPr>
        <w:tc>
          <w:tcPr>
            <w:tcW w:w="470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742,958</w:t>
            </w:r>
          </w:p>
        </w:tc>
        <w:tc>
          <w:tcPr>
            <w:tcW w:w="240" w:type="dxa"/>
            <w:vAlign w:val="bottom"/>
            <w:tcBorders>
              <w:right w:val="single" w:sz="8" w:color="CFF0FC"/>
            </w:tcBorders>
            <w:shd w:val="clear" w:color="auto" w:fill="CFF0FC"/>
          </w:tcPr>
          <w:p>
            <w:pPr>
              <w:spacing w:after="0"/>
              <w:rPr>
                <w:sz w:val="16"/>
                <w:szCs w:val="16"/>
                <w:color w:val="auto"/>
              </w:rPr>
            </w:pPr>
          </w:p>
        </w:tc>
        <w:tc>
          <w:tcPr>
            <w:tcW w:w="1160" w:type="dxa"/>
            <w:vAlign w:val="bottom"/>
            <w:shd w:val="clear" w:color="auto" w:fill="CFF0FC"/>
          </w:tcPr>
          <w:p>
            <w:pPr>
              <w:jc w:val="right"/>
              <w:ind w:right="1006"/>
              <w:spacing w:after="0"/>
              <w:rPr>
                <w:sz w:val="20"/>
                <w:szCs w:val="20"/>
                <w:color w:val="auto"/>
              </w:rPr>
            </w:pPr>
            <w:r>
              <w:rPr>
                <w:rFonts w:ascii="Arial" w:cs="Arial" w:eastAsia="Arial" w:hAnsi="Arial"/>
                <w:sz w:val="15"/>
                <w:szCs w:val="15"/>
                <w:color w:val="auto"/>
                <w:w w:val="71"/>
              </w:rPr>
              <w:t>$</w:t>
            </w:r>
          </w:p>
        </w:tc>
        <w:tc>
          <w:tcPr>
            <w:tcW w:w="5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ind w:right="34"/>
              <w:spacing w:after="0"/>
              <w:rPr>
                <w:sz w:val="20"/>
                <w:szCs w:val="20"/>
                <w:color w:val="auto"/>
              </w:rPr>
            </w:pPr>
            <w:r>
              <w:rPr>
                <w:rFonts w:ascii="Arial" w:cs="Arial" w:eastAsia="Arial" w:hAnsi="Arial"/>
                <w:sz w:val="16"/>
                <w:szCs w:val="16"/>
                <w:color w:val="auto"/>
                <w:w w:val="89"/>
              </w:rPr>
              <w:t>$</w:t>
            </w:r>
          </w:p>
        </w:tc>
        <w:tc>
          <w:tcPr>
            <w:tcW w:w="1480" w:type="dxa"/>
            <w:vAlign w:val="bottom"/>
            <w:tcBorders>
              <w:right w:val="single" w:sz="8" w:color="CFF0FC"/>
            </w:tcBorders>
            <w:gridSpan w:val="2"/>
            <w:shd w:val="clear" w:color="auto" w:fill="CFF0FC"/>
          </w:tcPr>
          <w:p>
            <w:pPr>
              <w:jc w:val="right"/>
              <w:ind w:right="193"/>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742,958</w:t>
            </w: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2,526</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113"/>
              <w:spacing w:after="0"/>
              <w:rPr>
                <w:sz w:val="20"/>
                <w:szCs w:val="20"/>
                <w:color w:val="auto"/>
              </w:rPr>
            </w:pPr>
            <w:r>
              <w:rPr>
                <w:rFonts w:ascii="Arial" w:cs="Arial" w:eastAsia="Arial" w:hAnsi="Arial"/>
                <w:sz w:val="16"/>
                <w:szCs w:val="16"/>
                <w:color w:val="auto"/>
              </w:rPr>
              <w:t>(24 )</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2,503</w:t>
            </w:r>
          </w:p>
        </w:tc>
        <w:tc>
          <w:tcPr>
            <w:tcW w:w="0" w:type="dxa"/>
            <w:vAlign w:val="bottom"/>
          </w:tcPr>
          <w:p>
            <w:pPr>
              <w:spacing w:after="0"/>
              <w:rPr>
                <w:sz w:val="1"/>
                <w:szCs w:val="1"/>
                <w:color w:val="auto"/>
              </w:rPr>
            </w:pPr>
          </w:p>
        </w:tc>
      </w:tr>
      <w:tr>
        <w:trPr>
          <w:trHeight w:val="189"/>
        </w:trPr>
        <w:tc>
          <w:tcPr>
            <w:tcW w:w="47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Certificates of deposit</w:t>
            </w:r>
          </w:p>
        </w:tc>
        <w:tc>
          <w:tcPr>
            <w:tcW w:w="2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12,527</w:t>
            </w:r>
          </w:p>
        </w:tc>
        <w:tc>
          <w:tcPr>
            <w:tcW w:w="240" w:type="dxa"/>
            <w:vAlign w:val="bottom"/>
            <w:tcBorders>
              <w:right w:val="single" w:sz="8" w:color="CFF0FC"/>
            </w:tcBorders>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480" w:type="dxa"/>
            <w:vAlign w:val="bottom"/>
            <w:tcBorders>
              <w:right w:val="single" w:sz="8" w:color="CFF0FC"/>
            </w:tcBorders>
            <w:gridSpan w:val="2"/>
            <w:shd w:val="clear" w:color="auto" w:fill="CFF0FC"/>
          </w:tcPr>
          <w:p>
            <w:pPr>
              <w:jc w:val="right"/>
              <w:ind w:right="193"/>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12,527</w:t>
            </w: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6"/>
                <w:szCs w:val="16"/>
                <w:color w:val="auto"/>
              </w:rPr>
              <w:t>Commercial paper</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15,549</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480" w:type="dxa"/>
            <w:vAlign w:val="bottom"/>
            <w:gridSpan w:val="2"/>
          </w:tcPr>
          <w:p>
            <w:pPr>
              <w:jc w:val="right"/>
              <w:ind w:right="193"/>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15,549</w:t>
            </w:r>
          </w:p>
        </w:tc>
        <w:tc>
          <w:tcPr>
            <w:tcW w:w="0" w:type="dxa"/>
            <w:vAlign w:val="bottom"/>
          </w:tcPr>
          <w:p>
            <w:pPr>
              <w:spacing w:after="0"/>
              <w:rPr>
                <w:sz w:val="1"/>
                <w:szCs w:val="1"/>
                <w:color w:val="auto"/>
              </w:rPr>
            </w:pPr>
          </w:p>
        </w:tc>
      </w:tr>
      <w:tr>
        <w:trPr>
          <w:trHeight w:val="183"/>
        </w:trPr>
        <w:tc>
          <w:tcPr>
            <w:tcW w:w="4700" w:type="dxa"/>
            <w:vAlign w:val="bottom"/>
            <w:tcBorders>
              <w:right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cash equivalents</w:t>
            </w:r>
          </w:p>
        </w:tc>
        <w:tc>
          <w:tcPr>
            <w:tcW w:w="20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773,560</w:t>
            </w:r>
          </w:p>
        </w:tc>
        <w:tc>
          <w:tcPr>
            <w:tcW w:w="240" w:type="dxa"/>
            <w:vAlign w:val="bottom"/>
            <w:tcBorders>
              <w:right w:val="single" w:sz="8" w:color="CFF0FC"/>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22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24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w:t>
            </w:r>
          </w:p>
        </w:tc>
        <w:tc>
          <w:tcPr>
            <w:tcW w:w="240" w:type="dxa"/>
            <w:vAlign w:val="bottom"/>
            <w:tcBorders>
              <w:right w:val="single" w:sz="8" w:color="CFF0FC"/>
            </w:tcBorders>
            <w:shd w:val="clear" w:color="auto" w:fill="CFF0FC"/>
          </w:tcPr>
          <w:p>
            <w:pPr>
              <w:jc w:val="right"/>
              <w:ind w:right="113"/>
              <w:spacing w:after="0" w:line="183" w:lineRule="exact"/>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spacing w:after="0"/>
              <w:rPr>
                <w:sz w:val="15"/>
                <w:szCs w:val="15"/>
                <w:color w:val="auto"/>
              </w:rPr>
            </w:pPr>
          </w:p>
        </w:tc>
        <w:tc>
          <w:tcPr>
            <w:tcW w:w="1260" w:type="dxa"/>
            <w:vAlign w:val="bottom"/>
            <w:tcBorders>
              <w:top w:val="single" w:sz="8" w:color="auto"/>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773,537</w:t>
            </w: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U.S. Treasury securities</w:t>
            </w:r>
          </w:p>
        </w:tc>
        <w:tc>
          <w:tcPr>
            <w:tcW w:w="2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47,976</w:t>
            </w:r>
          </w:p>
        </w:tc>
        <w:tc>
          <w:tcPr>
            <w:tcW w:w="240" w:type="dxa"/>
            <w:vAlign w:val="bottom"/>
            <w:tcBorders>
              <w:right w:val="single" w:sz="8" w:color="CFF0FC"/>
            </w:tcBorders>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80" w:type="dxa"/>
            <w:vAlign w:val="bottom"/>
            <w:tcBorders>
              <w:right w:val="single" w:sz="8" w:color="CFF0FC"/>
            </w:tcBorders>
            <w:gridSpan w:val="2"/>
            <w:shd w:val="clear" w:color="auto" w:fill="CFF0FC"/>
          </w:tcPr>
          <w:p>
            <w:pPr>
              <w:jc w:val="right"/>
              <w:ind w:right="193"/>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47,979</w:t>
            </w: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324,569</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113"/>
              <w:spacing w:after="0"/>
              <w:rPr>
                <w:sz w:val="20"/>
                <w:szCs w:val="20"/>
                <w:color w:val="auto"/>
              </w:rPr>
            </w:pPr>
            <w:r>
              <w:rPr>
                <w:rFonts w:ascii="Arial" w:cs="Arial" w:eastAsia="Arial" w:hAnsi="Arial"/>
                <w:sz w:val="16"/>
                <w:szCs w:val="16"/>
                <w:color w:val="auto"/>
              </w:rPr>
              <w:t>(156 )</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324,456</w:t>
            </w:r>
          </w:p>
        </w:tc>
        <w:tc>
          <w:tcPr>
            <w:tcW w:w="0" w:type="dxa"/>
            <w:vAlign w:val="bottom"/>
          </w:tcPr>
          <w:p>
            <w:pPr>
              <w:spacing w:after="0"/>
              <w:rPr>
                <w:sz w:val="1"/>
                <w:szCs w:val="1"/>
                <w:color w:val="auto"/>
              </w:rPr>
            </w:pPr>
          </w:p>
        </w:tc>
      </w:tr>
      <w:tr>
        <w:trPr>
          <w:trHeight w:val="189"/>
        </w:trPr>
        <w:tc>
          <w:tcPr>
            <w:tcW w:w="4700" w:type="dxa"/>
            <w:vAlign w:val="bottom"/>
            <w:tcBorders>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Certificates of deposit</w:t>
            </w:r>
          </w:p>
        </w:tc>
        <w:tc>
          <w:tcPr>
            <w:tcW w:w="20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25,162</w:t>
            </w:r>
          </w:p>
        </w:tc>
        <w:tc>
          <w:tcPr>
            <w:tcW w:w="240" w:type="dxa"/>
            <w:vAlign w:val="bottom"/>
            <w:tcBorders>
              <w:right w:val="single" w:sz="8" w:color="CFF0FC"/>
            </w:tcBorders>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5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480" w:type="dxa"/>
            <w:vAlign w:val="bottom"/>
            <w:tcBorders>
              <w:right w:val="single" w:sz="8" w:color="CFF0FC"/>
            </w:tcBorders>
            <w:gridSpan w:val="2"/>
            <w:shd w:val="clear" w:color="auto" w:fill="CFF0FC"/>
          </w:tcPr>
          <w:p>
            <w:pPr>
              <w:jc w:val="right"/>
              <w:ind w:right="193"/>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25,162</w:t>
            </w:r>
          </w:p>
        </w:tc>
        <w:tc>
          <w:tcPr>
            <w:tcW w:w="0" w:type="dxa"/>
            <w:vAlign w:val="bottom"/>
          </w:tcPr>
          <w:p>
            <w:pPr>
              <w:spacing w:after="0"/>
              <w:rPr>
                <w:sz w:val="1"/>
                <w:szCs w:val="1"/>
                <w:color w:val="auto"/>
              </w:rPr>
            </w:pPr>
          </w:p>
        </w:tc>
      </w:tr>
      <w:tr>
        <w:trPr>
          <w:trHeight w:val="189"/>
        </w:trPr>
        <w:tc>
          <w:tcPr>
            <w:tcW w:w="4700" w:type="dxa"/>
            <w:vAlign w:val="bottom"/>
          </w:tcPr>
          <w:p>
            <w:pPr>
              <w:ind w:left="120"/>
              <w:spacing w:after="0"/>
              <w:rPr>
                <w:sz w:val="20"/>
                <w:szCs w:val="20"/>
                <w:color w:val="auto"/>
              </w:rPr>
            </w:pPr>
            <w:r>
              <w:rPr>
                <w:rFonts w:ascii="Arial" w:cs="Arial" w:eastAsia="Arial" w:hAnsi="Arial"/>
                <w:sz w:val="16"/>
                <w:szCs w:val="16"/>
                <w:color w:val="auto"/>
              </w:rPr>
              <w:t>Government-sponsored enterprise securities</w:t>
            </w: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33,738</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113"/>
              <w:spacing w:after="0"/>
              <w:rPr>
                <w:sz w:val="20"/>
                <w:szCs w:val="20"/>
                <w:color w:val="auto"/>
              </w:rPr>
            </w:pPr>
            <w:r>
              <w:rPr>
                <w:rFonts w:ascii="Arial" w:cs="Arial" w:eastAsia="Arial" w:hAnsi="Arial"/>
                <w:sz w:val="16"/>
                <w:szCs w:val="16"/>
                <w:color w:val="auto"/>
              </w:rPr>
              <w:t>(2 )</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33,741</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CFF0FC"/>
              <w:right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Commercial paper</w:t>
            </w:r>
          </w:p>
        </w:tc>
        <w:tc>
          <w:tcPr>
            <w:tcW w:w="2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90,375</w:t>
            </w:r>
          </w:p>
        </w:tc>
        <w:tc>
          <w:tcPr>
            <w:tcW w:w="240" w:type="dxa"/>
            <w:vAlign w:val="bottom"/>
            <w:tcBorders>
              <w:bottom w:val="single" w:sz="8" w:color="CFF0FC"/>
              <w:right w:val="single" w:sz="8" w:color="CFF0FC"/>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right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right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90,375</w:t>
            </w:r>
          </w:p>
        </w:tc>
        <w:tc>
          <w:tcPr>
            <w:tcW w:w="0" w:type="dxa"/>
            <w:vAlign w:val="bottom"/>
          </w:tcPr>
          <w:p>
            <w:pPr>
              <w:spacing w:after="0"/>
              <w:rPr>
                <w:sz w:val="1"/>
                <w:szCs w:val="1"/>
                <w:color w:val="auto"/>
              </w:rPr>
            </w:pPr>
          </w:p>
        </w:tc>
      </w:tr>
      <w:tr>
        <w:trPr>
          <w:trHeight w:val="183"/>
        </w:trPr>
        <w:tc>
          <w:tcPr>
            <w:tcW w:w="4700" w:type="dxa"/>
            <w:vAlign w:val="bottom"/>
          </w:tcPr>
          <w:p>
            <w:pPr>
              <w:ind w:left="200"/>
              <w:spacing w:after="0" w:line="183" w:lineRule="exact"/>
              <w:rPr>
                <w:sz w:val="20"/>
                <w:szCs w:val="20"/>
                <w:color w:val="auto"/>
              </w:rPr>
            </w:pPr>
            <w:r>
              <w:rPr>
                <w:rFonts w:ascii="Arial" w:cs="Arial" w:eastAsia="Arial" w:hAnsi="Arial"/>
                <w:sz w:val="16"/>
                <w:szCs w:val="16"/>
                <w:color w:val="auto"/>
              </w:rPr>
              <w:t>Total marketable securities</w:t>
            </w:r>
          </w:p>
        </w:tc>
        <w:tc>
          <w:tcPr>
            <w:tcW w:w="20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521,820</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51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113"/>
              <w:spacing w:after="0" w:line="183" w:lineRule="exact"/>
              <w:rPr>
                <w:sz w:val="20"/>
                <w:szCs w:val="20"/>
                <w:color w:val="auto"/>
              </w:rPr>
            </w:pPr>
            <w:r>
              <w:rPr>
                <w:rFonts w:ascii="Arial" w:cs="Arial" w:eastAsia="Arial" w:hAnsi="Arial"/>
                <w:sz w:val="16"/>
                <w:szCs w:val="16"/>
                <w:color w:val="auto"/>
              </w:rPr>
              <w:t>(158 )</w:t>
            </w:r>
          </w:p>
        </w:tc>
        <w:tc>
          <w:tcPr>
            <w:tcW w:w="22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521,713</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right w:val="single" w:sz="8" w:color="CFF0FC"/>
            </w:tcBorders>
            <w:shd w:val="clear" w:color="auto" w:fill="CFF0FC"/>
          </w:tcPr>
          <w:p>
            <w:pPr>
              <w:ind w:left="200"/>
              <w:spacing w:after="0" w:line="169" w:lineRule="exact"/>
              <w:rPr>
                <w:sz w:val="20"/>
                <w:szCs w:val="20"/>
                <w:color w:val="auto"/>
              </w:rPr>
            </w:pPr>
            <w:r>
              <w:rPr>
                <w:rFonts w:ascii="Arial" w:cs="Arial" w:eastAsia="Arial" w:hAnsi="Arial"/>
                <w:sz w:val="16"/>
                <w:szCs w:val="16"/>
                <w:color w:val="auto"/>
              </w:rPr>
              <w:t>Total cash equivalents and marketable securities</w:t>
            </w:r>
          </w:p>
        </w:tc>
        <w:tc>
          <w:tcPr>
            <w:tcW w:w="200" w:type="dxa"/>
            <w:vAlign w:val="bottom"/>
            <w:tcBorders>
              <w:top w:val="single" w:sz="8" w:color="auto"/>
              <w:bottom w:val="single" w:sz="8" w:color="auto"/>
            </w:tcBorders>
            <w:shd w:val="clear" w:color="auto" w:fill="CFF0FC"/>
          </w:tcPr>
          <w:p>
            <w:pPr>
              <w:jc w:val="right"/>
              <w:ind w:right="69"/>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1,295,380</w:t>
            </w:r>
          </w:p>
        </w:tc>
        <w:tc>
          <w:tcPr>
            <w:tcW w:w="240" w:type="dxa"/>
            <w:vAlign w:val="bottom"/>
            <w:tcBorders>
              <w:bottom w:val="single" w:sz="8" w:color="CFF0FC"/>
              <w:right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ind w:right="1006"/>
              <w:spacing w:after="0" w:line="169" w:lineRule="exact"/>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52</w:t>
            </w:r>
          </w:p>
        </w:tc>
        <w:tc>
          <w:tcPr>
            <w:tcW w:w="220" w:type="dxa"/>
            <w:vAlign w:val="bottom"/>
            <w:tcBorders>
              <w:bottom w:val="single" w:sz="8" w:color="CFF0FC"/>
              <w:right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4"/>
              <w:spacing w:after="0" w:line="169" w:lineRule="exact"/>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(182</w:t>
            </w:r>
          </w:p>
        </w:tc>
        <w:tc>
          <w:tcPr>
            <w:tcW w:w="240" w:type="dxa"/>
            <w:vAlign w:val="bottom"/>
            <w:tcBorders>
              <w:bottom w:val="single" w:sz="8" w:color="CFF0FC"/>
              <w:right w:val="single" w:sz="8" w:color="CFF0FC"/>
            </w:tcBorders>
            <w:shd w:val="clear" w:color="auto" w:fill="CFF0FC"/>
          </w:tcPr>
          <w:p>
            <w:pPr>
              <w:jc w:val="right"/>
              <w:ind w:right="113"/>
              <w:spacing w:after="0" w:line="169" w:lineRule="exact"/>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64"/>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1,295,250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-3468370</wp:posOffset>
            </wp:positionV>
            <wp:extent cx="431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-3468370</wp:posOffset>
            </wp:positionV>
            <wp:extent cx="3429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-3468370</wp:posOffset>
            </wp:positionV>
            <wp:extent cx="5143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-3468370</wp:posOffset>
            </wp:positionV>
            <wp:extent cx="3429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-2491105</wp:posOffset>
            </wp:positionV>
            <wp:extent cx="431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-2491105</wp:posOffset>
            </wp:positionV>
            <wp:extent cx="3429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-2491105</wp:posOffset>
            </wp:positionV>
            <wp:extent cx="5143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-2491105</wp:posOffset>
            </wp:positionV>
            <wp:extent cx="3429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-279400</wp:posOffset>
            </wp:positionV>
            <wp:extent cx="4318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-279400</wp:posOffset>
            </wp:positionV>
            <wp:extent cx="4318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-279400</wp:posOffset>
            </wp:positionV>
            <wp:extent cx="5143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-279400</wp:posOffset>
            </wp:positionV>
            <wp:extent cx="3429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-24765</wp:posOffset>
            </wp:positionV>
            <wp:extent cx="431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-8255</wp:posOffset>
            </wp:positionV>
            <wp:extent cx="431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431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-8255</wp:posOffset>
            </wp:positionV>
            <wp:extent cx="431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514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514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9"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As of December 31, 2021 and 2020, the aggregate fair value of marketable securities that were in an unrealized loss position for less than twelve months was $1,311.6 million and $280.3 million, respectively. As of December 31, 2021, the aggregate fair value of marketable securities that were in an unrealized loss position for more than twelve months was $4.6 million. As of December 31,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66" w:name="page167"/>
    <w:bookmarkEnd w:id="166"/>
    <w:p>
      <w:pPr>
        <w:ind w:right="20"/>
        <w:spacing w:after="0" w:line="243" w:lineRule="auto"/>
        <w:rPr>
          <w:sz w:val="20"/>
          <w:szCs w:val="20"/>
          <w:color w:val="auto"/>
        </w:rPr>
      </w:pPr>
      <w:r>
        <w:rPr>
          <w:rFonts w:ascii="Arial" w:cs="Arial" w:eastAsia="Arial" w:hAnsi="Arial"/>
          <w:sz w:val="18"/>
          <w:szCs w:val="18"/>
          <w:color w:val="auto"/>
        </w:rPr>
        <w:t>2020, no marketable securities were in an unrealized loss position for more than twelve months. The Company has recorded a net unrealized loss of $5.0 million and $0.1 million, respectively, during the years ended December 31, 2021 and 2020 related to its marketable securities, which is included in comprehensive income (loss) on the consolidated statements of operations and comprehensive income (loss). No net unrealized loss was recorded related to its marketable securities for the year ended December 31, 2019.</w:t>
      </w:r>
    </w:p>
    <w:p>
      <w:pPr>
        <w:spacing w:after="0" w:line="215"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Company determined that there was no material credit risk of the above investments as of December 31, 2021. The Company has the intent and ability to hold such securities until recovery. As a result, the Company did not record any charges for credit-related impairments for its marketable securities for the years ended December 31, 2021 and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43"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December 31, 2021 and 2020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Fair Value Measurements at</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4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3</w:t>
            </w:r>
          </w:p>
        </w:tc>
        <w:tc>
          <w:tcPr>
            <w:tcW w:w="60" w:type="dxa"/>
            <w:vAlign w:val="bottom"/>
          </w:tcPr>
          <w:p>
            <w:pPr>
              <w:spacing w:after="0"/>
              <w:rPr>
                <w:sz w:val="17"/>
                <w:szCs w:val="17"/>
                <w:color w:val="auto"/>
              </w:rPr>
            </w:pPr>
          </w:p>
        </w:tc>
      </w:tr>
      <w:tr>
        <w:trPr>
          <w:trHeight w:val="183"/>
        </w:trPr>
        <w:tc>
          <w:tcPr>
            <w:tcW w:w="4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6"/>
                <w:szCs w:val="16"/>
                <w:color w:val="auto"/>
              </w:rPr>
              <w:t>Cash</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405,648</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405,648</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4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Money market funds</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507,386</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507,386</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4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Certificates of deposit</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9,997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9,997</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4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Marketable securities:</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6"/>
                <w:szCs w:val="16"/>
                <w:color w:val="auto"/>
              </w:rPr>
              <w:t>U.S. Treasury securities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16,192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16,192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4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Corporate debt securities</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1,168,766</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1,168,766</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6"/>
                <w:szCs w:val="16"/>
                <w:color w:val="auto"/>
              </w:rPr>
              <w:t>Certificates of deposit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45,164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45,164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4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Government-sponsored enterprise securities</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13,257</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13,257</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212,719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212,719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2,212</w:t>
            </w: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2,212</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3"/>
        </w:trPr>
        <w:tc>
          <w:tcPr>
            <w:tcW w:w="4680" w:type="dxa"/>
            <w:vAlign w:val="bottom"/>
          </w:tcPr>
          <w:p>
            <w:pPr>
              <w:ind w:left="200"/>
              <w:spacing w:after="0" w:line="169" w:lineRule="exact"/>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2,381,341</w:t>
            </w:r>
          </w:p>
        </w:tc>
        <w:tc>
          <w:tcPr>
            <w:tcW w:w="54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913,034</w:t>
            </w:r>
          </w:p>
        </w:tc>
        <w:tc>
          <w:tcPr>
            <w:tcW w:w="50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1,466,095</w:t>
            </w:r>
          </w:p>
        </w:tc>
        <w:tc>
          <w:tcPr>
            <w:tcW w:w="52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2,212</w:t>
            </w:r>
          </w:p>
        </w:tc>
        <w:tc>
          <w:tcPr>
            <w:tcW w:w="60" w:type="dxa"/>
            <w:vAlign w:val="bottom"/>
          </w:tcPr>
          <w:p>
            <w:pPr>
              <w:spacing w:after="0"/>
              <w:rPr>
                <w:sz w:val="15"/>
                <w:szCs w:val="15"/>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-150495</wp:posOffset>
            </wp:positionV>
            <wp:extent cx="4318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-150495</wp:posOffset>
            </wp:positionV>
            <wp:extent cx="3429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-150495</wp:posOffset>
            </wp:positionV>
            <wp:extent cx="3429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-150495</wp:posOffset>
            </wp:positionV>
            <wp:extent cx="3429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Fair Value Measurements at</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December 31, 2020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4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3</w:t>
            </w:r>
          </w:p>
        </w:tc>
        <w:tc>
          <w:tcPr>
            <w:tcW w:w="60" w:type="dxa"/>
            <w:vAlign w:val="bottom"/>
          </w:tcPr>
          <w:p>
            <w:pPr>
              <w:spacing w:after="0"/>
              <w:rPr>
                <w:sz w:val="17"/>
                <w:szCs w:val="17"/>
                <w:color w:val="auto"/>
              </w:rPr>
            </w:pPr>
          </w:p>
        </w:tc>
      </w:tr>
      <w:tr>
        <w:trPr>
          <w:trHeight w:val="183"/>
        </w:trPr>
        <w:tc>
          <w:tcPr>
            <w:tcW w:w="46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6"/>
                <w:szCs w:val="16"/>
                <w:color w:val="auto"/>
              </w:rPr>
              <w:t>Cash</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395,083</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395,083</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4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Money market funds</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742,958</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742,958</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6"/>
                <w:szCs w:val="16"/>
                <w:color w:val="auto"/>
              </w:rPr>
              <w:t>Corporate debt securities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2,503</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2,503</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4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Certificates of deposit</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12,527</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12,527</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15,549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15,549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4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Marketable securities:</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6"/>
                <w:szCs w:val="16"/>
                <w:color w:val="auto"/>
              </w:rPr>
              <w:t>U.S. Treasury securities</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47,979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47,979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4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Corporate debt securities</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324,456</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324,456</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6"/>
                <w:szCs w:val="16"/>
                <w:color w:val="auto"/>
              </w:rPr>
              <w:t>Certificates of deposit</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25,162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25,162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4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Government-sponsored enterprise securities</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33,741</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33,741</w:t>
            </w:r>
          </w:p>
        </w:tc>
        <w:tc>
          <w:tcPr>
            <w:tcW w:w="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r>
      <w:tr>
        <w:trPr>
          <w:trHeight w:val="189"/>
        </w:trPr>
        <w:tc>
          <w:tcPr>
            <w:tcW w:w="4680" w:type="dxa"/>
            <w:vAlign w:val="bottom"/>
          </w:tcPr>
          <w:p>
            <w:pPr>
              <w:ind w:left="120"/>
              <w:spacing w:after="0"/>
              <w:rPr>
                <w:sz w:val="20"/>
                <w:szCs w:val="20"/>
                <w:color w:val="auto"/>
              </w:rPr>
            </w:pPr>
            <w:r>
              <w:rPr>
                <w:rFonts w:ascii="Arial" w:cs="Arial" w:eastAsia="Arial" w:hAnsi="Arial"/>
                <w:sz w:val="16"/>
                <w:szCs w:val="16"/>
                <w:color w:val="auto"/>
              </w:rPr>
              <w:t>Commercial paper</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90,375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90,375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non-current assets</w:t>
            </w:r>
          </w:p>
        </w:tc>
        <w:tc>
          <w:tcPr>
            <w:tcW w:w="3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3"/>
        </w:trPr>
        <w:tc>
          <w:tcPr>
            <w:tcW w:w="4680" w:type="dxa"/>
            <w:vAlign w:val="bottom"/>
          </w:tcPr>
          <w:p>
            <w:pPr>
              <w:ind w:left="200"/>
              <w:spacing w:after="0" w:line="169" w:lineRule="exact"/>
              <w:rPr>
                <w:sz w:val="20"/>
                <w:szCs w:val="20"/>
                <w:color w:val="auto"/>
              </w:rPr>
            </w:pPr>
            <w:r>
              <w:rPr>
                <w:rFonts w:ascii="Arial" w:cs="Arial" w:eastAsia="Arial" w:hAnsi="Arial"/>
                <w:sz w:val="16"/>
                <w:szCs w:val="16"/>
                <w:color w:val="auto"/>
              </w:rPr>
              <w:t>Total</w:t>
            </w:r>
          </w:p>
        </w:tc>
        <w:tc>
          <w:tcPr>
            <w:tcW w:w="320" w:type="dxa"/>
            <w:vAlign w:val="bottom"/>
          </w:tcPr>
          <w:p>
            <w:pPr>
              <w:jc w:val="right"/>
              <w:ind w:right="139"/>
              <w:spacing w:after="0" w:line="169"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1,690,933</w:t>
            </w:r>
          </w:p>
        </w:tc>
        <w:tc>
          <w:tcPr>
            <w:tcW w:w="54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1,138,041</w:t>
            </w:r>
          </w:p>
        </w:tc>
        <w:tc>
          <w:tcPr>
            <w:tcW w:w="50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69" w:lineRule="exact"/>
              <w:rPr>
                <w:sz w:val="20"/>
                <w:szCs w:val="20"/>
                <w:color w:val="auto"/>
              </w:rPr>
            </w:pPr>
            <w:r>
              <w:rPr>
                <w:rFonts w:ascii="Arial" w:cs="Arial" w:eastAsia="Arial" w:hAnsi="Arial"/>
                <w:sz w:val="16"/>
                <w:szCs w:val="16"/>
                <w:color w:val="auto"/>
              </w:rPr>
              <w:t>552,292</w:t>
            </w:r>
          </w:p>
        </w:tc>
        <w:tc>
          <w:tcPr>
            <w:tcW w:w="52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600</w:t>
            </w:r>
          </w:p>
        </w:tc>
        <w:tc>
          <w:tcPr>
            <w:tcW w:w="60" w:type="dxa"/>
            <w:vAlign w:val="bottom"/>
          </w:tcPr>
          <w:p>
            <w:pPr>
              <w:spacing w:after="0"/>
              <w:rPr>
                <w:sz w:val="15"/>
                <w:szCs w:val="15"/>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-150495</wp:posOffset>
            </wp:positionV>
            <wp:extent cx="4318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-150495</wp:posOffset>
            </wp:positionV>
            <wp:extent cx="3429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-150495</wp:posOffset>
            </wp:positionV>
            <wp:extent cx="3429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-150495</wp:posOffset>
            </wp:positionV>
            <wp:extent cx="3429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jc w:val="both"/>
        <w:ind w:right="500" w:firstLine="509"/>
        <w:spacing w:after="0" w:line="248" w:lineRule="auto"/>
        <w:rPr>
          <w:sz w:val="20"/>
          <w:szCs w:val="20"/>
          <w:color w:val="auto"/>
        </w:rPr>
      </w:pPr>
      <w:r>
        <w:rPr>
          <w:rFonts w:ascii="Arial" w:cs="Arial" w:eastAsia="Arial" w:hAnsi="Arial"/>
          <w:sz w:val="18"/>
          <w:szCs w:val="18"/>
          <w:color w:val="auto"/>
        </w:rPr>
        <w:t>Marketable securities classified as Level 2 within the valuation hierarchy generally consist of U.S. treasury securities and government agency securities, corporate bonds, and commercial paper. The Company estimates the fair values of these marketable securities by taking into consideration valuations obtained from third-party pricing sources.</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holds equity securities classified as Level 3 which are not material to the Company’s financial position.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Computer equipment</w:t>
            </w:r>
          </w:p>
        </w:tc>
        <w:tc>
          <w:tcPr>
            <w:tcW w:w="1000" w:type="dxa"/>
            <w:vAlign w:val="bottom"/>
            <w:shd w:val="clear" w:color="auto" w:fill="CFF0FC"/>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1,757</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727</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Furniture, fixtures, and other</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4,371</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3,416</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30,123</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25,353</w:t>
            </w:r>
          </w:p>
        </w:tc>
        <w:tc>
          <w:tcPr>
            <w:tcW w:w="8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86,735</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25,473</w:t>
            </w:r>
          </w:p>
        </w:tc>
        <w:tc>
          <w:tcPr>
            <w:tcW w:w="80" w:type="dxa"/>
            <w:vAlign w:val="bottom"/>
          </w:tcPr>
          <w:p>
            <w:pPr>
              <w:spacing w:after="0"/>
              <w:rPr>
                <w:sz w:val="17"/>
                <w:szCs w:val="17"/>
                <w:color w:val="auto"/>
              </w:rPr>
            </w:pP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work in process</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52,396</w:t>
            </w:r>
          </w:p>
        </w:tc>
        <w:tc>
          <w:tcPr>
            <w:tcW w:w="2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8,366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0"/>
              <w:spacing w:after="0" w:line="196" w:lineRule="exact"/>
              <w:rPr>
                <w:sz w:val="20"/>
                <w:szCs w:val="20"/>
                <w:color w:val="auto"/>
              </w:rPr>
            </w:pPr>
            <w:r>
              <w:rPr>
                <w:rFonts w:ascii="Arial" w:cs="Arial" w:eastAsia="Arial" w:hAnsi="Arial"/>
                <w:sz w:val="18"/>
                <w:szCs w:val="18"/>
                <w:color w:val="auto"/>
              </w:rPr>
              <w:t>Total property and equipment, gross</w:t>
            </w:r>
          </w:p>
        </w:tc>
        <w:tc>
          <w:tcPr>
            <w:tcW w:w="10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9"/>
              </w:rPr>
              <w:t>175,382</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63,335</w:t>
            </w:r>
          </w:p>
        </w:tc>
        <w:tc>
          <w:tcPr>
            <w:tcW w:w="80" w:type="dxa"/>
            <w:vAlign w:val="bottom"/>
          </w:tcPr>
          <w:p>
            <w:pPr>
              <w:spacing w:after="0"/>
              <w:rPr>
                <w:sz w:val="17"/>
                <w:szCs w:val="17"/>
                <w:color w:val="auto"/>
              </w:rPr>
            </w:pP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10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4"/>
              </w:rPr>
              <w:t>(37,807 )</w:t>
            </w:r>
          </w:p>
        </w:tc>
        <w:tc>
          <w:tcPr>
            <w:tcW w:w="5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(21,175 )</w:t>
            </w:r>
          </w:p>
        </w:tc>
      </w:tr>
      <w:tr>
        <w:trPr>
          <w:trHeight w:val="196"/>
        </w:trPr>
        <w:tc>
          <w:tcPr>
            <w:tcW w:w="7660" w:type="dxa"/>
            <w:vAlign w:val="bottom"/>
            <w:tcBorders>
              <w:top w:val="single" w:sz="8" w:color="CFF0FC"/>
            </w:tcBorders>
          </w:tcPr>
          <w:p>
            <w:pPr>
              <w:ind w:left="200"/>
              <w:spacing w:after="0" w:line="196" w:lineRule="exact"/>
              <w:rPr>
                <w:sz w:val="20"/>
                <w:szCs w:val="20"/>
                <w:color w:val="auto"/>
              </w:rPr>
            </w:pPr>
            <w:r>
              <w:rPr>
                <w:rFonts w:ascii="Arial" w:cs="Arial" w:eastAsia="Arial" w:hAnsi="Arial"/>
                <w:sz w:val="18"/>
                <w:szCs w:val="18"/>
                <w:color w:val="auto"/>
              </w:rPr>
              <w:t>Total property and equipment, net</w:t>
            </w:r>
          </w:p>
        </w:tc>
        <w:tc>
          <w:tcPr>
            <w:tcW w:w="1000" w:type="dxa"/>
            <w:vAlign w:val="bottom"/>
            <w:tcBorders>
              <w:top w:val="single" w:sz="8" w:color="auto"/>
              <w:bottom w:val="single" w:sz="8" w:color="auto"/>
            </w:tcBorders>
          </w:tcPr>
          <w:p>
            <w:pPr>
              <w:jc w:val="right"/>
              <w:ind w:right="816"/>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137,575</w:t>
            </w:r>
          </w:p>
        </w:tc>
        <w:tc>
          <w:tcPr>
            <w:tcW w:w="280" w:type="dxa"/>
            <w:vAlign w:val="bottom"/>
            <w:tcBorders>
              <w:top w:val="single" w:sz="8" w:color="CFF0FC"/>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42,160</w:t>
            </w:r>
          </w:p>
        </w:tc>
        <w:tc>
          <w:tcPr>
            <w:tcW w:w="80" w:type="dxa"/>
            <w:vAlign w:val="bottom"/>
            <w:tcBorders>
              <w:top w:val="single" w:sz="8" w:color="CFF0FC"/>
            </w:tcBorders>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-424815</wp:posOffset>
            </wp:positionV>
            <wp:extent cx="6032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-424815</wp:posOffset>
            </wp:positionV>
            <wp:extent cx="5143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-159385</wp:posOffset>
            </wp:positionV>
            <wp:extent cx="6032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expense for the year ended December 31, 2021, 2020 and 2019 was $17.9 million, $9.1 million, and $4.7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0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Payroll and employee-related costs</w:t>
            </w:r>
          </w:p>
        </w:tc>
        <w:tc>
          <w:tcPr>
            <w:tcW w:w="1020" w:type="dxa"/>
            <w:vAlign w:val="bottom"/>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23,661</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22,402</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Research costs</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47,986</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21,684</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Licensing fees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1,401</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Professional fees</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4,720</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1,670</w:t>
            </w:r>
          </w:p>
        </w:tc>
        <w:tc>
          <w:tcPr>
            <w:tcW w:w="6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Intellectual property costs</w:t>
            </w:r>
          </w:p>
        </w:tc>
        <w:tc>
          <w:tcPr>
            <w:tcW w:w="10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6,120</w:t>
            </w:r>
          </w:p>
        </w:tc>
        <w:tc>
          <w:tcPr>
            <w:tcW w:w="2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3,625</w:t>
            </w:r>
          </w:p>
        </w:tc>
        <w:tc>
          <w:tcPr>
            <w:tcW w:w="6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property and equipment</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7,113</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2,835</w:t>
            </w:r>
          </w:p>
        </w:tc>
        <w:tc>
          <w:tcPr>
            <w:tcW w:w="60" w:type="dxa"/>
            <w:vAlign w:val="bottom"/>
          </w:tcPr>
          <w:p>
            <w:pPr>
              <w:spacing w:after="0"/>
              <w:rPr>
                <w:sz w:val="17"/>
                <w:szCs w:val="17"/>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1,265</w:t>
            </w:r>
          </w:p>
        </w:tc>
        <w:tc>
          <w:tcPr>
            <w:tcW w:w="2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165</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8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1020" w:type="dxa"/>
            <w:vAlign w:val="bottom"/>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91,003</w:t>
            </w:r>
          </w:p>
        </w:tc>
        <w:tc>
          <w:tcPr>
            <w:tcW w:w="820" w:type="dxa"/>
            <w:vAlign w:val="bottom"/>
            <w:gridSpan w:val="2"/>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53,782</w:t>
            </w:r>
          </w:p>
        </w:tc>
        <w:tc>
          <w:tcPr>
            <w:tcW w:w="60" w:type="dxa"/>
            <w:vAlign w:val="bottom"/>
          </w:tcPr>
          <w:p>
            <w:pPr>
              <w:spacing w:after="0"/>
              <w:rPr>
                <w:sz w:val="17"/>
                <w:szCs w:val="17"/>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4318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08"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In June 2015, the Company entered into a lease agreement for the lease of research facility space in Cambridge, Massachusetts, with a commencement date of November 15, 2015, or the 2015 Lease. The lease was subsequently amended in both 2017 and 2020 and now expires in 2022 with no further option to extend. The 2015 Lease contains escalating rent clauses, which require higher rent payments in future years.</w:t>
      </w:r>
    </w:p>
    <w:p>
      <w:pPr>
        <w:spacing w:after="0" w:line="16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May 2016, the Company entered into a sublease agreement for its primary office and research facility in Cambridge, Massachusetts, with a commencement date of December 23, 2016, or the 2016 Sublease. The sublease was subsequently amended in 2021 and now expires in 2022. The right-of-use assets and right-of-use liabilities were adjusted in the second quarter of 2021, accordingly. The 2016 Sublease contains escalating rent clauses, which require higher rent payments in future years.</w:t>
      </w:r>
    </w:p>
    <w:p>
      <w:pPr>
        <w:spacing w:after="0" w:line="18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May 2019, the Company entered into a lease agreement for office facility space in Cambridge, Massachusetts, with a commencement date of June 1, 2019, or the 2019 Lease. The lease expires in November 2026, and the Company has an option to extend the term of the lease for an additional five-year period based on certain conditions within the Company’s control. The 2019 Lease contains escalating rent clauses which require higher rent payments in future years. The right-of-use asset and corresponding lease liability does not include the additional five-year period under the renewal option as the Company is not reasonably certain to exercise that option.</w:t>
      </w:r>
    </w:p>
    <w:p>
      <w:pPr>
        <w:spacing w:after="0" w:line="189"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In December 2019, Casebia became a wholly-owned subsidiary of the Company. In connection therewith, Casebia assigned its sublease for an office and research facility in Cambridge, Massachusetts, or the 2019 Sublease, to the Company. The sublease was subsequently amended in 2021 and now expires in 2022 with no further option to extend. The right-of-use assets and right-of-use liabilities were adjusted in the second quarter of 2021, accordingly. The 2019 Sublease contains escalating rent clauses which require higher rent payments in future years.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8" w:name="page169"/>
    <w:bookmarkEnd w:id="168"/>
    <w:p>
      <w:pPr>
        <w:ind w:right="380" w:firstLine="509"/>
        <w:spacing w:after="0" w:line="241" w:lineRule="auto"/>
        <w:rPr>
          <w:sz w:val="20"/>
          <w:szCs w:val="20"/>
          <w:color w:val="auto"/>
        </w:rPr>
      </w:pPr>
      <w:r>
        <w:rPr>
          <w:rFonts w:ascii="Arial" w:cs="Arial" w:eastAsia="Arial" w:hAnsi="Arial"/>
          <w:sz w:val="18"/>
          <w:szCs w:val="18"/>
          <w:color w:val="auto"/>
        </w:rPr>
        <w:t>In May 2020, the Company entered into a lease agreement for a cell therapy manufacturing facility in Framingham, Massachusetts, or the Framingham Lease, for clinical and commercial production of the Company’s investigational cell therapy product candidates. The Framingham Lease expires in March 2036 and the Company has an option to extend the term of the lease for two additional seven-year periods. The right-of-use asset and corresponding lease liability does not include the additional seven-year periods under the renewal option as the Company is not reasonably certain to exercise that option.</w:t>
      </w:r>
    </w:p>
    <w:p>
      <w:pPr>
        <w:spacing w:after="0" w:line="18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July 2020, the Company entered into a lease agreement for an office and laboratory facility in Boston, Massachusetts, or the 2020 Lease. The 2020 Lease commenced in the second quarter of 2021, and at lease commencement, the Company recorded a right-of-use asset of $149.8 million and a corresponding operating lease liability of $147.9 million. Tenant incentives of $49.2 million were recorded as a reduction to the operating lease asset and liability at lease commencement. The right-of-use asset and corresponding lease liability does not include the additional five-year periods under the renewal option as the Company is not reasonably certain to exercise that option. The lease expires in March 2034 and the Company has an option to extend the term of the lease for two additional five-year periods.</w:t>
      </w:r>
    </w:p>
    <w:p>
      <w:pPr>
        <w:spacing w:after="0" w:line="189"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In addition, the Company rents certain office space in Zug, Switzerland, on a short-term basis for which a right-of-use asset and liability are not recorded, in accordance with the practical expedient elected.</w:t>
      </w:r>
    </w:p>
    <w:p>
      <w:pPr>
        <w:spacing w:after="0" w:line="171"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The Company has embedded leases in certain research and license agreements for which the Company has recorded a right of use asset and liability. These arrangements are not significant in comparison to the Company’s total operating lease assets and liabilities. In addition, the Company has identified certain short-term leases embedded within its manufacturing contracts which are not recorded on the Company’s balance sheet in accordance with the practical expedient elected.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identified and assessed the following estimates in recognizing the right-of-use asset and corresponding liability:</w:t>
      </w:r>
    </w:p>
    <w:p>
      <w:pPr>
        <w:spacing w:after="0" w:line="104" w:lineRule="exact"/>
        <w:rPr>
          <w:sz w:val="20"/>
          <w:szCs w:val="20"/>
          <w:color w:val="auto"/>
        </w:rPr>
      </w:pPr>
    </w:p>
    <w:p>
      <w:pPr>
        <w:ind w:left="1020" w:right="40" w:hanging="503"/>
        <w:spacing w:after="0" w:line="262" w:lineRule="auto"/>
        <w:tabs>
          <w:tab w:leader="none" w:pos="102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Expected lease term</w:t>
      </w:r>
      <w:r>
        <w:rPr>
          <w:rFonts w:ascii="Arial" w:cs="Arial" w:eastAsia="Arial" w:hAnsi="Arial"/>
          <w:sz w:val="17"/>
          <w:szCs w:val="17"/>
          <w:color w:val="auto"/>
        </w:rPr>
        <w:t>: The expected lease term for those leases commencing prior to January 1, 2019 did not change with the adoption of ASC</w:t>
      </w:r>
      <w:r>
        <w:rPr>
          <w:rFonts w:ascii="Arial" w:cs="Arial" w:eastAsia="Arial" w:hAnsi="Arial"/>
          <w:sz w:val="17"/>
          <w:szCs w:val="17"/>
          <w:i w:val="1"/>
          <w:iCs w:val="1"/>
          <w:color w:val="auto"/>
        </w:rPr>
        <w:t xml:space="preserve"> </w:t>
      </w:r>
      <w:r>
        <w:rPr>
          <w:rFonts w:ascii="Arial" w:cs="Arial" w:eastAsia="Arial" w:hAnsi="Arial"/>
          <w:sz w:val="17"/>
          <w:szCs w:val="17"/>
          <w:color w:val="auto"/>
        </w:rPr>
        <w:t>842. The expected lease term for leases commencing after the adoption of ASC 842 includes noncancelable lease periods and, when applicable, periods covered by an option to extend the lease if the Company is reasonably certain to exercise that option, as well as periods covered by an option to terminate the lease if the Company is reasonably certain not to exercise that option.</w:t>
      </w:r>
    </w:p>
    <w:p>
      <w:pPr>
        <w:spacing w:after="0" w:line="64" w:lineRule="exact"/>
        <w:rPr>
          <w:rFonts w:ascii="Arial" w:cs="Arial" w:eastAsia="Arial" w:hAnsi="Arial"/>
          <w:sz w:val="17"/>
          <w:szCs w:val="17"/>
          <w:color w:val="auto"/>
        </w:rPr>
      </w:pPr>
    </w:p>
    <w:p>
      <w:pPr>
        <w:ind w:left="1020" w:right="480" w:hanging="503"/>
        <w:spacing w:after="0" w:line="248"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Incremental borrowing rate</w:t>
      </w:r>
      <w:r>
        <w:rPr>
          <w:rFonts w:ascii="Arial" w:cs="Arial" w:eastAsia="Arial" w:hAnsi="Arial"/>
          <w:sz w:val="18"/>
          <w:szCs w:val="18"/>
          <w:color w:val="auto"/>
        </w:rPr>
        <w:t>: As the discount rates in the Company’s leases are not implicit, the Company estimated the incremental</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rate based on the rate of interest the Company would have to pay to borrow a similar amount on a collateralized basis over a similar term.</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lease assets and liabilities as of December 31, 2021 and 2020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As of December 31,</w:t>
            </w:r>
          </w:p>
        </w:tc>
        <w:tc>
          <w:tcPr>
            <w:tcW w:w="1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6160" w:type="dxa"/>
            <w:vAlign w:val="bottom"/>
          </w:tcPr>
          <w:p>
            <w:pPr>
              <w:spacing w:after="0"/>
              <w:rPr>
                <w:sz w:val="16"/>
                <w:szCs w:val="16"/>
                <w:color w:val="auto"/>
              </w:rPr>
            </w:pPr>
          </w:p>
        </w:tc>
        <w:tc>
          <w:tcPr>
            <w:tcW w:w="1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97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199"/>
        </w:trPr>
        <w:tc>
          <w:tcPr>
            <w:tcW w:w="6160" w:type="dxa"/>
            <w:vAlign w:val="bottom"/>
            <w:shd w:val="clear" w:color="auto" w:fill="CFF0FC"/>
          </w:tcPr>
          <w:p>
            <w:pPr>
              <w:ind w:left="20"/>
              <w:spacing w:after="0" w:line="199" w:lineRule="exact"/>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assets</w:t>
            </w:r>
          </w:p>
        </w:tc>
        <w:tc>
          <w:tcPr>
            <w:tcW w:w="1580" w:type="dxa"/>
            <w:vAlign w:val="bottom"/>
          </w:tcPr>
          <w:p>
            <w:pPr>
              <w:jc w:val="right"/>
              <w:ind w:right="1396"/>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174,460</w:t>
            </w:r>
          </w:p>
        </w:tc>
        <w:tc>
          <w:tcPr>
            <w:tcW w:w="960" w:type="dxa"/>
            <w:vAlign w:val="bottom"/>
            <w:gridSpan w:val="2"/>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50,865</w:t>
            </w:r>
          </w:p>
        </w:tc>
        <w:tc>
          <w:tcPr>
            <w:tcW w:w="60" w:type="dxa"/>
            <w:vAlign w:val="bottom"/>
          </w:tcPr>
          <w:p>
            <w:pPr>
              <w:spacing w:after="0"/>
              <w:rPr>
                <w:sz w:val="17"/>
                <w:szCs w:val="17"/>
                <w:color w:val="auto"/>
              </w:rPr>
            </w:pPr>
          </w:p>
        </w:tc>
      </w:tr>
      <w:tr>
        <w:trPr>
          <w:trHeight w:val="196"/>
        </w:trPr>
        <w:tc>
          <w:tcPr>
            <w:tcW w:w="6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assets</w:t>
            </w:r>
          </w:p>
        </w:tc>
        <w:tc>
          <w:tcPr>
            <w:tcW w:w="15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174,460</w:t>
            </w:r>
          </w:p>
        </w:tc>
        <w:tc>
          <w:tcPr>
            <w:tcW w:w="20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50,865</w:t>
            </w:r>
          </w:p>
        </w:tc>
        <w:tc>
          <w:tcPr>
            <w:tcW w:w="6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1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w:t>
            </w:r>
          </w:p>
        </w:tc>
        <w:tc>
          <w:tcPr>
            <w:tcW w:w="15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w:t>
            </w:r>
          </w:p>
        </w:tc>
        <w:tc>
          <w:tcPr>
            <w:tcW w:w="15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12,158</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11,362</w:t>
            </w:r>
          </w:p>
        </w:tc>
        <w:tc>
          <w:tcPr>
            <w:tcW w:w="60" w:type="dxa"/>
            <w:vAlign w:val="bottom"/>
          </w:tcPr>
          <w:p>
            <w:pPr>
              <w:spacing w:after="0"/>
              <w:rPr>
                <w:sz w:val="17"/>
                <w:szCs w:val="17"/>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w:t>
            </w:r>
          </w:p>
        </w:tc>
        <w:tc>
          <w:tcPr>
            <w:tcW w:w="15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616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212,872</w:t>
            </w:r>
          </w:p>
        </w:tc>
        <w:tc>
          <w:tcPr>
            <w:tcW w:w="2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50,067</w:t>
            </w:r>
          </w:p>
        </w:tc>
        <w:tc>
          <w:tcPr>
            <w:tcW w:w="60" w:type="dxa"/>
            <w:vAlign w:val="bottom"/>
          </w:tcPr>
          <w:p>
            <w:pPr>
              <w:spacing w:after="0"/>
              <w:rPr>
                <w:sz w:val="17"/>
                <w:szCs w:val="17"/>
                <w:color w:val="auto"/>
              </w:rPr>
            </w:pPr>
          </w:p>
        </w:tc>
      </w:tr>
      <w:tr>
        <w:trPr>
          <w:trHeight w:val="236"/>
        </w:trPr>
        <w:tc>
          <w:tcPr>
            <w:tcW w:w="61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liabilities</w:t>
            </w:r>
          </w:p>
        </w:tc>
        <w:tc>
          <w:tcPr>
            <w:tcW w:w="1580" w:type="dxa"/>
            <w:vAlign w:val="bottom"/>
            <w:tcBorders>
              <w:bottom w:val="single" w:sz="8" w:color="auto"/>
            </w:tcBorders>
            <w:shd w:val="clear" w:color="auto" w:fill="CFF0FC"/>
          </w:tcPr>
          <w:p>
            <w:pPr>
              <w:jc w:val="right"/>
              <w:ind w:right="1396"/>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225,030</w:t>
            </w:r>
          </w:p>
        </w:tc>
        <w:tc>
          <w:tcPr>
            <w:tcW w:w="20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70"/>
              <w:spacing w:after="0" w:line="182"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61,429</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431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431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following table summarizes operating lease costs included in research and development and general and administrative expense, as well as sublease income for the twelve months ended December 31, 2021, 2020 and 2019 (in thousands):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0"/>
              </w:rPr>
              <w:t>Years Ended December 31,</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5000" w:type="dxa"/>
            <w:vAlign w:val="bottom"/>
          </w:tcPr>
          <w:p>
            <w:pPr>
              <w:spacing w:after="0"/>
              <w:rPr>
                <w:sz w:val="16"/>
                <w:szCs w:val="16"/>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199"/>
        </w:trPr>
        <w:tc>
          <w:tcPr>
            <w:tcW w:w="5000" w:type="dxa"/>
            <w:vAlign w:val="bottom"/>
            <w:shd w:val="clear" w:color="auto" w:fill="CFF0FC"/>
          </w:tcPr>
          <w:p>
            <w:pPr>
              <w:ind w:left="20"/>
              <w:spacing w:after="0" w:line="199" w:lineRule="exact"/>
              <w:rPr>
                <w:sz w:val="20"/>
                <w:szCs w:val="20"/>
                <w:color w:val="auto"/>
              </w:rPr>
            </w:pPr>
            <w:r>
              <w:rPr>
                <w:rFonts w:ascii="Arial" w:cs="Arial" w:eastAsia="Arial" w:hAnsi="Arial"/>
                <w:sz w:val="18"/>
                <w:szCs w:val="18"/>
                <w:color w:val="auto"/>
              </w:rPr>
              <w:t>Operating lease costs</w:t>
            </w:r>
          </w:p>
        </w:tc>
        <w:tc>
          <w:tcPr>
            <w:tcW w:w="1260" w:type="dxa"/>
            <w:vAlign w:val="bottom"/>
            <w:shd w:val="clear" w:color="auto" w:fill="CFF0FC"/>
          </w:tcPr>
          <w:p>
            <w:pPr>
              <w:jc w:val="right"/>
              <w:ind w:right="1076"/>
              <w:spacing w:after="0" w:line="19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199" w:lineRule="exact"/>
              <w:rPr>
                <w:sz w:val="20"/>
                <w:szCs w:val="20"/>
                <w:color w:val="auto"/>
              </w:rPr>
            </w:pPr>
            <w:r>
              <w:rPr>
                <w:rFonts w:ascii="Arial" w:cs="Arial" w:eastAsia="Arial" w:hAnsi="Arial"/>
                <w:sz w:val="18"/>
                <w:szCs w:val="18"/>
                <w:color w:val="auto"/>
              </w:rPr>
              <w:t>22,520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9" w:lineRule="exact"/>
              <w:rPr>
                <w:sz w:val="20"/>
                <w:szCs w:val="20"/>
                <w:color w:val="auto"/>
              </w:rPr>
            </w:pPr>
            <w:r>
              <w:rPr>
                <w:rFonts w:ascii="Arial" w:cs="Arial" w:eastAsia="Arial" w:hAnsi="Arial"/>
                <w:sz w:val="18"/>
                <w:szCs w:val="18"/>
                <w:color w:val="auto"/>
                <w:w w:val="99"/>
              </w:rPr>
              <w:t>$</w:t>
            </w:r>
          </w:p>
        </w:tc>
        <w:tc>
          <w:tcPr>
            <w:tcW w:w="1800" w:type="dxa"/>
            <w:vAlign w:val="bottom"/>
            <w:shd w:val="clear" w:color="auto" w:fill="CFF0FC"/>
          </w:tcPr>
          <w:p>
            <w:pPr>
              <w:jc w:val="right"/>
              <w:spacing w:after="0" w:line="199" w:lineRule="exact"/>
              <w:rPr>
                <w:sz w:val="20"/>
                <w:szCs w:val="20"/>
                <w:color w:val="auto"/>
              </w:rPr>
            </w:pPr>
            <w:r>
              <w:rPr>
                <w:rFonts w:ascii="Arial" w:cs="Arial" w:eastAsia="Arial" w:hAnsi="Arial"/>
                <w:sz w:val="18"/>
                <w:szCs w:val="18"/>
                <w:color w:val="auto"/>
              </w:rPr>
              <w:t>14,342</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199"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9" w:lineRule="exact"/>
              <w:rPr>
                <w:sz w:val="20"/>
                <w:szCs w:val="20"/>
                <w:color w:val="auto"/>
              </w:rPr>
            </w:pPr>
            <w:r>
              <w:rPr>
                <w:rFonts w:ascii="Arial" w:cs="Arial" w:eastAsia="Arial" w:hAnsi="Arial"/>
                <w:sz w:val="18"/>
                <w:szCs w:val="18"/>
                <w:color w:val="auto"/>
              </w:rPr>
              <w:t>8,067</w:t>
            </w:r>
          </w:p>
        </w:tc>
        <w:tc>
          <w:tcPr>
            <w:tcW w:w="80" w:type="dxa"/>
            <w:vAlign w:val="bottom"/>
            <w:shd w:val="clear" w:color="auto" w:fill="CFF0FC"/>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costs</w:t>
            </w:r>
          </w:p>
        </w:tc>
        <w:tc>
          <w:tcPr>
            <w:tcW w:w="1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11,087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7,339</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4,554</w:t>
            </w:r>
          </w:p>
        </w:tc>
        <w:tc>
          <w:tcPr>
            <w:tcW w:w="80" w:type="dxa"/>
            <w:vAlign w:val="bottom"/>
          </w:tcPr>
          <w:p>
            <w:pPr>
              <w:spacing w:after="0"/>
              <w:rPr>
                <w:sz w:val="17"/>
                <w:szCs w:val="17"/>
                <w:color w:val="auto"/>
              </w:rPr>
            </w:pPr>
          </w:p>
        </w:tc>
      </w:tr>
      <w:tr>
        <w:trPr>
          <w:trHeight w:val="203"/>
        </w:trPr>
        <w:tc>
          <w:tcPr>
            <w:tcW w:w="5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Variable lease costs</w:t>
            </w:r>
          </w:p>
        </w:tc>
        <w:tc>
          <w:tcPr>
            <w:tcW w:w="12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8,402</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6,368</w:t>
            </w: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4,282</w:t>
            </w:r>
          </w:p>
        </w:tc>
        <w:tc>
          <w:tcPr>
            <w:tcW w:w="80" w:type="dxa"/>
            <w:vAlign w:val="bottom"/>
            <w:shd w:val="clear" w:color="auto" w:fill="CFF0FC"/>
          </w:tcPr>
          <w:p>
            <w:pPr>
              <w:spacing w:after="0"/>
              <w:rPr>
                <w:sz w:val="17"/>
                <w:szCs w:val="17"/>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126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(5,253 )</w:t>
            </w:r>
          </w:p>
        </w:tc>
        <w:tc>
          <w:tcPr>
            <w:tcW w:w="120" w:type="dxa"/>
            <w:vAlign w:val="bottom"/>
          </w:tcPr>
          <w:p>
            <w:pPr>
              <w:spacing w:after="0"/>
              <w:rPr>
                <w:sz w:val="17"/>
                <w:szCs w:val="17"/>
                <w:color w:val="auto"/>
              </w:rPr>
            </w:pPr>
          </w:p>
        </w:tc>
        <w:tc>
          <w:tcPr>
            <w:tcW w:w="20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(587 )</w:t>
            </w:r>
          </w:p>
        </w:tc>
        <w:tc>
          <w:tcPr>
            <w:tcW w:w="460" w:type="dxa"/>
            <w:vAlign w:val="bottom"/>
          </w:tcPr>
          <w:p>
            <w:pPr>
              <w:spacing w:after="0"/>
              <w:rPr>
                <w:sz w:val="17"/>
                <w:szCs w:val="17"/>
                <w:color w:val="auto"/>
              </w:rPr>
            </w:pP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(525 )</w:t>
            </w:r>
          </w:p>
        </w:tc>
      </w:tr>
      <w:tr>
        <w:trPr>
          <w:trHeight w:val="236"/>
        </w:trPr>
        <w:tc>
          <w:tcPr>
            <w:tcW w:w="50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Net lease cost</w:t>
            </w:r>
          </w:p>
        </w:tc>
        <w:tc>
          <w:tcPr>
            <w:tcW w:w="1260" w:type="dxa"/>
            <w:vAlign w:val="bottom"/>
            <w:tcBorders>
              <w:top w:val="single" w:sz="8" w:color="auto"/>
              <w:bottom w:val="single" w:sz="8" w:color="auto"/>
            </w:tcBorders>
            <w:shd w:val="clear" w:color="auto" w:fill="CFF0FC"/>
          </w:tcPr>
          <w:p>
            <w:pPr>
              <w:jc w:val="right"/>
              <w:ind w:right="1076"/>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36,756</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27,462</w:t>
            </w:r>
          </w:p>
        </w:tc>
        <w:tc>
          <w:tcPr>
            <w:tcW w:w="2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16,378</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03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03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51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maturity of undiscounted payments due under lease liabilities and the present value of those liabilities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2022</w:t>
            </w:r>
          </w:p>
        </w:tc>
        <w:tc>
          <w:tcPr>
            <w:tcW w:w="1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18,256</w:t>
            </w:r>
          </w:p>
        </w:tc>
        <w:tc>
          <w:tcPr>
            <w:tcW w:w="8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26,633</w:t>
            </w:r>
          </w:p>
        </w:tc>
        <w:tc>
          <w:tcPr>
            <w:tcW w:w="80" w:type="dxa"/>
            <w:vAlign w:val="bottom"/>
          </w:tcPr>
          <w:p>
            <w:pPr>
              <w:spacing w:after="0"/>
              <w:rPr>
                <w:sz w:val="17"/>
                <w:szCs w:val="17"/>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1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26,137</w:t>
            </w:r>
          </w:p>
        </w:tc>
        <w:tc>
          <w:tcPr>
            <w:tcW w:w="80" w:type="dxa"/>
            <w:vAlign w:val="bottom"/>
            <w:shd w:val="clear" w:color="auto" w:fill="CFF0FC"/>
          </w:tcPr>
          <w:p>
            <w:pPr>
              <w:spacing w:after="0"/>
              <w:rPr>
                <w:sz w:val="17"/>
                <w:szCs w:val="17"/>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26,347</w:t>
            </w:r>
          </w:p>
        </w:tc>
        <w:tc>
          <w:tcPr>
            <w:tcW w:w="80" w:type="dxa"/>
            <w:vAlign w:val="bottom"/>
          </w:tcPr>
          <w:p>
            <w:pPr>
              <w:spacing w:after="0"/>
              <w:rPr>
                <w:sz w:val="17"/>
                <w:szCs w:val="17"/>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1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26,844</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227,528</w:t>
            </w:r>
          </w:p>
        </w:tc>
        <w:tc>
          <w:tcPr>
            <w:tcW w:w="80" w:type="dxa"/>
            <w:vAlign w:val="bottom"/>
          </w:tcPr>
          <w:p>
            <w:pPr>
              <w:spacing w:after="0"/>
              <w:rPr>
                <w:sz w:val="17"/>
                <w:szCs w:val="17"/>
                <w:color w:val="auto"/>
              </w:rPr>
            </w:pPr>
          </w:p>
        </w:tc>
      </w:tr>
      <w:tr>
        <w:trPr>
          <w:trHeight w:val="196"/>
        </w:trPr>
        <w:tc>
          <w:tcPr>
            <w:tcW w:w="772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3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351,745</w:t>
            </w:r>
          </w:p>
        </w:tc>
        <w:tc>
          <w:tcPr>
            <w:tcW w:w="80" w:type="dxa"/>
            <w:vAlign w:val="bottom"/>
            <w:shd w:val="clear" w:color="auto" w:fill="CFF0FC"/>
          </w:tcPr>
          <w:p>
            <w:pPr>
              <w:spacing w:after="0"/>
              <w:rPr>
                <w:sz w:val="17"/>
                <w:szCs w:val="17"/>
                <w:color w:val="auto"/>
              </w:rPr>
            </w:pPr>
          </w:p>
        </w:tc>
      </w:tr>
      <w:tr>
        <w:trPr>
          <w:trHeight w:val="203"/>
        </w:trPr>
        <w:tc>
          <w:tcPr>
            <w:tcW w:w="7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Present value adjustment</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(126,715 )</w:t>
            </w:r>
          </w:p>
        </w:tc>
      </w:tr>
      <w:tr>
        <w:trPr>
          <w:trHeight w:val="236"/>
        </w:trPr>
        <w:tc>
          <w:tcPr>
            <w:tcW w:w="772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50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225,030</w:t>
            </w:r>
          </w:p>
        </w:tc>
        <w:tc>
          <w:tcPr>
            <w:tcW w:w="80" w:type="dxa"/>
            <w:vAlign w:val="bottom"/>
            <w:tcBorders>
              <w:bottom w:val="single" w:sz="8" w:color="CFF0FC"/>
            </w:tcBorders>
            <w:shd w:val="clear" w:color="auto" w:fill="CFF0FC"/>
          </w:tcPr>
          <w:p>
            <w:pPr>
              <w:spacing w:after="0"/>
              <w:rPr>
                <w:sz w:val="20"/>
                <w:szCs w:val="20"/>
                <w:color w:val="auto"/>
              </w:rPr>
            </w:pPr>
          </w:p>
        </w:tc>
      </w:tr>
      <w:tr>
        <w:trPr>
          <w:trHeight w:val="467"/>
        </w:trPr>
        <w:tc>
          <w:tcPr>
            <w:tcW w:w="10280" w:type="dxa"/>
            <w:vAlign w:val="bottom"/>
            <w:gridSpan w:val="6"/>
          </w:tcPr>
          <w:p>
            <w:pPr>
              <w:ind w:left="520"/>
              <w:spacing w:after="0"/>
              <w:rPr>
                <w:sz w:val="20"/>
                <w:szCs w:val="20"/>
                <w:color w:val="auto"/>
              </w:rPr>
            </w:pPr>
            <w:r>
              <w:rPr>
                <w:rFonts w:ascii="Arial" w:cs="Arial" w:eastAsia="Arial" w:hAnsi="Arial"/>
                <w:sz w:val="18"/>
                <w:szCs w:val="18"/>
                <w:color w:val="auto"/>
                <w:w w:val="92"/>
              </w:rPr>
              <w:t>The following table summarizes the lease term (in years) and discount rate for operating leases as of December 31, 2021 and 2020:</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3"/>
        </w:trPr>
        <w:tc>
          <w:tcPr>
            <w:tcW w:w="6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60" w:type="dxa"/>
            <w:vAlign w:val="bottom"/>
            <w:gridSpan w:val="4"/>
          </w:tcPr>
          <w:p>
            <w:pPr>
              <w:jc w:val="right"/>
              <w:ind w:right="1028"/>
              <w:spacing w:after="0"/>
              <w:rPr>
                <w:sz w:val="20"/>
                <w:szCs w:val="20"/>
                <w:color w:val="auto"/>
              </w:rPr>
            </w:pPr>
            <w:r>
              <w:rPr>
                <w:rFonts w:ascii="Arial" w:cs="Arial" w:eastAsia="Arial" w:hAnsi="Arial"/>
                <w:sz w:val="14"/>
                <w:szCs w:val="14"/>
                <w:b w:val="1"/>
                <w:bCs w:val="1"/>
                <w:color w:val="auto"/>
              </w:rPr>
              <w:t>As of December 31,</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5"/>
        </w:trPr>
        <w:tc>
          <w:tcPr>
            <w:tcW w:w="7720" w:type="dxa"/>
            <w:vAlign w:val="bottom"/>
            <w:gridSpan w:val="2"/>
          </w:tcPr>
          <w:p>
            <w:pPr>
              <w:ind w:left="7160"/>
              <w:spacing w:after="0"/>
              <w:rPr>
                <w:sz w:val="20"/>
                <w:szCs w:val="20"/>
                <w:color w:val="auto"/>
              </w:rPr>
            </w:pPr>
            <w:r>
              <w:rPr>
                <w:rFonts w:ascii="Arial" w:cs="Arial" w:eastAsia="Arial" w:hAnsi="Arial"/>
                <w:sz w:val="14"/>
                <w:szCs w:val="14"/>
                <w:b w:val="1"/>
                <w:bCs w:val="1"/>
                <w:color w:val="auto"/>
              </w:rPr>
              <w:t>2021</w:t>
            </w:r>
          </w:p>
        </w:tc>
        <w:tc>
          <w:tcPr>
            <w:tcW w:w="25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61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remaining lease term</w:t>
            </w:r>
          </w:p>
        </w:tc>
        <w:tc>
          <w:tcPr>
            <w:tcW w:w="156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12.4</w:t>
            </w:r>
          </w:p>
        </w:tc>
        <w:tc>
          <w:tcPr>
            <w:tcW w:w="340" w:type="dxa"/>
            <w:vAlign w:val="bottom"/>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color w:val="auto"/>
                <w:w w:val="87"/>
              </w:rPr>
              <w:t>9.1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5.9 %</w:t>
            </w:r>
          </w:p>
        </w:tc>
        <w:tc>
          <w:tcPr>
            <w:tcW w:w="1500" w:type="dxa"/>
            <w:vAlign w:val="bottom"/>
          </w:tcPr>
          <w:p>
            <w:pPr>
              <w:spacing w:after="0"/>
              <w:rPr>
                <w:sz w:val="20"/>
                <w:szCs w:val="20"/>
                <w:color w:val="auto"/>
              </w:rPr>
            </w:pPr>
          </w:p>
        </w:tc>
        <w:tc>
          <w:tcPr>
            <w:tcW w:w="960" w:type="dxa"/>
            <w:vAlign w:val="bottom"/>
            <w:gridSpan w:val="3"/>
          </w:tcPr>
          <w:p>
            <w:pPr>
              <w:ind w:left="500"/>
              <w:spacing w:after="0"/>
              <w:rPr>
                <w:sz w:val="20"/>
                <w:szCs w:val="20"/>
                <w:color w:val="auto"/>
              </w:rPr>
            </w:pPr>
            <w:r>
              <w:rPr>
                <w:rFonts w:ascii="Arial" w:cs="Arial" w:eastAsia="Arial" w:hAnsi="Arial"/>
                <w:sz w:val="18"/>
                <w:szCs w:val="18"/>
                <w:color w:val="auto"/>
                <w:w w:val="95"/>
              </w:rPr>
              <w:t>9.3 %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-1019810</wp:posOffset>
            </wp:positionV>
            <wp:extent cx="514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-1002665</wp:posOffset>
            </wp:positionV>
            <wp:extent cx="5143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1" w:lineRule="exact"/>
        <w:rPr>
          <w:sz w:val="20"/>
          <w:szCs w:val="20"/>
          <w:color w:val="auto"/>
        </w:rPr>
      </w:pPr>
    </w:p>
    <w:p>
      <w:pPr>
        <w:ind w:right="260" w:firstLine="509"/>
        <w:spacing w:after="0" w:line="293" w:lineRule="auto"/>
        <w:rPr>
          <w:sz w:val="20"/>
          <w:szCs w:val="20"/>
          <w:color w:val="auto"/>
        </w:rPr>
      </w:pPr>
      <w:r>
        <w:rPr>
          <w:rFonts w:ascii="Arial" w:cs="Arial" w:eastAsia="Arial" w:hAnsi="Arial"/>
          <w:sz w:val="18"/>
          <w:szCs w:val="18"/>
          <w:color w:val="auto"/>
        </w:rPr>
        <w:t>The following table summarizes the cash paid for amounts included in the measurement of lease liabilities for the year ended December 31, 2021 and 2020 (in thousands):</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Cash paid for amounts included in measurement of lease liabilities:</w:t>
      </w:r>
    </w:p>
    <w:p>
      <w:pPr>
        <w:spacing w:after="0" w:line="19" w:lineRule="exact"/>
        <w:rPr>
          <w:sz w:val="20"/>
          <w:szCs w:val="20"/>
          <w:color w:val="auto"/>
        </w:rPr>
      </w:pPr>
    </w:p>
    <w:p>
      <w:pPr>
        <w:ind w:left="120"/>
        <w:spacing w:after="0"/>
        <w:tabs>
          <w:tab w:leader="none" w:pos="5000" w:val="left"/>
        </w:tabs>
        <w:rPr>
          <w:sz w:val="20"/>
          <w:szCs w:val="20"/>
          <w:color w:val="auto"/>
        </w:rPr>
      </w:pPr>
      <w:r>
        <w:rPr>
          <w:rFonts w:ascii="Arial" w:cs="Arial" w:eastAsia="Arial" w:hAnsi="Arial"/>
          <w:sz w:val="18"/>
          <w:szCs w:val="18"/>
          <w:color w:val="auto"/>
        </w:rPr>
        <w:t>Operating cash flows used in operating leases</w:t>
      </w:r>
      <w:r>
        <w:rPr>
          <w:sz w:val="20"/>
          <w:szCs w:val="20"/>
          <w:color w:val="auto"/>
        </w:rPr>
        <w:tab/>
      </w:r>
      <w:r>
        <w:rPr>
          <w:rFonts w:ascii="Arial" w:cs="Arial" w:eastAsia="Arial" w:hAnsi="Arial"/>
          <w:sz w:val="13"/>
          <w:szCs w:val="13"/>
          <w:color w:val="auto"/>
        </w:rPr>
        <w:t>$</w:t>
      </w:r>
    </w:p>
    <w:p>
      <w:pPr>
        <w:ind w:left="20"/>
        <w:spacing w:after="0" w:line="234" w:lineRule="auto"/>
        <w:rPr>
          <w:sz w:val="20"/>
          <w:szCs w:val="20"/>
          <w:color w:val="auto"/>
        </w:rPr>
      </w:pPr>
      <w:r>
        <w:rPr>
          <w:rFonts w:ascii="Arial" w:cs="Arial" w:eastAsia="Arial" w:hAnsi="Arial"/>
          <w:sz w:val="18"/>
          <w:szCs w:val="18"/>
          <w:color w:val="auto"/>
        </w:rPr>
        <w:t>Operating lease non-cash items:</w:t>
      </w:r>
    </w:p>
    <w:p>
      <w:pPr>
        <w:spacing w:after="0" w:line="1" w:lineRule="exact"/>
        <w:rPr>
          <w:sz w:val="20"/>
          <w:szCs w:val="20"/>
          <w:color w:val="auto"/>
        </w:rPr>
      </w:pPr>
    </w:p>
    <w:p>
      <w:pPr>
        <w:ind w:left="120" w:right="1000"/>
        <w:spacing w:after="0" w:line="219" w:lineRule="auto"/>
        <w:rPr>
          <w:sz w:val="20"/>
          <w:szCs w:val="20"/>
          <w:color w:val="auto"/>
        </w:rPr>
      </w:pPr>
      <w:r>
        <w:rPr>
          <w:rFonts w:ascii="Arial" w:cs="Arial" w:eastAsia="Arial" w:hAnsi="Arial"/>
          <w:sz w:val="18"/>
          <w:szCs w:val="18"/>
          <w:color w:val="auto"/>
        </w:rPr>
        <w:t>Right-of-use assets (decreased) increased through lease modifications and reassessments</w:t>
      </w:r>
    </w:p>
    <w:p>
      <w:pPr>
        <w:ind w:left="120" w:right="660"/>
        <w:spacing w:after="0" w:line="219" w:lineRule="auto"/>
        <w:rPr>
          <w:sz w:val="20"/>
          <w:szCs w:val="20"/>
          <w:color w:val="auto"/>
        </w:rPr>
      </w:pPr>
      <w:r>
        <w:rPr>
          <w:rFonts w:ascii="Arial" w:cs="Arial" w:eastAsia="Arial" w:hAnsi="Arial"/>
          <w:sz w:val="18"/>
          <w:szCs w:val="18"/>
          <w:color w:val="auto"/>
        </w:rPr>
        <w:t>Right-of-use assets obtained in exchange for operating lease liabilities</w:t>
      </w:r>
    </w:p>
    <w:p>
      <w:pPr>
        <w:ind w:left="120"/>
        <w:spacing w:after="0"/>
        <w:rPr>
          <w:sz w:val="20"/>
          <w:szCs w:val="20"/>
          <w:color w:val="auto"/>
        </w:rPr>
      </w:pPr>
      <w:r>
        <w:rPr>
          <w:rFonts w:ascii="Arial" w:cs="Arial" w:eastAsia="Arial" w:hAnsi="Arial"/>
          <w:sz w:val="18"/>
          <w:szCs w:val="18"/>
          <w:color w:val="auto"/>
        </w:rPr>
        <w:t>Leasehold improvements paid directly by landlord</w:t>
      </w:r>
    </w:p>
    <w:p>
      <w:pPr>
        <w:spacing w:after="0" w:line="200" w:lineRule="exact"/>
        <w:rPr>
          <w:sz w:val="20"/>
          <w:szCs w:val="20"/>
          <w:color w:val="auto"/>
        </w:rPr>
      </w:pPr>
    </w:p>
    <w:p>
      <w:pPr>
        <w:spacing w:after="0" w:line="370" w:lineRule="exact"/>
        <w:rPr>
          <w:sz w:val="20"/>
          <w:szCs w:val="20"/>
          <w:color w:val="auto"/>
        </w:rPr>
      </w:pPr>
    </w:p>
    <w:p>
      <w:pPr>
        <w:ind w:left="260" w:right="2360" w:hanging="252"/>
        <w:spacing w:after="0" w:line="433" w:lineRule="auto"/>
        <w:tabs>
          <w:tab w:leader="none" w:pos="185"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 xml:space="preserve">Intellectual Property Agreements </w:t>
      </w:r>
      <w:r>
        <w:rPr>
          <w:rFonts w:ascii="Arial" w:cs="Arial" w:eastAsia="Arial" w:hAnsi="Arial"/>
          <w:sz w:val="15"/>
          <w:szCs w:val="15"/>
          <w:i w:val="1"/>
          <w:iCs w:val="1"/>
          <w:color w:val="auto"/>
        </w:rPr>
        <w:t>Charpentier License Agreements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0"/>
              </w:rPr>
              <w:t>Years Ended December 31,</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1320" w:type="dxa"/>
            <w:vAlign w:val="bottom"/>
          </w:tcPr>
          <w:p>
            <w:pPr>
              <w:jc w:val="right"/>
              <w:ind w:right="934"/>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418"/>
        </w:trPr>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(19,753 )  $</w:t>
            </w:r>
          </w:p>
        </w:tc>
        <w:tc>
          <w:tcPr>
            <w:tcW w:w="2460" w:type="dxa"/>
            <w:vAlign w:val="bottom"/>
            <w:gridSpan w:val="3"/>
          </w:tcPr>
          <w:p>
            <w:pPr>
              <w:jc w:val="right"/>
              <w:ind w:right="360"/>
              <w:spacing w:after="0"/>
              <w:rPr>
                <w:sz w:val="20"/>
                <w:szCs w:val="20"/>
                <w:color w:val="auto"/>
              </w:rPr>
            </w:pPr>
            <w:r>
              <w:rPr>
                <w:rFonts w:ascii="Arial" w:cs="Arial" w:eastAsia="Arial" w:hAnsi="Arial"/>
                <w:sz w:val="18"/>
                <w:szCs w:val="18"/>
                <w:color w:val="auto"/>
              </w:rPr>
              <w:t>(13,161 )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(8,420 )</w:t>
            </w:r>
          </w:p>
        </w:tc>
      </w:tr>
      <w:tr>
        <w:trPr>
          <w:trHeight w:val="486"/>
        </w:trPr>
        <w:tc>
          <w:tcPr>
            <w:tcW w:w="1320" w:type="dxa"/>
            <w:vAlign w:val="bottom"/>
          </w:tcPr>
          <w:p>
            <w:pPr>
              <w:jc w:val="right"/>
              <w:ind w:right="54"/>
              <w:spacing w:after="0"/>
              <w:rPr>
                <w:sz w:val="20"/>
                <w:szCs w:val="20"/>
                <w:color w:val="auto"/>
              </w:rPr>
            </w:pPr>
            <w:r>
              <w:rPr>
                <w:rFonts w:ascii="Arial" w:cs="Arial" w:eastAsia="Arial" w:hAnsi="Arial"/>
                <w:sz w:val="18"/>
                <w:szCs w:val="18"/>
                <w:color w:val="auto"/>
              </w:rPr>
              <w:t>(14,230 )</w:t>
            </w:r>
          </w:p>
        </w:tc>
        <w:tc>
          <w:tcPr>
            <w:tcW w:w="1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3,169</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826</w:t>
            </w:r>
          </w:p>
        </w:tc>
        <w:tc>
          <w:tcPr>
            <w:tcW w:w="80" w:type="dxa"/>
            <w:vAlign w:val="bottom"/>
          </w:tcPr>
          <w:p>
            <w:pPr>
              <w:spacing w:after="0"/>
              <w:rPr>
                <w:sz w:val="24"/>
                <w:szCs w:val="24"/>
                <w:color w:val="auto"/>
              </w:rPr>
            </w:pPr>
          </w:p>
        </w:tc>
      </w:tr>
      <w:tr>
        <w:trPr>
          <w:trHeight w:val="378"/>
        </w:trPr>
        <w:tc>
          <w:tcPr>
            <w:tcW w:w="1320" w:type="dxa"/>
            <w:vAlign w:val="bottom"/>
          </w:tcPr>
          <w:p>
            <w:pPr>
              <w:jc w:val="right"/>
              <w:ind w:right="134"/>
              <w:spacing w:after="0"/>
              <w:rPr>
                <w:sz w:val="20"/>
                <w:szCs w:val="20"/>
                <w:color w:val="auto"/>
              </w:rPr>
            </w:pPr>
            <w:r>
              <w:rPr>
                <w:rFonts w:ascii="Arial" w:cs="Arial" w:eastAsia="Arial" w:hAnsi="Arial"/>
                <w:sz w:val="18"/>
                <w:szCs w:val="18"/>
                <w:color w:val="auto"/>
              </w:rPr>
              <w:t>152,486</w:t>
            </w:r>
          </w:p>
        </w:tc>
        <w:tc>
          <w:tcPr>
            <w:tcW w:w="12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13,956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18,088</w:t>
            </w:r>
          </w:p>
        </w:tc>
        <w:tc>
          <w:tcPr>
            <w:tcW w:w="80" w:type="dxa"/>
            <w:vAlign w:val="bottom"/>
          </w:tcPr>
          <w:p>
            <w:pPr>
              <w:spacing w:after="0"/>
              <w:rPr>
                <w:sz w:val="24"/>
                <w:szCs w:val="24"/>
                <w:color w:val="auto"/>
              </w:rPr>
            </w:pPr>
          </w:p>
        </w:tc>
      </w:tr>
      <w:tr>
        <w:trPr>
          <w:trHeight w:val="297"/>
        </w:trPr>
        <w:tc>
          <w:tcPr>
            <w:tcW w:w="1320" w:type="dxa"/>
            <w:vAlign w:val="bottom"/>
          </w:tcPr>
          <w:p>
            <w:pPr>
              <w:jc w:val="right"/>
              <w:ind w:right="134"/>
              <w:spacing w:after="0"/>
              <w:rPr>
                <w:sz w:val="20"/>
                <w:szCs w:val="20"/>
                <w:color w:val="auto"/>
              </w:rPr>
            </w:pPr>
            <w:r>
              <w:rPr>
                <w:rFonts w:ascii="Arial" w:cs="Arial" w:eastAsia="Arial" w:hAnsi="Arial"/>
                <w:sz w:val="18"/>
                <w:szCs w:val="18"/>
                <w:color w:val="auto"/>
              </w:rPr>
              <w:t>30,500</w:t>
            </w:r>
          </w:p>
        </w:tc>
        <w:tc>
          <w:tcPr>
            <w:tcW w:w="120" w:type="dxa"/>
            <w:vAlign w:val="bottom"/>
          </w:tcPr>
          <w:p>
            <w:pPr>
              <w:spacing w:after="0"/>
              <w:rPr>
                <w:sz w:val="24"/>
                <w:szCs w:val="24"/>
                <w:color w:val="auto"/>
              </w:rPr>
            </w:pPr>
          </w:p>
        </w:tc>
        <w:tc>
          <w:tcPr>
            <w:tcW w:w="24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-1010920</wp:posOffset>
            </wp:positionV>
            <wp:extent cx="7132320" cy="1371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-745490</wp:posOffset>
            </wp:positionV>
            <wp:extent cx="7132320" cy="1289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-376555</wp:posOffset>
            </wp:positionV>
            <wp:extent cx="7132320" cy="2400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497" w:lineRule="exact"/>
        <w:rPr>
          <w:sz w:val="20"/>
          <w:szCs w:val="20"/>
          <w:color w:val="auto"/>
        </w:rPr>
      </w:pPr>
    </w:p>
    <w:p>
      <w:pPr>
        <w:sectPr>
          <w:pgSz w:w="11900" w:h="16838" w:orient="portrait"/>
          <w:cols w:equalWidth="0" w:num="2">
            <w:col w:w="5100" w:space="720"/>
            <w:col w:w="5420"/>
          </w:cols>
          <w:pgMar w:left="320" w:top="333" w:right="339" w:bottom="1440" w:gutter="0" w:footer="0" w:header="0"/>
          <w:type w:val="continuous"/>
        </w:sectPr>
      </w:pPr>
    </w:p>
    <w:p>
      <w:pPr>
        <w:ind w:right="80" w:firstLine="509"/>
        <w:spacing w:after="0" w:line="241" w:lineRule="auto"/>
        <w:rPr>
          <w:sz w:val="20"/>
          <w:szCs w:val="20"/>
          <w:color w:val="auto"/>
        </w:rPr>
      </w:pPr>
      <w:r>
        <w:rPr>
          <w:rFonts w:ascii="Arial" w:cs="Arial" w:eastAsia="Arial" w:hAnsi="Arial"/>
          <w:sz w:val="18"/>
          <w:szCs w:val="18"/>
          <w:color w:val="auto"/>
        </w:rPr>
        <w:t>In April 2014, the Company entered into certain technology license agreements with Dr. Emmanuelle Charpentier pursuant to which the Company licensed certain intellectual property rights under joint ownership from Dr. Charpentier to develop and commercialize products for the treatment or prevention of human diseases. In connection therewith, Dr. Charpentier is entitled to receive nominal clinical milestone payments, low single digit percentage of sublicensing payments received under any sublicense agreement with a third party, and low single-digit percentage royalties based on annual net sales of licensed products and services by the Company and its affiliates and sublicensees.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70" w:name="page171"/>
    <w:bookmarkEnd w:id="170"/>
    <w:p>
      <w:pPr>
        <w:ind w:left="260"/>
        <w:spacing w:after="0"/>
        <w:rPr>
          <w:sz w:val="20"/>
          <w:szCs w:val="20"/>
          <w:color w:val="auto"/>
        </w:rPr>
      </w:pPr>
      <w:r>
        <w:rPr>
          <w:rFonts w:ascii="Arial" w:cs="Arial" w:eastAsia="Arial" w:hAnsi="Arial"/>
          <w:sz w:val="18"/>
          <w:szCs w:val="18"/>
          <w:i w:val="1"/>
          <w:iCs w:val="1"/>
          <w:color w:val="auto"/>
        </w:rPr>
        <w:t>Patent Assignment Agreement</w:t>
      </w:r>
    </w:p>
    <w:p>
      <w:pPr>
        <w:spacing w:after="0" w:line="90" w:lineRule="exact"/>
        <w:rPr>
          <w:sz w:val="20"/>
          <w:szCs w:val="20"/>
          <w:color w:val="auto"/>
        </w:rPr>
      </w:pPr>
    </w:p>
    <w:p>
      <w:pPr>
        <w:ind w:right="20" w:firstLine="509"/>
        <w:spacing w:after="0" w:line="246" w:lineRule="auto"/>
        <w:rPr>
          <w:sz w:val="20"/>
          <w:szCs w:val="20"/>
          <w:color w:val="auto"/>
        </w:rPr>
      </w:pPr>
      <w:r>
        <w:rPr>
          <w:rFonts w:ascii="Arial" w:cs="Arial" w:eastAsia="Arial" w:hAnsi="Arial"/>
          <w:sz w:val="17"/>
          <w:szCs w:val="17"/>
          <w:color w:val="auto"/>
        </w:rPr>
        <w:t>In November 2014, the Company entered into a patent assignment agreement with Dr. Charpentier, Dr. Ines Fonfara, and Vienna (collectively, the “Assignors”), pursuant to which the Company was assigned all rights, title and interest in and to certain patent rights claimed in the U.S. Patent Application No.61/905,835. As a result, the Assignors are entitled to receive certain low single digit clinical milestone payments and low single digit royalties based on annual net sales of licensed products and licensed services by the Company, its affiliates and sublicensees.</w:t>
      </w:r>
    </w:p>
    <w:p>
      <w:pPr>
        <w:spacing w:after="0" w:line="184" w:lineRule="exact"/>
        <w:rPr>
          <w:sz w:val="20"/>
          <w:szCs w:val="20"/>
          <w:color w:val="auto"/>
        </w:rPr>
      </w:pPr>
    </w:p>
    <w:p>
      <w:pPr>
        <w:ind w:right="180" w:firstLine="509"/>
        <w:spacing w:after="0" w:line="324" w:lineRule="auto"/>
        <w:rPr>
          <w:sz w:val="20"/>
          <w:szCs w:val="20"/>
          <w:color w:val="auto"/>
        </w:rPr>
      </w:pPr>
      <w:r>
        <w:rPr>
          <w:rFonts w:ascii="Arial" w:cs="Arial" w:eastAsia="Arial" w:hAnsi="Arial"/>
          <w:sz w:val="16"/>
          <w:szCs w:val="16"/>
          <w:color w:val="auto"/>
        </w:rPr>
        <w:t>During the years ended December 31, 2021, 2020 and 2019, the Company paid an immaterial amount of fees to Dr. Charpentier under the Charpentier License Agreements and the Assignors under the Patent Assignment Agreement, which were recorded as research and development expense.</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Manufacturing and License Agreements</w:t>
      </w:r>
    </w:p>
    <w:p>
      <w:pPr>
        <w:spacing w:after="0" w:line="266"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Company has engaged several research institutions and companies to identify new delivery strategies and applications of the Company’s gene-editing technology. The Company is also a party to a number of license agreements which require significant upfront payments and may be required to make future royalty payments and potential milestone payments from time to time. In addition, the Company is also a party to intellectual property agreements, which require maintenance and milestone payments from time to time. Further, the Company is a party to a number of manufacturing agreements that require upfront payments for the future performance of services.</w:t>
      </w:r>
    </w:p>
    <w:p>
      <w:pPr>
        <w:spacing w:after="0" w:line="14"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In association with these agreements, on a product-by-product basis, the counterparties are eligible to receive up to low eight-digit potential payments upon specified research, development and regulatory milestones. In addition, on a product-by-product basis, the counterparties are eligible to receive potential commercial milestone payments based on specified annual sales thresholds. The potential payments are low-single digit percentages of the specified annual sales thresholds. The counterparties are also eligible to receive low single-digit royalties on future net sales.</w:t>
      </w:r>
    </w:p>
    <w:p>
      <w:pPr>
        <w:ind w:right="40" w:firstLine="509"/>
        <w:spacing w:after="0"/>
        <w:rPr>
          <w:sz w:val="20"/>
          <w:szCs w:val="20"/>
          <w:color w:val="auto"/>
        </w:rPr>
      </w:pPr>
      <w:r>
        <w:rPr>
          <w:rFonts w:ascii="Arial" w:cs="Arial" w:eastAsia="Arial" w:hAnsi="Arial"/>
          <w:sz w:val="18"/>
          <w:szCs w:val="18"/>
          <w:color w:val="auto"/>
        </w:rPr>
        <w:t>Under certain circumstances and if certain contingent future events occur, Vertex is eligible to receive up to $395.0 million in potential specified research, development, regulatory and commercial milestones and tiered single-digit percentage royalties on future net sales related to a specified target under an amendment to the 2015 Collaboration Agreement defined in Note 9 below. In addition, Vertex has the option to conduct research at their own cost in certain defined areas that, if beneficial to the CTX001 program and ultimately achieves regulatory approval, then the Company could owe Vertex certain milestone payments aggregating to high eight digits, subject to certain limitations on the profitability of the CTX001 program. Refer to Note 9 for further discussion on the Company’s arrangements with Vertex.</w:t>
      </w:r>
    </w:p>
    <w:p>
      <w:pPr>
        <w:spacing w:after="0" w:line="3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Matters</w:t>
      </w:r>
    </w:p>
    <w:p>
      <w:pPr>
        <w:spacing w:after="0" w:line="212" w:lineRule="exact"/>
        <w:rPr>
          <w:sz w:val="20"/>
          <w:szCs w:val="20"/>
          <w:color w:val="auto"/>
        </w:rPr>
      </w:pPr>
    </w:p>
    <w:p>
      <w:pPr>
        <w:ind w:right="80" w:firstLine="599"/>
        <w:spacing w:after="0" w:line="255" w:lineRule="auto"/>
        <w:rPr>
          <w:sz w:val="20"/>
          <w:szCs w:val="20"/>
          <w:color w:val="auto"/>
        </w:rPr>
      </w:pPr>
      <w:r>
        <w:rPr>
          <w:rFonts w:ascii="Arial" w:cs="Arial" w:eastAsia="Arial" w:hAnsi="Arial"/>
          <w:sz w:val="17"/>
          <w:szCs w:val="17"/>
          <w:color w:val="auto"/>
        </w:rPr>
        <w:t>On December 15, 2016, the Company entered into a Consent to Assignments, Licensing and Common Ownership and Invention Management Agreement (the “Invention Management Agreement”) with UC, Vienna, Dr. Charpentier, Intellia Therapeutics, Inc., Caribou Biosciences, Inc., ERS Genomics Ltd. and one of the Company’s subsidiaries. Under the Invention Management Agreement, the Company is obligated to share costs related to patent maintenance, defense and prosecution. For the years ended December 31, 2021, 2020 and 2019, the Company incurred $5.8 million, $4.5 million and $2.9 million, respectively, in shared costs. The Company recorded accrued legal costs from the cost sharing of $4.0 million and $2.5 million as of December 31, 2021 and 2020, respectively. The Company is unable to predict the outcome of these matters and is unable to make a meaningful estimate of the amount or range of loss, if any, that could result from an unfavorable outcome.</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212" w:lineRule="exact"/>
        <w:rPr>
          <w:sz w:val="20"/>
          <w:szCs w:val="20"/>
          <w:color w:val="auto"/>
        </w:rPr>
      </w:pPr>
    </w:p>
    <w:p>
      <w:pPr>
        <w:ind w:right="120" w:firstLine="509"/>
        <w:spacing w:after="0" w:line="274" w:lineRule="auto"/>
        <w:rPr>
          <w:sz w:val="20"/>
          <w:szCs w:val="20"/>
          <w:color w:val="auto"/>
        </w:rPr>
      </w:pPr>
      <w:r>
        <w:rPr>
          <w:rFonts w:ascii="Arial" w:cs="Arial" w:eastAsia="Arial" w:hAnsi="Arial"/>
          <w:sz w:val="16"/>
          <w:szCs w:val="16"/>
          <w:color w:val="auto"/>
        </w:rPr>
        <w:t>In the ordinary course of business, the Company is from time to time involved in lawsuits, investigations, proceedings and threats of litigation related to, among other things, the Company’s intellectual property estate (including certain in-licensed intellectual property), commercial arrangements and other matters. Such proceedings may include quasi-litigation, inter partes administrative proceedings in the U.S. Patent and Trademark Office and the European Patent Office involving the Company’s intellectual property estate including certain in-licensed intellectual property. The outcome of any of the foregoing, regardless of the merits, is inherently uncertain. In addition, litigation and related matters are costly and may divert the attention of Company’s management and other resources that would otherwise be engaged in other activities. If the Company is unable to prevail in any such proceedings, the Company’s business, results of operations, liquidity and financial condition could be adversely affected.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9. Significant Contracts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Agreements with Vertex Pharmaceuticals Incorporated and certain of its subsidiaries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On October 26, 2015, the Company entered into a strategic collaboration, option and license agreement, or the 2015 Collaboration Agreement, with Vertex. The 2015 Collaboration Agreement is focused on the use of the Company’s CRISPR/Cas9 gene-editing technology to discover and develop potential new treatments aimed at the underlying genetic causes of human disease.</w:t>
      </w:r>
    </w:p>
    <w:p>
      <w:pPr>
        <w:spacing w:after="0" w:line="182"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On December 12, 2017, the Company and Vertex entered into Amendment No. 1 to the 2015 Collaboration Agreement, or Amendment No. 1, and the Joint Development Agreement, or the JDA. Amendment No. 1, among other things, modified certain definitions and provisions of the 2015 Collaboration Agreement to make them consistent with the JDA and clarified how many options are exercised (or deemed exercised) in connection with certain targets specified under the 2015 Collaboration Agreement. Amendment No. 1 also amended other provisions of the 2015 Collaboration Agreement, including the expiration terms.</w:t>
      </w:r>
    </w:p>
    <w:p>
      <w:pPr>
        <w:spacing w:after="0" w:line="189"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In connection with the 2015 Collaboration Agreement, Vertex made a nonrefundable upfront payment of $75.0 million. Under the 2015 Collaboration Agreement, Vertex agreed to fund the discovery activities conducted pursuant to the agreement while retaining options to co-exclusive and exclusive licenses. In December 2017, upon execution of the JDA and Amendment No. 1, Vertex exercised its option to obtain a co-exclusive license to develop and commercialize hemoglobinopathy and beta-globin targets. As such, for potential hemoglobinopathy treatments, including treatments for sickle cell disease, the Company and Vertex agreed to share equally all research and development costs and worldwide revenues. In connection with the JDA, the Company received a $7.0 million up-front payment from Vertex and subsequently received a one-time low seven-digit milestone payment upon the dosing of the second patient in a clinical trial with the initial product candidate. In addition, upon execution of the JDA and Amendment No. 1, it was clarified that Vertex may elect to license up to four remaining targets, for which it will lead global development and commercialization activities, and the Company received the right to receive up to $420.0 million in development, regulatory and commercial milestones and royalties on net product sales for each of the targets (inclusive of $10 million due upon exercise of each exclusive option).</w:t>
      </w:r>
    </w:p>
    <w:p>
      <w:pPr>
        <w:spacing w:after="0" w:line="180"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In June 2019, the Company and Vertex entered into a series of agreements, which closed on July 23, 2019, including a strategic collaboration and license agreement, or the 2019 Collaboration Agreement, for the development and commercialization of products for the treatment of Duchenne muscular dystrophy, or DMD, and Myotonic Dystrophy Type 1, or DM1. Under the terms of the 2019 Collaboration Agreement, the Company received an upfront, nonrefundable payment of $175.0 million. In addition, the Company was initially eligible to receive potential aggregate payments of up to $825.0 million based upon the successful achievement of specified research, development, regulatory and commercial milestones for the DMD and DM1 programs.</w:t>
      </w:r>
    </w:p>
    <w:p>
      <w:pPr>
        <w:spacing w:after="0" w:line="15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 is also eligible to receive tiered royalties on future net sales on any products that may result from this collaboration. For the DMD program, Vertex is responsible for all research, development, manufacturing and commercialization activities and all related costs. For the DM1 program, the Company performed specified guide RNA research and Vertex is responsible for all other research, development, manufacturing and commercialization costs. Upon Investigational New Drug, or IND, application filing, the Company has the option to forego the DM1 milestones and royalties, and instead, co-develop and co-commercialize all DM1 products globally in exchange for payment of 50% of research and development costs incurred by Vertex from the effective date of the agreement through IND filing.</w:t>
      </w:r>
    </w:p>
    <w:p>
      <w:pPr>
        <w:spacing w:after="0" w:line="189"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In connection with the execution of the 2019 Collaboration Agreement, the Company and Vertex entered into a second amendment to the 2015 Collaboration Agreement, or Amendment No. 2. Among other things, Amendment No. 2 modified certain definitions and provisions of the 2015 Collaboration Agreement to make them consistent with the 2019 Collaboration Agreement and set forth the number and identity of the collaboration targets under the 2015 Collaboration Agreement. The Company and Vertex agreed that one of the four remaining options under the 2015 Collaboration Agreement, as amended, would not be exercised; instead, the Company reacquired the exclusive rights and agreed to conduct research and development activities for the specified target. Vertex will have the option to co-develop and co-commercialize the specified target upon IND filing in exchange for payment of 50% of research and development costs incurred by the Company from the effective date of the agreement through IND filing. If Vertex does not exercise its option to co-develop and co-commercialize the specified target, Vertex is eligible to receive up to $395.0 million in potential specified research, development, regulatory and commercial milestones and tiered single-digit royalties on future net sales.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72" w:name="page173"/>
    <w:bookmarkEnd w:id="172"/>
    <w:p>
      <w:pPr>
        <w:ind w:firstLine="509"/>
        <w:spacing w:after="0" w:line="257" w:lineRule="auto"/>
        <w:rPr>
          <w:sz w:val="20"/>
          <w:szCs w:val="20"/>
          <w:color w:val="auto"/>
        </w:rPr>
      </w:pPr>
      <w:r>
        <w:rPr>
          <w:rFonts w:ascii="Arial" w:cs="Arial" w:eastAsia="Arial" w:hAnsi="Arial"/>
          <w:sz w:val="17"/>
          <w:szCs w:val="17"/>
          <w:color w:val="auto"/>
        </w:rPr>
        <w:t>In October 2019, Vertex exercised the remaining three options granted to it under the 2015 Collaboration Agreement to exclusively license the collaboration targets developed under the 2015 Collaboration Agreement, resulting in a payment of $30.0 million to the Company in the fourth quarter of 2019. In addition, the Company achieved the first milestone under the 2019 Collaboration Agreement in the first quarter of 2020 and, in connection therewith, received a payment of $25.0 million in April 2020. The Company achieved the second milestone under the 2019 Collaboration Agreement in the fourth quarter of 2021 and, in connection therewith, received a payment of $12.5 million in December 2021. As of December 31, 2021, the Company is eligible to receive remaining potential future milestones of $775.0 under the 2019 Collaboration Agreement.</w:t>
      </w:r>
    </w:p>
    <w:p>
      <w:pPr>
        <w:spacing w:after="0" w:line="17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April 2021, the Company and Vertex agreed to amend and restate the JDA and entered into an Amended and Restated Joint Development and Commercialization Agreement, or the “A&amp;R Vertex JDCA,” pursuant to which the parties agreed to, among other things, (a) adjust the governance structure for the collaboration and adjust the responsibilities of each party thereunder, whereby Vertex shall lead and have all decision making (i.e., control) in relation to the CTX001 program prospectively; (b) adjust the allocation of net profits and net losses between the parties with respect to CTX001 only, which will be allocated 40% to the Company and 60% to Vertex, prospectively; and (c) exclusively license (subject to the Company’s reserved rights to conduct certain activities) certain intellectual property rights to Vertex relating to the specified product candidates and products (including CTX001) that may be researched, developed, manufactured and commercialized on a worldwide basis under such agreement. The transaction contemplated by the A&amp;R Vertex JDCA closed in the second quarter of 2021. The Company will provide certain specified transition services to Vertex in connection with the agreement.</w:t>
      </w:r>
    </w:p>
    <w:p>
      <w:pPr>
        <w:spacing w:after="0" w:line="191"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In connection with the closing of the transaction contemplated by the A&amp;R Vertex JDCA, the Company received a $900.0 million up-front payment from Vertex. Additionally, the Company is eligible to receive a one-time $200.0 million milestone payment upon receipt by Vertex of the first marketing approval of the initial product candidate from the U.S. Food and Drug Administration or the European Commission. With respect to CTX001 only, the net profits and net losses, as applicable, incurred under the A&amp;R Vertex JDCA through July 1, 2021 in connection with the initial shared product (i.e., CTX001) were shared equally between the Company and Vertex, and beginning July 1, 2021, the net profits and net losses, as applicable, incurred under the A&amp;R Vertex JDCA are allocated 40% to the Company and 60% to Vertex. Additionally, the A&amp;R Vertex JDCA allows the Company to defer a portion of its share of costs under the arrangement if spending on the CTX001 program exceeds specified amounts. Any deferred amounts are only payable to Vertex as an offset against future profitability of the CTX001 program and the amounts payable are capped at a specified maximum amount per year.</w:t>
      </w:r>
    </w:p>
    <w:p>
      <w:pPr>
        <w:spacing w:after="0" w:line="200" w:lineRule="exact"/>
        <w:rPr>
          <w:sz w:val="20"/>
          <w:szCs w:val="20"/>
          <w:color w:val="auto"/>
        </w:rPr>
      </w:pP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for the Vertex Agreements</w:t>
      </w:r>
    </w:p>
    <w:p>
      <w:pPr>
        <w:spacing w:after="0" w:line="104"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The 2015 Collaboration Agreement, Amendment No. 1, and JDA are collectively the “2015 Agreements” and the 2019 Collaboration Agreement and Amendment No. 2. are collectively the “2019 Agreements.” The 2015 Collaboration Agreement, Amendment No. 1, Amendment No. 2, JDA, A&amp;R Vertex JDCA and 2019 Collaboration Agreement are collectively the “Vertex Agreements.”</w:t>
      </w:r>
    </w:p>
    <w:p>
      <w:pPr>
        <w:spacing w:after="0" w:line="182" w:lineRule="exact"/>
        <w:rPr>
          <w:sz w:val="20"/>
          <w:szCs w:val="20"/>
          <w:color w:val="auto"/>
        </w:rPr>
      </w:pPr>
    </w:p>
    <w:p>
      <w:pPr>
        <w:jc w:val="both"/>
        <w:ind w:right="160" w:firstLine="509"/>
        <w:spacing w:after="0" w:line="284" w:lineRule="auto"/>
        <w:rPr>
          <w:sz w:val="20"/>
          <w:szCs w:val="20"/>
          <w:color w:val="auto"/>
        </w:rPr>
      </w:pPr>
      <w:r>
        <w:rPr>
          <w:rFonts w:ascii="Arial" w:cs="Arial" w:eastAsia="Arial" w:hAnsi="Arial"/>
          <w:sz w:val="16"/>
          <w:szCs w:val="16"/>
          <w:color w:val="auto"/>
        </w:rPr>
        <w:t xml:space="preserve">The Vertex Agreements include components of a customer-vendor relationship as defined under ASC 606, collaborative arrangements as defined under ASC 808 and research and development costs as defined under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or ASC 730. Additionally, the A&amp;R Vertex JDCA allows the Company to defer a portion of its share of costs under the arrangement if spending on the CTX001 program exceeds specified amounts, which are only payable to Vertex as an offset against future profitability of the CTX001 program up to a maximum amount per year.</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Analysis Under ASC 606</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for the A&amp;R Vertex JDCA</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Identification of the Contract</w:t>
      </w:r>
    </w:p>
    <w:p>
      <w:pPr>
        <w:spacing w:after="0" w:line="104"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The A&amp;R Vertex JDCA represented a contractual modification to the JDA. For accounting purposes, the A&amp;R Vertex JDCA was treated as a separate contract.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0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Company concluded the A&amp;R Vertex JDCA contained a single material promise, an exclusive worldwide license granting Vertex an additional 10% economic interest in the CTX001 program and the right to control development and commercialization of CTX001, or the “CTX001 Exclusive License.” The Company concluded the CTX001 Exclusive License was both capable of being distinct and distinct within the context of the A&amp;R Vertex JDCA, and the CTX001 Exclusive License was sold at its estimated standalone selling price, or “ESSP.” As such, the CTX001 Exclusive License represented a separate performance obligation.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73" w:name="page174"/>
    <w:bookmarkEnd w:id="173"/>
    <w:p>
      <w:pPr>
        <w:ind w:left="260"/>
        <w:spacing w:after="0"/>
        <w:rPr>
          <w:sz w:val="20"/>
          <w:szCs w:val="20"/>
          <w:color w:val="auto"/>
        </w:rPr>
      </w:pPr>
      <w:r>
        <w:rPr>
          <w:rFonts w:ascii="Arial" w:cs="Arial" w:eastAsia="Arial" w:hAnsi="Arial"/>
          <w:sz w:val="18"/>
          <w:szCs w:val="18"/>
          <w:i w:val="1"/>
          <w:iCs w:val="1"/>
          <w:color w:val="auto"/>
        </w:rPr>
        <w:t>Determination of Transaction Price</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transaction price was comprised of the upfront payment of $900.0 million. The Company determined that all other possible variable consideration resulting from milestones and royalties discussed above was fully constrained at the time of the transaction. The Company will reevaluate the transaction price in each reporting period.</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Allocation of Transaction Price to Performance Obligations</w:t>
      </w:r>
    </w:p>
    <w:p>
      <w:pPr>
        <w:spacing w:after="0" w:line="104"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The selling price of the performance obligation was determined based on the Company’s ESSP. The Company developed the ESSP for the CTX001 Exclusive License with the objective of determining the price at which it would sell such an item if it were to be sold regularly on a standalone basis.</w:t>
      </w:r>
    </w:p>
    <w:p>
      <w:pPr>
        <w:spacing w:after="0" w:line="16"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The ESSP for the CTX001 Exclusive License was determined to be approximately $900.0 million. The ESSP was determined based on 10% of the probability and present value adjusted cash flows from projected worldwide net profit for CTX001 based on probability assessments, projections based on internal forecasts, industry data, and information from other guideline companies within the same industry and other relevant factors. As the Company determined the CTX001 Exclusive License was the only performance obligation, the entire transaction price was allocated to the CTX001 Exclusive License. The aforementioned ESSP reflects the level of risk and expected probability of success inherent in the nature of the associated research area.</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Recognition of Revenue</w:t>
      </w:r>
    </w:p>
    <w:p>
      <w:pPr>
        <w:spacing w:after="0" w:line="104" w:lineRule="exact"/>
        <w:rPr>
          <w:sz w:val="20"/>
          <w:szCs w:val="20"/>
          <w:color w:val="auto"/>
        </w:rPr>
      </w:pPr>
    </w:p>
    <w:p>
      <w:pPr>
        <w:ind w:right="140" w:firstLine="509"/>
        <w:spacing w:after="0" w:line="294" w:lineRule="auto"/>
        <w:rPr>
          <w:sz w:val="20"/>
          <w:szCs w:val="20"/>
          <w:color w:val="auto"/>
        </w:rPr>
      </w:pPr>
      <w:r>
        <w:rPr>
          <w:rFonts w:ascii="Arial" w:cs="Arial" w:eastAsia="Arial" w:hAnsi="Arial"/>
          <w:sz w:val="16"/>
          <w:szCs w:val="16"/>
          <w:color w:val="auto"/>
        </w:rPr>
        <w:t>The Company determined that the CTX001 Exclusive License represented functional intellectual property, as the intellectual property provides Vertex with the ability to perform a function or task in the form of research and development, manufacturing and commercialization. As such, the revenue related to the CTX001 Exclusive License was recognized at the point in time, which was upon transfer in the second quarter of 2021.</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for the 2019 Agreements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Identification of the Contract</w:t>
      </w:r>
    </w:p>
    <w:p>
      <w:pPr>
        <w:spacing w:after="0" w:line="104"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2019 Agreements represented a contract modification to the 2015 Agreements. As a result, the 2019 Agreements and the 2015 Agreements are combined for accounting purposes and treated as a single arrangement.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Company concluded the following material promises were both capable of being distinct and distinct within the context of the 2019 Agreements and represented separate performance obligations: (i) an exclusive license for worldwide rights for DMD gene editing products, or DMD License; (ii) an exclusive license for worldwide rights for DM1 gene editing products, or DM1 License; (iii) the performance of specified guide RNA research for DM1, or DM1 R&amp;D Services; (iv) a material right representing the option to obtain a co-exclusive development and commercialization license for a specified target, or Specified Target Option; (v) three material rights representing the option for up to three exclusive licenses to develop and commercialize the collaboration targets, or Collaboration Target Options; and (vi) the waiving of Vertex’s material right associated with its option to a fourth exclusive license in connection with the Company’s reacquisition of exclusive rights to the specified target.</w:t>
      </w:r>
    </w:p>
    <w:p>
      <w:pPr>
        <w:spacing w:after="0" w:line="2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Transaction Price</w:t>
      </w:r>
    </w:p>
    <w:p>
      <w:pPr>
        <w:spacing w:after="0" w:line="10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The initial overall transaction price was determined based on the remaining transaction price from the 2015 Agreements, as well as the transaction price from the 2019 Agreements. The initial transaction price included variable consideration estimated using the most likely amount methodology. The Company determined the initial transaction price totaling $268.6 million was comprised of: (i) $57.8 million of pre-existing deferred revenue from the 2015 Agreements; (ii) non-cash consideration of $10.0 million related to the waiving of Vertex’s material right associated with its option to a fourth exclusive license in connection with the Company’s reacquisition of exclusive rights to the specified target; (iii) an upfront payment of $175.0 million; (iv) variable consideration of $25.0 million which represented the Company’s estimate related to a near-term research and development milestone for which the Company determined that it is not probable that a significant reversal of cumulative consideration will occur at the onset of the transaction; and (v) variable consideration of $0.8 million which represents the Company’s estimate of payments from Vertex for DM1 R&amp;D Services.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74" w:name="page175"/>
    <w:bookmarkEnd w:id="174"/>
    <w:p>
      <w:pPr>
        <w:ind w:firstLine="509"/>
        <w:spacing w:after="0" w:line="262" w:lineRule="auto"/>
        <w:rPr>
          <w:sz w:val="20"/>
          <w:szCs w:val="20"/>
          <w:color w:val="auto"/>
        </w:rPr>
      </w:pPr>
      <w:r>
        <w:rPr>
          <w:rFonts w:ascii="Arial" w:cs="Arial" w:eastAsia="Arial" w:hAnsi="Arial"/>
          <w:sz w:val="17"/>
          <w:szCs w:val="17"/>
          <w:color w:val="auto"/>
        </w:rPr>
        <w:t>In December 2021, the Company achieved a milestone under the 2019 Collaboration Agreement. In connection therewith, the Company adjusted the transaction price to include $12.5 million in previously constrained variable consideration. The milestone was allocated to the performance obligations using the relative standalone selling price method, and revenue of $12.0 million was recognized for amounts allocated to fully satisfied performance obligations. Amounts allocated to unsatisfied performance obligations of $0.5 million were included in deferred revenue.</w:t>
      </w:r>
    </w:p>
    <w:p>
      <w:pPr>
        <w:spacing w:after="0" w:line="172" w:lineRule="exact"/>
        <w:rPr>
          <w:sz w:val="20"/>
          <w:szCs w:val="20"/>
          <w:color w:val="auto"/>
        </w:rPr>
      </w:pPr>
    </w:p>
    <w:p>
      <w:pPr>
        <w:ind w:right="820" w:firstLine="509"/>
        <w:spacing w:after="0" w:line="291" w:lineRule="auto"/>
        <w:rPr>
          <w:sz w:val="20"/>
          <w:szCs w:val="20"/>
          <w:color w:val="auto"/>
        </w:rPr>
      </w:pPr>
      <w:r>
        <w:rPr>
          <w:rFonts w:ascii="Arial" w:cs="Arial" w:eastAsia="Arial" w:hAnsi="Arial"/>
          <w:sz w:val="17"/>
          <w:szCs w:val="17"/>
          <w:color w:val="auto"/>
        </w:rPr>
        <w:t>The Company determined that all other possible variable consideration resulting from milestones and royalties discussed above was fully constrained as of December 31, 2021. The Company will re-evaluate the transaction price in each reporting period.</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Allocation of Transaction Price to Performance Obligations</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selling price of each performance obligation was determined based on the Company’s ESSP. The Company developed the ESSP for all the performance obligations included in the Vertex Agreements with the objective of determining the price at which it would sell such an item if it were to be sold regularly on a standalone basis. The Company then allocated the transaction price to each performance obligation on a relative standalone selling price basis.</w:t>
      </w:r>
    </w:p>
    <w:p>
      <w:pPr>
        <w:spacing w:after="0" w:line="188"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ESSP for the DMD License and DM1 License was determined to be $224.6 million and $76.2 million, respectively. The ESSP was determined based on probability and present value adjusted cash flows from projected worldwide net profit for each of the respective programs based on probability assessments, projections based on internal forecasts, industry data, and information from other guideline companies within the same industry and other relevant factors. On a relative basis, $151.1 million and $51.3 million of the initial transaction price was allocated to the DMD License and DM1 License, respectively.</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ESSP for the Specified Target Option material right was determined to be $17.5 million, which was based on the incremental discount between</w:t>
      </w:r>
    </w:p>
    <w:p>
      <w:pPr>
        <w:spacing w:after="0" w:line="35" w:lineRule="exact"/>
        <w:rPr>
          <w:sz w:val="20"/>
          <w:szCs w:val="20"/>
          <w:color w:val="auto"/>
        </w:rPr>
      </w:pPr>
    </w:p>
    <w:p>
      <w:pPr>
        <w:ind w:right="80" w:firstLine="8"/>
        <w:spacing w:after="0" w:line="256" w:lineRule="auto"/>
        <w:tabs>
          <w:tab w:leader="none" w:pos="2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value of the probability and present value adjusted cash flows from the equal sharing of projected worldwide net profit increased by the value of the option provided to Vertex less (ii) the expected exercise price at the time of option exercise. The present value adjusted cash flows also considered projections based on internal forecasts, industry data, and information from other guideline companies within the same industry and other relevant factors. On a relative basis $11.8 million of the initial transaction price was allocated to the Specified Target Option material right.</w:t>
      </w:r>
    </w:p>
    <w:p>
      <w:pPr>
        <w:spacing w:after="0" w:line="17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 ESSP for each of the three Collaboration Target Option material rights was determined to be $25.0 million, $22.2 million and $22.2 million, respectively, which was determined based on the probability and present value adjusted cash flows from milestone payments owed for exclusive licenses, less the price paid to exercise each option. On a relative basis, $46.7 million of the initial transaction price was allocated to the Collaboration Target Option material rights.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aforementioned ESSPs reflect the level of risk and expected probability of success inherent in the nature of the associated research area.</w:t>
      </w:r>
    </w:p>
    <w:p>
      <w:pPr>
        <w:spacing w:after="0" w:line="223"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color w:val="auto"/>
        </w:rPr>
        <w:t>The ESSP for the waiving of Vertex’s material right associated with its option to a fourth exclusive license under the 2015 Agreements was determined to be $10.0 million, or the contractual value of the option. On a relative basis, $6.7 million of the initial transaction price was allocated to the waiving of Vertex’s material right associated with its option to a fourth exclusive license under the 2015 Agreements.</w:t>
      </w:r>
    </w:p>
    <w:p>
      <w:pPr>
        <w:spacing w:after="0" w:line="16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ESSP for the DM1 R&amp;D Services was determined to be $1.7 million, which was based on estimates of the associated effort and cost of the services, adjusted for a reasonable profit margin that would be expected to be realized under similar contracts. On a relative basis, $1.1 million of the initial transaction price was allocated to the DM1 R&amp;D Services.</w:t>
      </w:r>
    </w:p>
    <w:p>
      <w:pPr>
        <w:spacing w:after="0" w:line="182"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As discussed above, in December 2021, the Company adjusted the transaction price of the 2019 Collaboration Agreement to include $12.5 million of previously constrained variable consideration associated with a research milestone. The milestone was allocated to the performance obligations using the relative standalone selling price method based on the ESSP's described herein. As a result, revenue of $12.0 million was recognized for amounts allocated to fully satisfied performance obligations. Amounts allocated to unsatisfied performance obligations of $0.5 million were included in deferred revenue.</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Recognition of Revenue</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Company determined that the DMD License and DM1 License represent functional intellectual property, as the intellectual property provides Vertex with the ability to perform a function or task in the form of research and development. As such, the revenue related to the licenses was recognized at the point in time in which they were delivered during the third quarter of 2019.</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75" w:name="page176"/>
    <w:bookmarkEnd w:id="175"/>
    <w:p>
      <w:pPr>
        <w:jc w:val="both"/>
        <w:ind w:firstLine="509"/>
        <w:spacing w:after="0" w:line="248" w:lineRule="auto"/>
        <w:rPr>
          <w:sz w:val="20"/>
          <w:szCs w:val="20"/>
          <w:color w:val="auto"/>
        </w:rPr>
      </w:pPr>
      <w:r>
        <w:rPr>
          <w:rFonts w:ascii="Arial" w:cs="Arial" w:eastAsia="Arial" w:hAnsi="Arial"/>
          <w:sz w:val="18"/>
          <w:szCs w:val="18"/>
          <w:color w:val="auto"/>
        </w:rPr>
        <w:t>The revenue allocated to the waiving of Vertex’s material right associated with its option to a fourth exclusive license in connection with Company’s reacquisition of exclusive rights to the specified target was recognized at the point in time in which the option was waived, on the effective date of the 2019 Agreements.</w:t>
      </w:r>
    </w:p>
    <w:p>
      <w:pPr>
        <w:spacing w:after="0" w:line="182" w:lineRule="exact"/>
        <w:rPr>
          <w:sz w:val="20"/>
          <w:szCs w:val="20"/>
          <w:color w:val="auto"/>
        </w:rPr>
      </w:pPr>
    </w:p>
    <w:p>
      <w:pPr>
        <w:ind w:right="340" w:firstLine="509"/>
        <w:spacing w:after="0" w:line="282" w:lineRule="auto"/>
        <w:rPr>
          <w:sz w:val="20"/>
          <w:szCs w:val="20"/>
          <w:color w:val="auto"/>
        </w:rPr>
      </w:pPr>
      <w:r>
        <w:rPr>
          <w:rFonts w:ascii="Arial" w:cs="Arial" w:eastAsia="Arial" w:hAnsi="Arial"/>
          <w:sz w:val="16"/>
          <w:szCs w:val="16"/>
          <w:color w:val="auto"/>
        </w:rPr>
        <w:t>The Company concluded that the Specified Target Option and Collaboration Target Options were considered material rights under the Vertex Agreements. Revenue related to the three Collaboration Target Options material right was recognized at the point in time in which Vertex exercised the</w:t>
      </w:r>
    </w:p>
    <w:p>
      <w:pPr>
        <w:spacing w:after="0"/>
        <w:rPr>
          <w:sz w:val="20"/>
          <w:szCs w:val="20"/>
          <w:color w:val="auto"/>
        </w:rPr>
      </w:pPr>
      <w:r>
        <w:rPr>
          <w:rFonts w:ascii="Arial" w:cs="Arial" w:eastAsia="Arial" w:hAnsi="Arial"/>
          <w:sz w:val="18"/>
          <w:szCs w:val="18"/>
          <w:color w:val="auto"/>
        </w:rPr>
        <w:t>Collaboration Target Options, which occurred in the fourth quarter of 2019.</w:t>
      </w:r>
    </w:p>
    <w:p>
      <w:pPr>
        <w:spacing w:after="0" w:line="22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Company recognized revenue related to the DM1 R&amp;D Services over time as the services were rendered, which concluded in the fourth quarter of 2021.</w:t>
      </w:r>
    </w:p>
    <w:p>
      <w:pPr>
        <w:spacing w:after="0" w:line="18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Revenue recognized in connection with the Vertex Agreements</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Revenue recognized under the Vertex Agreements for the year ended December 31, 2021 was $913.1 million and was comprised of (i) revenue related to the exclusive worldwide license for CTX001 of $900.0 million, (ii) revenue related to the second DM1 milestone under the 2019 Agreements of $12.0 million, and (iii) revenue recognized in connection with research and development services. Revenue recognized under the Vertex Agreements for the year ended December 31, 2020 was not material.</w:t>
      </w:r>
    </w:p>
    <w:p>
      <w:pPr>
        <w:spacing w:after="0" w:line="80"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Revenue recognized under the Vertex Agreements for the year ended December 31, 2019 was $289.1 million. The $289.1 million of revenue recognized for the year-ended December 31, 2019 was comprised of (i) revenue related to the DMD License and DM1 License of $202.4 million, which was recognized at the point in time in which the licenses were delivered, (ii) revenue related to the Collaboration Target Options material right of $76.7 million, which was recognized upon the exercise of the Collaboration Target Options by Vertex and is inclusive of the $30.0 million payment made by Vertex to exercise those options, (iii) revenue allocated to the waiving of Vertex’s material right associated with its option to a fourth exclusive license in connection with the Company’s reacquisition of exclusive rights to the specified target of $6.7 million, which was recognized at the point in time in which the option was waived, (iv) revenue recognized in connection with DM1 R&amp;D Services of $0.1 million and (v) revenue recognized of $0.1 million related to both research and development services as well as the amortization of the non-exclusive research license under the 2015 Agreements. Additionally, the Company recognized revenue related to a one-time low seven-digit milestone payment upon the dosing of the second patient in a clinical trial with the initial product candidate in the third quarter of 2019.</w:t>
      </w:r>
    </w:p>
    <w:p>
      <w:pPr>
        <w:spacing w:after="0" w:line="180" w:lineRule="exact"/>
        <w:rPr>
          <w:sz w:val="20"/>
          <w:szCs w:val="20"/>
          <w:color w:val="auto"/>
        </w:rPr>
      </w:pPr>
    </w:p>
    <w:p>
      <w:pPr>
        <w:jc w:val="both"/>
        <w:ind w:right="280" w:firstLine="509"/>
        <w:spacing w:after="0" w:line="294" w:lineRule="auto"/>
        <w:rPr>
          <w:sz w:val="20"/>
          <w:szCs w:val="20"/>
          <w:color w:val="auto"/>
        </w:rPr>
      </w:pPr>
      <w:r>
        <w:rPr>
          <w:rFonts w:ascii="Arial" w:cs="Arial" w:eastAsia="Arial" w:hAnsi="Arial"/>
          <w:sz w:val="17"/>
          <w:szCs w:val="17"/>
          <w:color w:val="auto"/>
        </w:rPr>
        <w:t>As of December 31, 2021 and 2020 there was $0.0 million and $0.4 million of current deferred revenue related to the collaboration with Vertex, respectively. As of December 31, 2021 and 2020, there was $12.3 million and $11.8 million of non-current deferred revenue, respectively, related to the collaboration with Vertex. The transaction price allocated to the remaining performance obligations was $12.3 million.</w:t>
      </w:r>
    </w:p>
    <w:p>
      <w:pPr>
        <w:spacing w:after="0" w:line="2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Future Milestones under the Vertex Agreements</w:t>
      </w:r>
    </w:p>
    <w:p>
      <w:pPr>
        <w:spacing w:after="0" w:line="104"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The Company has evaluated the milestones that may be received in connection with the Vertex Agreements. As discussed above, the Company is eligible to receive up to $410.0 million in additional development, regulatory and commercial milestones and royalties on net product sales for each of the three collaboration targets that Vertex licensed in the fourth quarter of 2019. Each milestone is payable only once per collaboration target, regardless of the number of products directed to such collaboration target that achieve the relevant milestone event.</w:t>
      </w:r>
    </w:p>
    <w:p>
      <w:pPr>
        <w:spacing w:after="0" w:line="17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Company is eligible to receive additional potential future payments of up to $775.0 million based upon the successful achievement of specified development, regulatory and commercial milestones for the DMD and DM1 programs. The Company is also eligible to receive tiered royalties on future net sales on any products that may result from this collaboration; however, the Company has the option to forego the DM1 milestones and royalties to co-develop and co-commercialize all DM1 products globally.</w:t>
      </w:r>
    </w:p>
    <w:p>
      <w:pPr>
        <w:spacing w:after="0" w:line="188"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The Company is eligible to receive additional potential future payments of up to $200.0 million upon receipt by Vertex of the first marketing approval of the initial product candidate from the U.S. Food and Drug Administration or the European Commission. In addition, the Company has the option to conduct research at their own cost in certain defined areas that, if beneficial to the CTX001 program and CTX001 ultimately achieves regulatory approval in such areas, then the Company could be entitled to certain milestone payments aggregating to high eight digits from Vertex.</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76" w:name="page177"/>
    <w:bookmarkEnd w:id="176"/>
    <w:p>
      <w:pPr>
        <w:ind w:firstLine="563"/>
        <w:spacing w:after="0" w:line="241" w:lineRule="auto"/>
        <w:rPr>
          <w:sz w:val="20"/>
          <w:szCs w:val="20"/>
          <w:color w:val="auto"/>
        </w:rPr>
      </w:pPr>
      <w:r>
        <w:rPr>
          <w:rFonts w:ascii="Arial" w:cs="Arial" w:eastAsia="Arial" w:hAnsi="Arial"/>
          <w:sz w:val="18"/>
          <w:szCs w:val="18"/>
          <w:color w:val="auto"/>
        </w:rPr>
        <w:t>Each of the remaining milestones are fully constrained as of December 31, 2021. There is uncertainty that the events to obtain the research and developmental milestones will be achieved given the nature of clinical development and the stage of the CRISPR/Cas9 technology. The remaining research, development and regulatory milestones will be constrained until it is probable that a significant revenue reversal will not occur. Commercial milestones and royalties relate predominantly to a license of intellectual property and are determined by sales or usage-based thresholds. The commercial milestones and royalties are accounted for under the royalty recognition constraint and will be accounted for as constrained variable consideration. The Company applies the royalty recognition constraint for each commercial milestone and will not recognize revenue for each until the subsequent sale of a licensed product (achievement of each) occurs.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Analysis under ASC 808</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Vertex Agreements, the Company identified the following collaborative elements, which are accounted for under ASC 808:</w:t>
      </w:r>
    </w:p>
    <w:p>
      <w:pPr>
        <w:spacing w:after="0" w:line="35" w:lineRule="exact"/>
        <w:rPr>
          <w:sz w:val="20"/>
          <w:szCs w:val="20"/>
          <w:color w:val="auto"/>
        </w:rPr>
      </w:pPr>
    </w:p>
    <w:p>
      <w:pPr>
        <w:ind w:right="120" w:firstLine="8"/>
        <w:spacing w:after="0" w:line="277" w:lineRule="auto"/>
        <w:tabs>
          <w:tab w:leader="none" w:pos="2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development and commercialization services for shared products, including any transition services related to CTX001 under the A&amp;R JDCA; (ii) R&amp;D Services for follow-on products; and (iii) committee participation. The related impact of the cost sharing associated with research and development is included in research and development expense. Expenses related to services performed by the Company are classified as research and development expense. Payments received from Vertex for partial reimbursement of expenses are recorded as a reduction of research and development expense.</w:t>
      </w:r>
    </w:p>
    <w:p>
      <w:pPr>
        <w:spacing w:after="0" w:line="161"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During the years ended December 31, 2021, 2020 and 2019, the Company recognized $111.6 million, $48.6 million, and $29.2 million of research and development expense related to the Vertex Agreements, respectively. Research and development expense for the years ended December 31, 2021, 2020 and 2019 is net of $47.4 million, $28.2 million, and $15.9 million of reimbursements from Vertex, respectively.</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Analysis under ASC 730</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connection with the 2019 Agreements, the Company and Vertex agreed that one of the four remaining options under the 2015 Agreements, as amended, would not be exercised; instead, the Company will conduct research and development activities for a specified target. Vertex will have the option to co-develop and co-commercialize the specified target upon IND filing in exchange for payment of 50% of research and development costs incurred by the Company from the effective date of the agreement through IND filing. If Vertex does not exercise its option to do so within a specified time period, Vertex is eligible to receive up to $395.0 million in potential specified research, development, regulatory and commercial milestones and tiered single-digit royalties on future net sales.</w:t>
      </w:r>
    </w:p>
    <w:p>
      <w:pPr>
        <w:spacing w:after="0" w:line="189"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In connection therewith, the Company determined that in order for the Company to obtain the right to conduct research and development activities on the specified target, the Company had waived its right to receive an option exercise payment of $10.0 million from Vertex, which was included as non-cash consideration in the transaction price for the 2019 Agreements described above. The Company then subsequently reacquired its rights to the specified target by waiving payment owed by Vertex of $10.0 million for a license that represents in-process research and development and therefore, $10.0 million of non-cash consideration was fully expensed upon the execution of the 2019 Agreements. The Company also determined that research and development services through IND for the specified target and any payment of future development and commercialization milestones, as well as sales-based milestones and royalties for the specified target, would be accounted for as research and development costs under ASC 730 and expensed as incurred. In addition, the Company also determined that should the Company elect its option to co-develop and co-commercialize all DM1 products globally, it will record the option fee as research and development expense upon exercise.</w:t>
      </w:r>
    </w:p>
    <w:p>
      <w:pPr>
        <w:spacing w:after="0" w:line="184"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In connection with the A&amp;R Vertex JDCA, Vertex has the option to conduct research at their own cost in certain defined areas that, if beneficial to the CTX001 program and CTX001 ultimately achieves regulatory approval in such areas, then the Company could owe Vertex certain milestone payments aggregating to high eight digits, subject to certain limitations on the profitability of the CTX001 program.</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Agreements with Bayer Healthcare LLC</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w:t>
      </w:r>
    </w:p>
    <w:p>
      <w:pPr>
        <w:spacing w:after="0" w:line="10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On December 19, 2015, the Company entered into an agreement with Bayer, to establish a joint venture to focus on the research and the development of new therapeutics to cure blood disorders, blindness and congenital heart disease. On February 12, 2016, the Company and Bayer completed the formation of the joint venture entity, Casebia. Bayer and the Company each received a 50% equity interest in the entity in exchange for their respective contributions to the entity. At that time, the Company also entered into a separate service agreement with Casebia, under which the Company agreed to provide compensated research and development services. Collectively, these agreements are referred to as the “2015 Casebia Agreements.”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7" w:name="page178"/>
    <w:bookmarkEnd w:id="177"/>
    <w:p>
      <w:pPr>
        <w:ind w:right="80" w:firstLine="509"/>
        <w:spacing w:after="0" w:line="243" w:lineRule="auto"/>
        <w:rPr>
          <w:sz w:val="20"/>
          <w:szCs w:val="20"/>
          <w:color w:val="auto"/>
        </w:rPr>
      </w:pPr>
      <w:r>
        <w:rPr>
          <w:rFonts w:ascii="Arial" w:cs="Arial" w:eastAsia="Arial" w:hAnsi="Arial"/>
          <w:sz w:val="18"/>
          <w:szCs w:val="18"/>
          <w:color w:val="auto"/>
        </w:rPr>
        <w:t>On December 13, 2019, the Company, Bayer and Casebia entered into a series of transactions by which, among other things, the Company acquired 100% of the partnership interests in Casebia, or the Retirement Agreement, the Company and Bayer terminated their joint venture, or the Joint Venture Termination Agreement, and the Company and Bayer entered into a new option agreement, or the 2019 Option Agreement. Collectively, these agreements are referred to as the “2019 Casebia Agreements.”</w:t>
      </w:r>
    </w:p>
    <w:p>
      <w:pPr>
        <w:spacing w:after="0" w:line="188" w:lineRule="exact"/>
        <w:rPr>
          <w:sz w:val="20"/>
          <w:szCs w:val="20"/>
          <w:color w:val="auto"/>
        </w:rPr>
      </w:pPr>
    </w:p>
    <w:p>
      <w:pPr>
        <w:ind w:right="240" w:firstLine="509"/>
        <w:spacing w:after="0" w:line="291" w:lineRule="auto"/>
        <w:rPr>
          <w:sz w:val="20"/>
          <w:szCs w:val="20"/>
          <w:color w:val="auto"/>
        </w:rPr>
      </w:pPr>
      <w:r>
        <w:rPr>
          <w:rFonts w:ascii="Arial" w:cs="Arial" w:eastAsia="Arial" w:hAnsi="Arial"/>
          <w:sz w:val="17"/>
          <w:szCs w:val="17"/>
          <w:color w:val="auto"/>
        </w:rPr>
        <w:t>In connection with the Retirement Agreement, Casebia retired Bayer’s outstanding partnership interests in exchange for $22.0 million less certain estimated interim operating expenses of $6.0 million, and the Company acquired 100% of the partnership interests in Casebia.</w:t>
      </w:r>
    </w:p>
    <w:p>
      <w:pPr>
        <w:spacing w:after="0" w:line="147"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connection with entering into the Retirement Agreement, the Company, Bayer and Casebia entered into the Joint Venture Termination Agreement. In connection therewith, the Company and Bayer agreed to terminate the Joint Venture Agreement from December 2015. Under the Joint Venture Termination Agreement, Casebia-owned patents are now co-owned by the Company and Bayer, subject to certain exclusive licenses granted therein. Under the Joint Venture Termination Agreement, the Company and Bayer each retained rights to their respective contributed intellectual property.</w:t>
      </w:r>
    </w:p>
    <w:p>
      <w:pPr>
        <w:spacing w:after="0" w:line="155"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In connection with entering into the Retirement Agreement and the Joint Venture Termination Agreement, the Company and Bayer also entered into the 2019 Option Agreement, under which, among other things, the Company committed to invest a specified amount in certain research and development activities as described under “Accounting Analysis – Accounting for 2019 Casebia Agreements”. In addition, Bayer has an option (exercisable during a specified exercise period defined by future events, but in no event longer than 5 years after the effective date of the 2019 Option Agreement) to co-develop and co-commercialize two products for the diagnosis, treatment or prevention of certain autoimmune disorders, eye disorders, or hemophilia A disorders. In the event Bayer elects to co-develop and co-commercialize a product, the parties will negotiate and enter into a co-development and co-commercialization agreement, or the Co-Commercialization Agreement, for such product, and Bayer would be responsible for 50% of the research and development costs incurred by the Company for such product going forward. Bayer would receive 50% of all profits from sales of such product and would be responsible for 50% of all losses.</w:t>
      </w:r>
    </w:p>
    <w:p>
      <w:pPr>
        <w:spacing w:after="0" w:line="184" w:lineRule="exact"/>
        <w:rPr>
          <w:sz w:val="20"/>
          <w:szCs w:val="20"/>
          <w:color w:val="auto"/>
        </w:rPr>
      </w:pPr>
    </w:p>
    <w:p>
      <w:pPr>
        <w:ind w:right="380" w:firstLine="509"/>
        <w:spacing w:after="0" w:line="294" w:lineRule="auto"/>
        <w:rPr>
          <w:sz w:val="20"/>
          <w:szCs w:val="20"/>
          <w:color w:val="auto"/>
        </w:rPr>
      </w:pPr>
      <w:r>
        <w:rPr>
          <w:rFonts w:ascii="Arial" w:cs="Arial" w:eastAsia="Arial" w:hAnsi="Arial"/>
          <w:sz w:val="16"/>
          <w:szCs w:val="16"/>
          <w:color w:val="auto"/>
        </w:rPr>
        <w:t>If Bayer elects to exercise its option to co-develop and co-commercialize a product, Bayer will make a one-time $20.0 million payment, or the Option Payment, to the Company that will become non-refundable once the parties execute a Co-Commercialization Agreement with respect to such optioned product. The Option Payment is payable only once with respect to the first time Bayer exercises an option under the 2019 Option Agreement.</w:t>
      </w:r>
    </w:p>
    <w:p>
      <w:pPr>
        <w:spacing w:after="0" w:line="147"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In addition, following Bayer’s exercise of its option and/or the execution of the Co-Commercialization Agreement for an optioned product, for a period beginning on the effective date of such Co-Commercialization Agreement and ending on the earlier of the three month anniversary of such effective date or during the 90-day negotiation process of such Co-Commercialization Agreement, Bayer has a right to negotiate an exclusive license to develop and commercialize such optioned product. If Bayer exercises such right, the parties will enter into an exclusive license agreement for such optioned product on terms mutually agreeable to the parties. Further, the Option Payment paid for such optioned product would become credited against payments due under such exclusive license or any other exclusive license entered into in connection with the 2019 Option Agreement.</w:t>
      </w:r>
    </w:p>
    <w:p>
      <w:pPr>
        <w:spacing w:after="0" w:line="162"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Either party may terminate the 2019 Option Agreement upon the other party’s material breach, subject to specified notice and cure provisions. The Company may also terminate the 2019 Option Agreement in the event Bayer commences or participates in any action or proceeding challenging the validity or enforceability of any Company patent necessary or useful for the research, development, manufacture or commercialization of a product that is the subject of the 2019 Option Agreement. Bayer may also terminate the 2019 Option Agreement upon the Company’s bankruptcy or insolvency, or for convenience at any time, after giving written notice.</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for the 2015 Casebia Agreements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Transactions under the 2015 Casebia Agreements ceased on the effective date of the 2019 Casebia Agreements. There was no financial impact of the 2015 Casebia Agreements for the years ended December 31, 2021 and 2020.</w:t>
      </w:r>
    </w:p>
    <w:p>
      <w:pPr>
        <w:spacing w:after="0" w:line="171"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For the year ended December 31, 2019, the only element of the 2015 Casebia Agreements accounted for in accordance with ASC 808 was the cost sharing activity with Casebia with respect to shared research and technology licenses with other vendors for which the Company determined the arrangement was a cost/profit sharing arrangement and not a revenue arrangement. The related impact of the cost sharing included in R&amp;D expense for the year ended December 31, 2019 was not material. Cost sharing activity ceased with the execution of the 2019 Casebia Agreements.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8" w:name="page179"/>
    <w:bookmarkEnd w:id="178"/>
    <w:p>
      <w:pPr>
        <w:ind w:right="440" w:firstLine="509"/>
        <w:spacing w:after="0" w:line="270" w:lineRule="auto"/>
        <w:rPr>
          <w:sz w:val="20"/>
          <w:szCs w:val="20"/>
          <w:color w:val="auto"/>
        </w:rPr>
      </w:pPr>
      <w:r>
        <w:rPr>
          <w:rFonts w:ascii="Arial" w:cs="Arial" w:eastAsia="Arial" w:hAnsi="Arial"/>
          <w:sz w:val="17"/>
          <w:szCs w:val="17"/>
          <w:color w:val="auto"/>
        </w:rPr>
        <w:t>For the year ended December 31, 2019, the only element of 2015 Casebia Agreements accounted for in accordance with ASC 606 was the obligation to perform research and development services for Casebia. Revenue recognized for research and development was not material for the year ended December 31, 2019. This performance obligation was terminated upon the execution of the 2019 Casebia Agreements.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Loss from Equity Method Investment</w:t>
      </w:r>
    </w:p>
    <w:p>
      <w:pPr>
        <w:spacing w:after="0" w:line="104"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During the year ended December 31, 2019, the Company recognized $5.5 million of stock-based compensation expense related to Casebia employees. Unrecognized equity method losses in excess of the Company’s equity investment in Casebia was $72.0 million as of December 31, 2019. Total net loss of Casebia for the period ending December 13, 2019 (prior to the Company’s consolidation of Casebia) was $58.8 million.</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for the 2019 Casebia Agreements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determined that the Retirement Agreement and Joint Venture Termination Agreement resulted in the Company obtaining a controlling</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interest in Casebia and should be accounted for as a separate component from the 2019 Option Agreement. In doing so, the Company allocated the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consideration transferred of $41.0 million (consisting of $16.0 million of assets acquired net of the purchase price, as displayed in the table below,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$25.0 million of cash allocated to the 2019 Option Agreement) between the two components using a relative fair value approach. The Company determined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relative fair value related to obtaining a controlling interest in Casebia was $32.0 million and the relative fair value of the consideration transferred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2019 Option Agreement was $25.0 million, which is comprised of $20.2 million related to certain research and development activities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$4.8 million related to certain options as described above.</w:t>
      </w:r>
    </w:p>
    <w:p>
      <w:pPr>
        <w:spacing w:after="0" w:line="196"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 xml:space="preserve">As a result of the Retirement Agreement, the Company determined that it had obtained a controlling interest in a VIE, for which it became the primary beneficiary. As such, under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the Company accounted for the net assets obtained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In accordance therewith, the Company determined the set of acquired assets and assumed liabilities did not meet the definition of a business, as the Company did not acquire an assembled workforce and thus the Company did not acquire substantive processes capable of producing outputs. As such, no goodwill was recorded. The Company measured the fair value of the assets and liabilities received, determining the relative fair value was $16.0 million (after paying the $16.0 million for Bayer’s 50% interest) and recorded the difference between that amount and the Company’s carrying amount, which was zero, as a gain within other income (expense). The relative fair value of the assets and liabilities received (exclusive of the $16.0 million paid from Casebia to Bayer to retire Bayer’s interest in the JV) was determined as follows (in thousands):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98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Amount</w:t>
            </w:r>
          </w:p>
        </w:tc>
      </w:tr>
      <w:tr>
        <w:trPr>
          <w:trHeight w:val="196"/>
        </w:trPr>
        <w:tc>
          <w:tcPr>
            <w:tcW w:w="89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6,784</w:t>
            </w:r>
          </w:p>
        </w:tc>
        <w:tc>
          <w:tcPr>
            <w:tcW w:w="8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2,565</w:t>
            </w:r>
          </w:p>
        </w:tc>
        <w:tc>
          <w:tcPr>
            <w:tcW w:w="80" w:type="dxa"/>
            <w:vAlign w:val="bottom"/>
          </w:tcPr>
          <w:p>
            <w:pPr>
              <w:spacing w:after="0"/>
              <w:rPr>
                <w:sz w:val="17"/>
                <w:szCs w:val="17"/>
                <w:color w:val="auto"/>
              </w:rPr>
            </w:pPr>
          </w:p>
        </w:tc>
      </w:tr>
      <w:tr>
        <w:trPr>
          <w:trHeight w:val="203"/>
        </w:trPr>
        <w:tc>
          <w:tcPr>
            <w:tcW w:w="8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9,340</w:t>
            </w:r>
          </w:p>
        </w:tc>
        <w:tc>
          <w:tcPr>
            <w:tcW w:w="8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assets</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11,003</w:t>
            </w:r>
          </w:p>
        </w:tc>
        <w:tc>
          <w:tcPr>
            <w:tcW w:w="80" w:type="dxa"/>
            <w:vAlign w:val="bottom"/>
          </w:tcPr>
          <w:p>
            <w:pPr>
              <w:spacing w:after="0"/>
              <w:rPr>
                <w:sz w:val="17"/>
                <w:szCs w:val="17"/>
                <w:color w:val="auto"/>
              </w:rPr>
            </w:pPr>
          </w:p>
        </w:tc>
      </w:tr>
      <w:tr>
        <w:trPr>
          <w:trHeight w:val="203"/>
        </w:trPr>
        <w:tc>
          <w:tcPr>
            <w:tcW w:w="8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1,226</w:t>
            </w:r>
          </w:p>
        </w:tc>
        <w:tc>
          <w:tcPr>
            <w:tcW w:w="80" w:type="dxa"/>
            <w:vAlign w:val="bottom"/>
            <w:shd w:val="clear" w:color="auto" w:fill="CFF0FC"/>
          </w:tcPr>
          <w:p>
            <w:pPr>
              <w:spacing w:after="0"/>
              <w:rPr>
                <w:sz w:val="17"/>
                <w:szCs w:val="17"/>
                <w:color w:val="auto"/>
              </w:rPr>
            </w:pPr>
          </w:p>
        </w:tc>
      </w:tr>
      <w:tr>
        <w:trPr>
          <w:trHeight w:val="203"/>
        </w:trPr>
        <w:tc>
          <w:tcPr>
            <w:tcW w:w="8980" w:type="dxa"/>
            <w:vAlign w:val="bottom"/>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(3,915 )</w:t>
            </w:r>
          </w:p>
        </w:tc>
      </w:tr>
      <w:tr>
        <w:trPr>
          <w:trHeight w:val="203"/>
        </w:trPr>
        <w:tc>
          <w:tcPr>
            <w:tcW w:w="89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(11,003 )</w:t>
            </w:r>
          </w:p>
        </w:tc>
      </w:tr>
      <w:tr>
        <w:trPr>
          <w:trHeight w:val="196"/>
        </w:trPr>
        <w:tc>
          <w:tcPr>
            <w:tcW w:w="89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Net assets</w:t>
            </w:r>
          </w:p>
        </w:tc>
        <w:tc>
          <w:tcPr>
            <w:tcW w:w="240" w:type="dxa"/>
            <w:vAlign w:val="bottom"/>
            <w:tcBorders>
              <w:top w:val="single" w:sz="8" w:color="CFF0FC"/>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16,000</w:t>
            </w:r>
          </w:p>
        </w:tc>
        <w:tc>
          <w:tcPr>
            <w:tcW w:w="80" w:type="dxa"/>
            <w:vAlign w:val="bottom"/>
            <w:tcBorders>
              <w:top w:val="single" w:sz="8" w:color="CFF0FC"/>
            </w:tcBorders>
          </w:tcPr>
          <w:p>
            <w:pPr>
              <w:spacing w:after="0"/>
              <w:rPr>
                <w:sz w:val="17"/>
                <w:szCs w:val="17"/>
                <w:color w:val="auto"/>
              </w:rPr>
            </w:pPr>
          </w:p>
        </w:tc>
      </w:tr>
      <w:tr>
        <w:trPr>
          <w:trHeight w:val="20"/>
        </w:trPr>
        <w:tc>
          <w:tcPr>
            <w:tcW w:w="8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0">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value of the reacquired rights related to the intellectual property was determined to be insignificant.</w:t>
      </w:r>
    </w:p>
    <w:p>
      <w:pPr>
        <w:spacing w:after="0" w:line="21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Company determined that the 2019 Option Agreement should be accounted for under ASC 730-20. This determination was based on the fact that the financial risk associated with the research and development has been transferred to the Company because repayment of any of the funds provided by Bayer depends solely on the results of the research and development having a future economic benefit. The Company further determined that it had two separate obligations under the 2019 Option Agreements, which consist of (i) research and development services and (ii) future delivery of up to two options for products in defined fields. The relative fair value of the obligations was determined to be $20.2 million and $4.8 million, respectively. As the Company has accounted for its obligations as a contract to perform research and development for others, with respect to the obligation to perform research and development services the Company will recognize an offset to research and development expense as the research is performed and, with respect to the future delivery of up to two option for products in defined fields, at the earlier of option exercise (at or near IND application filing), expiration, or when commercially reasonable efforts to progress the program have been exhausted.</w:t>
      </w:r>
    </w:p>
    <w:p>
      <w:pPr>
        <w:spacing w:after="0" w:line="184" w:lineRule="exact"/>
        <w:rPr>
          <w:sz w:val="20"/>
          <w:szCs w:val="20"/>
          <w:color w:val="auto"/>
        </w:rPr>
      </w:pPr>
    </w:p>
    <w:p>
      <w:pPr>
        <w:ind w:right="920" w:firstLine="509"/>
        <w:spacing w:after="0" w:line="291" w:lineRule="auto"/>
        <w:rPr>
          <w:sz w:val="20"/>
          <w:szCs w:val="20"/>
          <w:color w:val="auto"/>
        </w:rPr>
      </w:pPr>
      <w:r>
        <w:rPr>
          <w:rFonts w:ascii="Arial" w:cs="Arial" w:eastAsia="Arial" w:hAnsi="Arial"/>
          <w:sz w:val="17"/>
          <w:szCs w:val="17"/>
          <w:color w:val="auto"/>
        </w:rPr>
        <w:t>During the years ended December 31, 2021 and 2020, the Company recorded a benefit of $7.0 million and $13.2 million to research and development expense for qualifying expenses incurred under the 2019 Option Agreement. As of December 31, 2021,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9" w:name="page180"/>
    <w:bookmarkEnd w:id="179"/>
    <w:p>
      <w:pPr>
        <w:ind w:right="60"/>
        <w:spacing w:after="0" w:line="243" w:lineRule="auto"/>
        <w:rPr>
          <w:sz w:val="20"/>
          <w:szCs w:val="20"/>
          <w:color w:val="auto"/>
        </w:rPr>
      </w:pPr>
      <w:r>
        <w:rPr>
          <w:rFonts w:ascii="Arial" w:cs="Arial" w:eastAsia="Arial" w:hAnsi="Arial"/>
          <w:sz w:val="18"/>
          <w:szCs w:val="18"/>
          <w:color w:val="auto"/>
        </w:rPr>
        <w:t>Company has recorded $4.8 million in other long-term liabilities consisting of the relative fair value of the options, which was unchanged from December 31, 2020. As of December 31, 2020, the Company recorded $7.0 million in other current liabilities relating to certain research and development obligations to be satisfied within one year of the balance sheet date. All research and development obligations under the 2019 Option Agreement were satisfied as of December 31,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Capital</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had 145,364,335 and 115,172,786 authorized common shares as of December 31, 2021 and 2020, respectively, with a par value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CHF 0.03 per share. Share Capital consisted of the following:</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As of December 31,</w:t>
            </w:r>
          </w:p>
        </w:tc>
        <w:tc>
          <w:tcPr>
            <w:tcW w:w="60" w:type="dxa"/>
            <w:vAlign w:val="bottom"/>
          </w:tcPr>
          <w:p>
            <w:pPr>
              <w:spacing w:after="0"/>
              <w:rPr>
                <w:sz w:val="16"/>
                <w:szCs w:val="16"/>
                <w:color w:val="auto"/>
              </w:rPr>
            </w:pPr>
          </w:p>
        </w:tc>
      </w:tr>
      <w:tr>
        <w:trPr>
          <w:trHeight w:val="169"/>
        </w:trPr>
        <w:tc>
          <w:tcPr>
            <w:tcW w:w="2160" w:type="dxa"/>
            <w:vAlign w:val="bottom"/>
          </w:tcPr>
          <w:p>
            <w:pPr>
              <w:ind w:left="20"/>
              <w:spacing w:after="0"/>
              <w:rPr>
                <w:sz w:val="20"/>
                <w:szCs w:val="20"/>
                <w:color w:val="auto"/>
              </w:rPr>
            </w:pPr>
            <w:r>
              <w:rPr>
                <w:rFonts w:ascii="Arial" w:cs="Arial" w:eastAsia="Arial" w:hAnsi="Arial"/>
                <w:sz w:val="14"/>
                <w:szCs w:val="14"/>
                <w:b w:val="1"/>
                <w:bCs w:val="1"/>
                <w:color w:val="auto"/>
              </w:rPr>
              <w:t>Type of Share Capital</w:t>
            </w:r>
          </w:p>
        </w:tc>
        <w:tc>
          <w:tcPr>
            <w:tcW w:w="22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Conditional Capital</w:t>
            </w:r>
          </w:p>
        </w:tc>
        <w:tc>
          <w:tcPr>
            <w:tcW w:w="1280" w:type="dxa"/>
            <w:vAlign w:val="bottom"/>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460" w:type="dxa"/>
            <w:vAlign w:val="bottom"/>
            <w:gridSpan w:val="2"/>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83"/>
        </w:trPr>
        <w:tc>
          <w:tcPr>
            <w:tcW w:w="2160" w:type="dxa"/>
            <w:vAlign w:val="bottom"/>
            <w:tcBorders>
              <w:top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Common shares</w:t>
            </w:r>
          </w:p>
        </w:tc>
        <w:tc>
          <w:tcPr>
            <w:tcW w:w="220" w:type="dxa"/>
            <w:vAlign w:val="bottom"/>
            <w:shd w:val="clear" w:color="auto" w:fill="CFF0FC"/>
          </w:tcPr>
          <w:p>
            <w:pPr>
              <w:spacing w:after="0"/>
              <w:rPr>
                <w:sz w:val="15"/>
                <w:szCs w:val="15"/>
                <w:color w:val="auto"/>
              </w:rPr>
            </w:pPr>
          </w:p>
        </w:tc>
        <w:tc>
          <w:tcPr>
            <w:tcW w:w="590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Registered share capital</w:t>
            </w:r>
          </w:p>
        </w:tc>
        <w:tc>
          <w:tcPr>
            <w:tcW w:w="160" w:type="dxa"/>
            <w:vAlign w:val="bottom"/>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80,321,227</w:t>
            </w:r>
          </w:p>
        </w:tc>
        <w:tc>
          <w:tcPr>
            <w:tcW w:w="180" w:type="dxa"/>
            <w:vAlign w:val="bottom"/>
            <w:shd w:val="clear" w:color="auto" w:fill="CFF0FC"/>
          </w:tcPr>
          <w:p>
            <w:pPr>
              <w:spacing w:after="0"/>
              <w:rPr>
                <w:sz w:val="15"/>
                <w:szCs w:val="15"/>
                <w:color w:val="auto"/>
              </w:rPr>
            </w:pPr>
          </w:p>
        </w:tc>
        <w:tc>
          <w:tcPr>
            <w:tcW w:w="12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75,133,951</w:t>
            </w:r>
          </w:p>
        </w:tc>
        <w:tc>
          <w:tcPr>
            <w:tcW w:w="60" w:type="dxa"/>
            <w:vAlign w:val="bottom"/>
            <w:shd w:val="clear" w:color="auto" w:fill="CFF0FC"/>
          </w:tcPr>
          <w:p>
            <w:pPr>
              <w:spacing w:after="0"/>
              <w:rPr>
                <w:sz w:val="15"/>
                <w:szCs w:val="15"/>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6"/>
                <w:szCs w:val="16"/>
                <w:color w:val="auto"/>
              </w:rPr>
              <w:t>Common shares</w:t>
            </w:r>
          </w:p>
        </w:tc>
        <w:tc>
          <w:tcPr>
            <w:tcW w:w="2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6"/>
                <w:szCs w:val="16"/>
                <w:color w:val="auto"/>
              </w:rPr>
              <w:t>Authorized share capital</w:t>
            </w:r>
          </w:p>
        </w:tc>
        <w:tc>
          <w:tcPr>
            <w:tcW w:w="1280" w:type="dxa"/>
            <w:vAlign w:val="bottom"/>
          </w:tcPr>
          <w:p>
            <w:pPr>
              <w:jc w:val="right"/>
              <w:spacing w:after="0"/>
              <w:rPr>
                <w:sz w:val="20"/>
                <w:szCs w:val="20"/>
                <w:color w:val="auto"/>
              </w:rPr>
            </w:pPr>
            <w:r>
              <w:rPr>
                <w:rFonts w:ascii="Arial" w:cs="Arial" w:eastAsia="Arial" w:hAnsi="Arial"/>
                <w:sz w:val="16"/>
                <w:szCs w:val="16"/>
                <w:color w:val="auto"/>
              </w:rPr>
              <w:t>39,316,975</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17,625,426</w:t>
            </w:r>
          </w:p>
        </w:tc>
        <w:tc>
          <w:tcPr>
            <w:tcW w:w="60" w:type="dxa"/>
            <w:vAlign w:val="bottom"/>
          </w:tcPr>
          <w:p>
            <w:pPr>
              <w:spacing w:after="0"/>
              <w:rPr>
                <w:sz w:val="16"/>
                <w:szCs w:val="16"/>
                <w:color w:val="auto"/>
              </w:rPr>
            </w:pPr>
          </w:p>
        </w:tc>
      </w:tr>
      <w:tr>
        <w:trPr>
          <w:trHeight w:val="189"/>
        </w:trPr>
        <w:tc>
          <w:tcPr>
            <w:tcW w:w="2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shares</w:t>
            </w:r>
          </w:p>
        </w:tc>
        <w:tc>
          <w:tcPr>
            <w:tcW w:w="220" w:type="dxa"/>
            <w:vAlign w:val="bottom"/>
            <w:shd w:val="clear" w:color="auto" w:fill="CFF0FC"/>
          </w:tcPr>
          <w:p>
            <w:pPr>
              <w:spacing w:after="0"/>
              <w:rPr>
                <w:sz w:val="16"/>
                <w:szCs w:val="16"/>
                <w:color w:val="auto"/>
              </w:rPr>
            </w:pPr>
          </w:p>
        </w:tc>
        <w:tc>
          <w:tcPr>
            <w:tcW w:w="6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Conditional share capital - Bonds or similar debt instruments</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4,919,700</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4,919,700</w:t>
            </w:r>
          </w:p>
        </w:tc>
        <w:tc>
          <w:tcPr>
            <w:tcW w:w="60" w:type="dxa"/>
            <w:vAlign w:val="bottom"/>
            <w:shd w:val="clear" w:color="auto" w:fill="CFF0FC"/>
          </w:tcPr>
          <w:p>
            <w:pPr>
              <w:spacing w:after="0"/>
              <w:rPr>
                <w:sz w:val="16"/>
                <w:szCs w:val="16"/>
                <w:color w:val="auto"/>
              </w:rPr>
            </w:pPr>
          </w:p>
        </w:tc>
      </w:tr>
      <w:tr>
        <w:trPr>
          <w:trHeight w:val="189"/>
        </w:trPr>
        <w:tc>
          <w:tcPr>
            <w:tcW w:w="2160" w:type="dxa"/>
            <w:vAlign w:val="bottom"/>
          </w:tcPr>
          <w:p>
            <w:pPr>
              <w:ind w:left="20"/>
              <w:spacing w:after="0"/>
              <w:rPr>
                <w:sz w:val="20"/>
                <w:szCs w:val="20"/>
                <w:color w:val="auto"/>
              </w:rPr>
            </w:pPr>
            <w:r>
              <w:rPr>
                <w:rFonts w:ascii="Arial" w:cs="Arial" w:eastAsia="Arial" w:hAnsi="Arial"/>
                <w:sz w:val="16"/>
                <w:szCs w:val="16"/>
                <w:color w:val="auto"/>
              </w:rPr>
              <w:t>Common shares</w:t>
            </w:r>
          </w:p>
        </w:tc>
        <w:tc>
          <w:tcPr>
            <w:tcW w:w="220" w:type="dxa"/>
            <w:vAlign w:val="bottom"/>
          </w:tcPr>
          <w:p>
            <w:pPr>
              <w:spacing w:after="0"/>
              <w:rPr>
                <w:sz w:val="16"/>
                <w:szCs w:val="16"/>
                <w:color w:val="auto"/>
              </w:rPr>
            </w:pPr>
          </w:p>
        </w:tc>
        <w:tc>
          <w:tcPr>
            <w:tcW w:w="6060" w:type="dxa"/>
            <w:vAlign w:val="bottom"/>
            <w:gridSpan w:val="2"/>
          </w:tcPr>
          <w:p>
            <w:pPr>
              <w:spacing w:after="0"/>
              <w:rPr>
                <w:sz w:val="20"/>
                <w:szCs w:val="20"/>
                <w:color w:val="auto"/>
              </w:rPr>
            </w:pPr>
            <w:r>
              <w:rPr>
                <w:rFonts w:ascii="Arial" w:cs="Arial" w:eastAsia="Arial" w:hAnsi="Arial"/>
                <w:sz w:val="16"/>
                <w:szCs w:val="16"/>
                <w:color w:val="auto"/>
              </w:rPr>
              <w:t>Conditional share capital - Employee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20,806,433</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17,493,709</w:t>
            </w:r>
          </w:p>
        </w:tc>
        <w:tc>
          <w:tcPr>
            <w:tcW w:w="60" w:type="dxa"/>
            <w:vAlign w:val="bottom"/>
          </w:tcPr>
          <w:p>
            <w:pPr>
              <w:spacing w:after="0"/>
              <w:rPr>
                <w:sz w:val="16"/>
                <w:szCs w:val="16"/>
                <w:color w:val="auto"/>
              </w:rPr>
            </w:pPr>
          </w:p>
        </w:tc>
      </w:tr>
      <w:tr>
        <w:trPr>
          <w:trHeight w:val="223"/>
        </w:trPr>
        <w:tc>
          <w:tcPr>
            <w:tcW w:w="2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060" w:type="dxa"/>
            <w:vAlign w:val="bottom"/>
            <w:tcBorders>
              <w:bottom w:val="single" w:sz="8" w:color="CFF0FC"/>
            </w:tcBorders>
            <w:gridSpan w:val="2"/>
            <w:shd w:val="clear" w:color="auto" w:fill="CFF0FC"/>
          </w:tcPr>
          <w:p>
            <w:pPr>
              <w:ind w:left="180"/>
              <w:spacing w:after="0" w:line="183" w:lineRule="exact"/>
              <w:rPr>
                <w:sz w:val="20"/>
                <w:szCs w:val="20"/>
                <w:color w:val="auto"/>
              </w:rPr>
            </w:pPr>
            <w:r>
              <w:rPr>
                <w:rFonts w:ascii="Arial" w:cs="Arial" w:eastAsia="Arial" w:hAnsi="Arial"/>
                <w:sz w:val="16"/>
                <w:szCs w:val="16"/>
                <w:color w:val="auto"/>
              </w:rPr>
              <w:t>Total</w:t>
            </w: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145,364,335</w:t>
            </w:r>
          </w:p>
        </w:tc>
        <w:tc>
          <w:tcPr>
            <w:tcW w:w="1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115,172,786</w:t>
            </w:r>
          </w:p>
        </w:tc>
        <w:tc>
          <w:tcPr>
            <w:tcW w:w="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-24765</wp:posOffset>
            </wp:positionV>
            <wp:extent cx="342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342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right="180" w:firstLine="509"/>
        <w:spacing w:after="0" w:line="246" w:lineRule="auto"/>
        <w:rPr>
          <w:sz w:val="20"/>
          <w:szCs w:val="20"/>
          <w:color w:val="auto"/>
        </w:rPr>
      </w:pPr>
      <w:r>
        <w:rPr>
          <w:rFonts w:ascii="Arial" w:cs="Arial" w:eastAsia="Arial" w:hAnsi="Arial"/>
          <w:sz w:val="18"/>
          <w:szCs w:val="18"/>
          <w:color w:val="auto"/>
        </w:rPr>
        <w:t>Included in registered share capital are 5,038,262 shares registered, which are held by the Company and its subsidiaries and are reserved for future issuance for financings.</w:t>
      </w:r>
    </w:p>
    <w:p>
      <w:pPr>
        <w:spacing w:after="0" w:line="3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Share Issuances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 Public Offerings</w:t>
      </w:r>
    </w:p>
    <w:p>
      <w:pPr>
        <w:spacing w:after="0" w:line="198" w:lineRule="exact"/>
        <w:rPr>
          <w:sz w:val="20"/>
          <w:szCs w:val="20"/>
          <w:color w:val="auto"/>
        </w:rPr>
      </w:pPr>
    </w:p>
    <w:p>
      <w:pPr>
        <w:ind w:right="160" w:firstLine="509"/>
        <w:spacing w:after="0" w:line="276" w:lineRule="auto"/>
        <w:rPr>
          <w:sz w:val="20"/>
          <w:szCs w:val="20"/>
          <w:color w:val="auto"/>
        </w:rPr>
      </w:pPr>
      <w:r>
        <w:rPr>
          <w:rFonts w:ascii="Arial" w:cs="Arial" w:eastAsia="Arial" w:hAnsi="Arial"/>
          <w:sz w:val="16"/>
          <w:szCs w:val="16"/>
          <w:color w:val="auto"/>
        </w:rPr>
        <w:t>In November 2019, the Company sold 4.9 million common shares through an underwritten public offering (inclusive of shares sold pursuant to the exercise of the underwriters’ option to purchase additional shares) at a public offering price of $64.50 per share for aggregate net proceeds of $297.4 million, which were net of equity issuance costs of $17.8 million. Additional equity issuance costs of $3.0 million for stamp taxes were also paid in 2019.</w:t>
      </w:r>
    </w:p>
    <w:p>
      <w:pPr>
        <w:spacing w:after="0" w:line="148" w:lineRule="exact"/>
        <w:rPr>
          <w:sz w:val="20"/>
          <w:szCs w:val="20"/>
          <w:color w:val="auto"/>
        </w:rPr>
      </w:pPr>
    </w:p>
    <w:p>
      <w:pPr>
        <w:jc w:val="both"/>
        <w:ind w:right="540" w:firstLine="509"/>
        <w:spacing w:after="0" w:line="235" w:lineRule="auto"/>
        <w:rPr>
          <w:sz w:val="20"/>
          <w:szCs w:val="20"/>
          <w:color w:val="auto"/>
        </w:rPr>
      </w:pPr>
      <w:r>
        <w:rPr>
          <w:rFonts w:ascii="Arial" w:cs="Arial" w:eastAsia="Arial" w:hAnsi="Arial"/>
          <w:sz w:val="18"/>
          <w:szCs w:val="18"/>
          <w:color w:val="auto"/>
        </w:rPr>
        <w:t>In July 2020, the Company sold 7.4 million common shares through an underwritten public offering (inclusive of shares sold pursuant to the exercise of the underwriters’ option to purchase additional shares) at a public offering price of $70.00 per share for aggregate net proceeds of $484.8 million, which were net of equity issuance costs and stamp tax of $32.5 million.</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At-the-Market Offerings</w:t>
      </w:r>
    </w:p>
    <w:p>
      <w:pPr>
        <w:spacing w:after="0" w:line="198" w:lineRule="exact"/>
        <w:rPr>
          <w:sz w:val="20"/>
          <w:szCs w:val="20"/>
          <w:color w:val="auto"/>
        </w:rPr>
      </w:pPr>
    </w:p>
    <w:p>
      <w:pPr>
        <w:ind w:firstLine="509"/>
        <w:spacing w:after="0" w:line="227" w:lineRule="auto"/>
        <w:rPr>
          <w:sz w:val="20"/>
          <w:szCs w:val="20"/>
          <w:color w:val="auto"/>
        </w:rPr>
      </w:pPr>
      <w:r>
        <w:rPr>
          <w:rFonts w:ascii="Arial" w:cs="Arial" w:eastAsia="Arial" w:hAnsi="Arial"/>
          <w:sz w:val="17"/>
          <w:szCs w:val="17"/>
          <w:color w:val="auto"/>
        </w:rPr>
        <w:t>In the first quarter of 2019, the Company began to issue and sell securities under an Open Market Sale Agreement</w:t>
      </w:r>
      <w:r>
        <w:rPr>
          <w:rFonts w:ascii="Arial" w:cs="Arial" w:eastAsia="Arial" w:hAnsi="Arial"/>
          <w:sz w:val="23"/>
          <w:szCs w:val="23"/>
          <w:color w:val="auto"/>
          <w:vertAlign w:val="superscript"/>
        </w:rPr>
        <w:t>SM</w:t>
      </w:r>
      <w:r>
        <w:rPr>
          <w:rFonts w:ascii="Arial" w:cs="Arial" w:eastAsia="Arial" w:hAnsi="Arial"/>
          <w:sz w:val="17"/>
          <w:szCs w:val="17"/>
          <w:color w:val="auto"/>
        </w:rPr>
        <w:t xml:space="preserve"> entered into with Jefferies LLC, or Jefferies, in August 2018, under which the Company was able to offer and sell, from time to time, common shares having aggregate gross proceeds of up to $125.0 million, or the 2018 ATM. During the year ended December 31, 2019, the Company issued and sold an aggregate of 2.8 million common shares at an average price of $44.38 per share for aggregate net proceeds of $120.6 million, which were net of equity issuance costs of $4.4 million. In addition, the Company paid approximately $0.9 million in stamp taxes during the year ended December 31, 2019 and accrued an additional $0.3 million for stamp taxes as of December 31, 2019. The Company paid the $0.3 million for stamp taxes in 2020.</w:t>
      </w:r>
    </w:p>
    <w:p>
      <w:pPr>
        <w:spacing w:after="0" w:line="175" w:lineRule="exact"/>
        <w:rPr>
          <w:sz w:val="20"/>
          <w:szCs w:val="20"/>
          <w:color w:val="auto"/>
        </w:rPr>
      </w:pPr>
    </w:p>
    <w:p>
      <w:pPr>
        <w:ind w:right="60" w:firstLine="509"/>
        <w:spacing w:after="0" w:line="261" w:lineRule="auto"/>
        <w:rPr>
          <w:sz w:val="20"/>
          <w:szCs w:val="20"/>
          <w:color w:val="auto"/>
        </w:rPr>
      </w:pPr>
      <w:r>
        <w:rPr>
          <w:rFonts w:ascii="Arial" w:cs="Arial" w:eastAsia="Arial" w:hAnsi="Arial"/>
          <w:sz w:val="16"/>
          <w:szCs w:val="16"/>
          <w:color w:val="auto"/>
        </w:rPr>
        <w:t>In August 2019, the Company entered into an Open Market Sale Agreement</w:t>
      </w:r>
      <w:r>
        <w:rPr>
          <w:rFonts w:ascii="Arial" w:cs="Arial" w:eastAsia="Arial" w:hAnsi="Arial"/>
          <w:sz w:val="6"/>
          <w:szCs w:val="6"/>
          <w:color w:val="auto"/>
        </w:rPr>
        <w:t>SM</w:t>
      </w:r>
      <w:r>
        <w:rPr>
          <w:rFonts w:ascii="Arial" w:cs="Arial" w:eastAsia="Arial" w:hAnsi="Arial"/>
          <w:sz w:val="16"/>
          <w:szCs w:val="16"/>
          <w:color w:val="auto"/>
        </w:rPr>
        <w:t xml:space="preserve"> with Jefferies under which the Company was able to offer and sell, from time to time at its sole discretion through Jefferies, as its sales agent, its common shares, or the August 2019 Sales Agreement. In August 2019, the Company filed a prospectus supplement with the SEC to offer and sell, from time to time, common shares having aggregate gross proceeds of up to $200.0 million, or the 2019 ATM. During the year ended December 31, 2020, the Company issued and sold an aggregate of 2.2 million common shares under the 2019 ATM at an average price of $89.47 per share for aggregate proceeds of $195.5 million, which were net of equity issuance costs of $4.5 million.</w:t>
      </w:r>
    </w:p>
    <w:p>
      <w:pPr>
        <w:spacing w:after="0" w:line="161" w:lineRule="exact"/>
        <w:rPr>
          <w:sz w:val="20"/>
          <w:szCs w:val="20"/>
          <w:color w:val="auto"/>
        </w:rPr>
      </w:pPr>
    </w:p>
    <w:p>
      <w:pPr>
        <w:ind w:right="40" w:firstLine="509"/>
        <w:spacing w:after="0" w:line="261" w:lineRule="auto"/>
        <w:rPr>
          <w:sz w:val="20"/>
          <w:szCs w:val="20"/>
          <w:color w:val="auto"/>
        </w:rPr>
      </w:pPr>
      <w:r>
        <w:rPr>
          <w:rFonts w:ascii="Arial" w:cs="Arial" w:eastAsia="Arial" w:hAnsi="Arial"/>
          <w:sz w:val="16"/>
          <w:szCs w:val="16"/>
          <w:color w:val="auto"/>
        </w:rPr>
        <w:t>In December 2020, in connection with the August 2019 Sales Agreement, the Company filed a prospectus supplement with the SEC to offer and sell, from time to time, common shares having aggregate gross proceeds of up to $350.0 million, or the 2020 ATM. During the year ended December 31, 2020, the Company issued and sold an aggregate of 1.8 million common shares under the 2020 ATM at an average price of $169.57 per share for aggregate proceeds of $298.0 million, which were net of equity issuance costs of $4.5 million. Additional equity issuance costs for stamp taxes related to shares sold in 2020 related to the 2019 ATM and 2020 ATM were $4.9 million, of which $4.0 million was accrued as of December 31, 2020 and paid in 2021.</w:t>
      </w:r>
    </w:p>
    <w:p>
      <w:pPr>
        <w:spacing w:after="0" w:line="161" w:lineRule="exact"/>
        <w:rPr>
          <w:sz w:val="20"/>
          <w:szCs w:val="20"/>
          <w:color w:val="auto"/>
        </w:rPr>
      </w:pPr>
    </w:p>
    <w:p>
      <w:pPr>
        <w:jc w:val="both"/>
        <w:ind w:right="160" w:firstLine="509"/>
        <w:spacing w:after="0" w:line="235" w:lineRule="auto"/>
        <w:rPr>
          <w:sz w:val="20"/>
          <w:szCs w:val="20"/>
          <w:color w:val="auto"/>
        </w:rPr>
      </w:pPr>
      <w:r>
        <w:rPr>
          <w:rFonts w:ascii="Arial" w:cs="Arial" w:eastAsia="Arial" w:hAnsi="Arial"/>
          <w:sz w:val="18"/>
          <w:szCs w:val="18"/>
          <w:color w:val="auto"/>
        </w:rPr>
        <w:t>In January 2021, the Company issued and sold under the 2020 ATM an aggregate of 0.3 million common shares at an average price of $162.46 per share with aggregate proceeds of $46.7 million, which were net of equity issuance costs of $0.7 million. An additional $0.5 million of stamp taxes related to this amount was paid in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0" w:name="page181"/>
    <w:bookmarkEnd w:id="180"/>
    <w:p>
      <w:pPr>
        <w:ind w:left="520"/>
        <w:spacing w:after="0"/>
        <w:rPr>
          <w:sz w:val="20"/>
          <w:szCs w:val="20"/>
          <w:color w:val="auto"/>
        </w:rPr>
      </w:pPr>
      <w:r>
        <w:rPr>
          <w:rFonts w:ascii="Arial" w:cs="Arial" w:eastAsia="Arial" w:hAnsi="Arial"/>
          <w:sz w:val="16"/>
          <w:szCs w:val="16"/>
          <w:color w:val="auto"/>
        </w:rPr>
        <w:t>In January 2021, in connection with the August 2019 Sales Agreement, the Company filed a prospectus supplement with the SEC to offer and sell,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common shares having aggregate gross proceeds of up to $600.0 million, or the 2021 ATM. As of December 31, 2021, the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has issued and sold an aggregate of 1.1 million common shares under the 2021 ATM at an average price of $169.82 per share for aggregate proceeds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$177.8 million, which were net of equity issuance costs of $2.4 million. An additional $1.8 million of stamp taxes related to this amount was paid in 2021.</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Common Shares have the following characteristics:</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Voting Rights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holders of common shares are entitled to one vote for each common share held at all meetings of shareholders.</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40" w:firstLine="509"/>
        <w:spacing w:after="0" w:line="235" w:lineRule="auto"/>
        <w:rPr>
          <w:sz w:val="20"/>
          <w:szCs w:val="20"/>
          <w:color w:val="auto"/>
        </w:rPr>
      </w:pPr>
      <w:r>
        <w:rPr>
          <w:rFonts w:ascii="Arial" w:cs="Arial" w:eastAsia="Arial" w:hAnsi="Arial"/>
          <w:sz w:val="18"/>
          <w:szCs w:val="18"/>
          <w:color w:val="auto"/>
        </w:rPr>
        <w:t>The holders of common shares are entitled to receive dividends, if and when resolved upon by the general meeting of shareholders based on a respective proposal by the Board of Directors and provided that the Company disposes of sufficient freely distributable reserves. As of December 31, 2021, no dividends have been declared or paid since the Company’s inception.</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ind w:right="120" w:firstLine="509"/>
        <w:spacing w:after="0" w:line="274" w:lineRule="auto"/>
        <w:rPr>
          <w:sz w:val="20"/>
          <w:szCs w:val="20"/>
          <w:color w:val="auto"/>
        </w:rPr>
      </w:pPr>
      <w:r>
        <w:rPr>
          <w:rFonts w:ascii="Arial" w:cs="Arial" w:eastAsia="Arial" w:hAnsi="Arial"/>
          <w:sz w:val="17"/>
          <w:szCs w:val="17"/>
          <w:color w:val="auto"/>
        </w:rPr>
        <w:t>The holders of the common shares are entitled to share ratably in the Company’s assets available for distribution to shareholders in the event of any voluntary or involuntary liquidation, dissolution or winding up of the Company or upon the occurrence of a deemed liquidation event.</w:t>
      </w:r>
    </w:p>
    <w:p>
      <w:pPr>
        <w:spacing w:after="0" w:line="252" w:lineRule="exact"/>
        <w:rPr>
          <w:sz w:val="20"/>
          <w:szCs w:val="20"/>
          <w:color w:val="auto"/>
        </w:rPr>
      </w:pPr>
    </w:p>
    <w:p>
      <w:pPr>
        <w:ind w:left="260" w:right="8800" w:hanging="252"/>
        <w:spacing w:after="0" w:line="398" w:lineRule="auto"/>
        <w:tabs>
          <w:tab w:leader="none" w:pos="265"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Equity-based Compensation </w:t>
      </w:r>
      <w:r>
        <w:rPr>
          <w:rFonts w:ascii="Arial" w:cs="Arial" w:eastAsia="Arial" w:hAnsi="Arial"/>
          <w:sz w:val="16"/>
          <w:szCs w:val="16"/>
          <w:b w:val="1"/>
          <w:bCs w:val="1"/>
          <w:i w:val="1"/>
          <w:iCs w:val="1"/>
          <w:color w:val="auto"/>
        </w:rPr>
        <w:t>Option and Grant Plans</w:t>
      </w:r>
    </w:p>
    <w:p>
      <w:pPr>
        <w:spacing w:after="0" w:line="1"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In April 2015, the Company’s shareholders approved the 2015 Stock Option and Grant Plan, or the 2015 Plan, and in July 2016, the Company’s shareholders approved the 2016 Stock Option and Incentive Plan, or the 2016 Plan. In May 2018, the Company’s shareholders approved the 2018 Stock Option and Incentive Plan, or the 2018 Plan (collectively, the “Plans”). Subsequent to the IPO, no further options were granted under the 2015 Plan. The Plans provide for the issuance of equity awards in the form of restricted shares, options to purchase common shares which may constitute incentive stock options, or ISOs, or non-statutory stock options, or NSOs, unrestricted stock unit grants, and qualified performance and market-based awards to eligible employees, officers, directors, non-employee consultants and other key personnel. Terms of the equity awards, including vesting requirements, are determined by the Company’s board of directors, subject to the provisions of the Plans. Options granted by the Company typically vest over four years and have a contractual life of ten years. Restricted stock unit grants typically vest over two to three years. At December 31, 2021, the Company had 25,005,365 common shares authorized for issuance under the 2018 Plan and 10,298,664 common shares available for future grant under the 2018 Plan.</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17" w:lineRule="exact"/>
        <w:rPr>
          <w:sz w:val="20"/>
          <w:szCs w:val="20"/>
          <w:color w:val="auto"/>
        </w:rPr>
      </w:pPr>
    </w:p>
    <w:p>
      <w:pPr>
        <w:ind w:right="40" w:firstLine="509"/>
        <w:spacing w:after="0" w:line="212" w:lineRule="exact"/>
        <w:rPr>
          <w:sz w:val="20"/>
          <w:szCs w:val="20"/>
          <w:color w:val="auto"/>
        </w:rPr>
      </w:pPr>
      <w:r>
        <w:rPr>
          <w:rFonts w:ascii="Arial" w:cs="Arial" w:eastAsia="Arial" w:hAnsi="Arial"/>
          <w:sz w:val="18"/>
          <w:szCs w:val="18"/>
          <w:color w:val="auto"/>
        </w:rPr>
        <w:t>The Company recognized stock-based compensation expense totaling $102.4 million, $66.0 million, and $49.5 million during the years ended December 31, 2021, 2020 and 2019, respectively.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classification within the consolidated statements of operations and comprehensive income (loss) is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Years Ended December 31,</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65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59,683</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35,120</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23,273</w:t>
            </w:r>
          </w:p>
        </w:tc>
        <w:tc>
          <w:tcPr>
            <w:tcW w:w="60" w:type="dxa"/>
            <w:vAlign w:val="bottom"/>
            <w:shd w:val="clear" w:color="auto" w:fill="CFF0FC"/>
          </w:tcPr>
          <w:p>
            <w:pPr>
              <w:spacing w:after="0"/>
              <w:rPr>
                <w:sz w:val="17"/>
                <w:szCs w:val="17"/>
                <w:color w:val="auto"/>
              </w:rPr>
            </w:pPr>
          </w:p>
        </w:tc>
      </w:tr>
      <w:tr>
        <w:trPr>
          <w:trHeight w:val="203"/>
        </w:trPr>
        <w:tc>
          <w:tcPr>
            <w:tcW w:w="65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42,707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30,898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20,784</w:t>
            </w:r>
          </w:p>
        </w:tc>
        <w:tc>
          <w:tcPr>
            <w:tcW w:w="6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Loss from equity method investment</w:t>
            </w:r>
          </w:p>
        </w:tc>
        <w:tc>
          <w:tcPr>
            <w:tcW w:w="3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5,467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58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102,390</w:t>
            </w:r>
          </w:p>
        </w:tc>
        <w:tc>
          <w:tcPr>
            <w:tcW w:w="5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66,018</w:t>
            </w:r>
          </w:p>
        </w:tc>
        <w:tc>
          <w:tcPr>
            <w:tcW w:w="200" w:type="dxa"/>
            <w:vAlign w:val="bottom"/>
          </w:tcPr>
          <w:p>
            <w:pPr>
              <w:spacing w:after="0"/>
              <w:rPr>
                <w:sz w:val="17"/>
                <w:szCs w:val="17"/>
                <w:color w:val="auto"/>
              </w:rPr>
            </w:pP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49,524</w:t>
            </w:r>
          </w:p>
        </w:tc>
        <w:tc>
          <w:tcPr>
            <w:tcW w:w="6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-159385</wp:posOffset>
            </wp:positionV>
            <wp:extent cx="4318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-159385</wp:posOffset>
            </wp:positionV>
            <wp:extent cx="3429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-159385</wp:posOffset>
            </wp:positionV>
            <wp:extent cx="3429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9">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57" w:lineRule="exact"/>
        <w:rPr>
          <w:sz w:val="20"/>
          <w:szCs w:val="20"/>
          <w:color w:val="auto"/>
        </w:rPr>
      </w:pPr>
    </w:p>
    <w:p>
      <w:pPr>
        <w:jc w:val="both"/>
        <w:ind w:right="80" w:firstLine="509"/>
        <w:spacing w:after="0" w:line="274" w:lineRule="auto"/>
        <w:rPr>
          <w:sz w:val="20"/>
          <w:szCs w:val="20"/>
          <w:color w:val="auto"/>
        </w:rPr>
      </w:pPr>
      <w:r>
        <w:rPr>
          <w:rFonts w:ascii="Arial" w:cs="Arial" w:eastAsia="Arial" w:hAnsi="Arial"/>
          <w:sz w:val="17"/>
          <w:szCs w:val="17"/>
          <w:color w:val="auto"/>
        </w:rPr>
        <w:t>As of December 31, 2021, there was $150.6 million and $71.4 million of unrecognized compensation expense related to unvested stock options and restricted stock units, respectively, that is expected to be recognized over a weighted-average period of 2.7 and 2.5 years,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81" w:name="page182"/>
    <w:bookmarkEnd w:id="181"/>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right="720" w:firstLine="509"/>
        <w:spacing w:after="0" w:line="261" w:lineRule="auto"/>
        <w:rPr>
          <w:sz w:val="20"/>
          <w:szCs w:val="20"/>
          <w:color w:val="auto"/>
        </w:rPr>
      </w:pPr>
      <w:r>
        <w:rPr>
          <w:rFonts w:ascii="Arial" w:cs="Arial" w:eastAsia="Arial" w:hAnsi="Arial"/>
          <w:sz w:val="18"/>
          <w:szCs w:val="18"/>
          <w:color w:val="auto"/>
        </w:rPr>
        <w:t>The fair value of each option issued to employees was estimated at the date of grant using the Black-Scholes option pricing model with the following weighted-average assumptions: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7"/>
              </w:rPr>
              <w:t>Years Ended December 31,</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96"/>
        </w:trPr>
        <w:tc>
          <w:tcPr>
            <w:tcW w:w="6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Options granted</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1,616,255</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2,182,773</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2,832,784</w:t>
            </w:r>
          </w:p>
        </w:tc>
        <w:tc>
          <w:tcPr>
            <w:tcW w:w="22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exercise price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124.32</w:t>
            </w:r>
          </w:p>
        </w:tc>
        <w:tc>
          <w:tcPr>
            <w:tcW w:w="3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68.91</w:t>
            </w:r>
          </w:p>
        </w:tc>
        <w:tc>
          <w:tcPr>
            <w:tcW w:w="3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39.16</w:t>
            </w:r>
          </w:p>
        </w:tc>
        <w:tc>
          <w:tcPr>
            <w:tcW w:w="220" w:type="dxa"/>
            <w:vAlign w:val="bottom"/>
          </w:tcPr>
          <w:p>
            <w:pPr>
              <w:spacing w:after="0"/>
              <w:rPr>
                <w:sz w:val="17"/>
                <w:szCs w:val="17"/>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Weighted-average grant date fair value</w:t>
            </w: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77.38</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42.28</w:t>
            </w:r>
          </w:p>
        </w:tc>
        <w:tc>
          <w:tcPr>
            <w:tcW w:w="3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24.57</w:t>
            </w:r>
          </w:p>
        </w:tc>
        <w:tc>
          <w:tcPr>
            <w:tcW w:w="220" w:type="dxa"/>
            <w:vAlign w:val="bottom"/>
            <w:shd w:val="clear" w:color="auto" w:fill="CFF0FC"/>
          </w:tcPr>
          <w:p>
            <w:pPr>
              <w:spacing w:after="0"/>
              <w:rPr>
                <w:sz w:val="17"/>
                <w:szCs w:val="17"/>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Assumptions: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6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Expected volatility</w:t>
            </w:r>
          </w:p>
        </w:tc>
        <w:tc>
          <w:tcPr>
            <w:tcW w:w="2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70.3 %</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69.2 %</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68.9 %</w:t>
            </w:r>
          </w:p>
        </w:tc>
      </w:tr>
      <w:tr>
        <w:trPr>
          <w:trHeight w:val="203"/>
        </w:trPr>
        <w:tc>
          <w:tcPr>
            <w:tcW w:w="6600" w:type="dxa"/>
            <w:vAlign w:val="bottom"/>
          </w:tcPr>
          <w:p>
            <w:pPr>
              <w:ind w:left="380"/>
              <w:spacing w:after="0" w:line="202" w:lineRule="exact"/>
              <w:rPr>
                <w:sz w:val="20"/>
                <w:szCs w:val="20"/>
                <w:color w:val="auto"/>
              </w:rPr>
            </w:pPr>
            <w:r>
              <w:rPr>
                <w:rFonts w:ascii="Arial" w:cs="Arial" w:eastAsia="Arial" w:hAnsi="Arial"/>
                <w:sz w:val="18"/>
                <w:szCs w:val="18"/>
                <w:color w:val="auto"/>
              </w:rPr>
              <w:t>Expected term (in years)</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7"/>
                <w:szCs w:val="17"/>
                <w:color w:val="auto"/>
              </w:rPr>
            </w:pPr>
          </w:p>
        </w:tc>
      </w:tr>
      <w:tr>
        <w:trPr>
          <w:trHeight w:val="203"/>
        </w:trPr>
        <w:tc>
          <w:tcPr>
            <w:tcW w:w="66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Risk-free interest rate</w:t>
            </w:r>
          </w:p>
        </w:tc>
        <w:tc>
          <w:tcPr>
            <w:tcW w:w="2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28"/>
              <w:spacing w:after="0" w:line="202" w:lineRule="exact"/>
              <w:rPr>
                <w:sz w:val="20"/>
                <w:szCs w:val="20"/>
                <w:color w:val="auto"/>
              </w:rPr>
            </w:pPr>
            <w:r>
              <w:rPr>
                <w:rFonts w:ascii="Arial" w:cs="Arial" w:eastAsia="Arial" w:hAnsi="Arial"/>
                <w:sz w:val="18"/>
                <w:szCs w:val="18"/>
                <w:color w:val="auto"/>
              </w:rPr>
              <w:t>1.0 %</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0.6 %</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2.2 %</w:t>
            </w:r>
          </w:p>
        </w:tc>
      </w:tr>
      <w:tr>
        <w:trPr>
          <w:trHeight w:val="230"/>
        </w:trPr>
        <w:tc>
          <w:tcPr>
            <w:tcW w:w="6600" w:type="dxa"/>
            <w:vAlign w:val="bottom"/>
          </w:tcPr>
          <w:p>
            <w:pPr>
              <w:ind w:left="380"/>
              <w:spacing w:after="0"/>
              <w:rPr>
                <w:sz w:val="20"/>
                <w:szCs w:val="20"/>
                <w:color w:val="auto"/>
              </w:rPr>
            </w:pPr>
            <w:r>
              <w:rPr>
                <w:rFonts w:ascii="Arial" w:cs="Arial" w:eastAsia="Arial" w:hAnsi="Arial"/>
                <w:sz w:val="18"/>
                <w:szCs w:val="18"/>
                <w:color w:val="auto"/>
              </w:rPr>
              <w:t>Expected dividend yield</w:t>
            </w:r>
          </w:p>
        </w:tc>
        <w:tc>
          <w:tcPr>
            <w:tcW w:w="280" w:type="dxa"/>
            <w:vAlign w:val="bottom"/>
          </w:tcPr>
          <w:p>
            <w:pPr>
              <w:spacing w:after="0"/>
              <w:rPr>
                <w:sz w:val="20"/>
                <w:szCs w:val="20"/>
                <w:color w:val="auto"/>
              </w:rPr>
            </w:pPr>
          </w:p>
        </w:tc>
        <w:tc>
          <w:tcPr>
            <w:tcW w:w="1340" w:type="dxa"/>
            <w:vAlign w:val="bottom"/>
            <w:gridSpan w:val="2"/>
          </w:tcPr>
          <w:p>
            <w:pPr>
              <w:jc w:val="right"/>
              <w:ind w:right="128"/>
              <w:spacing w:after="0"/>
              <w:rPr>
                <w:sz w:val="20"/>
                <w:szCs w:val="20"/>
                <w:color w:val="auto"/>
              </w:rPr>
            </w:pPr>
            <w:r>
              <w:rPr>
                <w:rFonts w:ascii="Arial" w:cs="Arial" w:eastAsia="Arial" w:hAnsi="Arial"/>
                <w:sz w:val="18"/>
                <w:szCs w:val="18"/>
                <w:color w:val="auto"/>
              </w:rPr>
              <w:t>0.0 %</w:t>
            </w: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0.0 %</w:t>
            </w:r>
          </w:p>
        </w:tc>
        <w:tc>
          <w:tcPr>
            <w:tcW w:w="2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0.0 %</w:t>
            </w: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Company’s equity award plans (intrinsic value in thousands):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98"/>
              <w:spacing w:after="0"/>
              <w:rPr>
                <w:sz w:val="20"/>
                <w:szCs w:val="20"/>
                <w:color w:val="auto"/>
              </w:rPr>
            </w:pPr>
            <w:r>
              <w:rPr>
                <w:rFonts w:ascii="Arial" w:cs="Arial" w:eastAsia="Arial" w:hAnsi="Arial"/>
                <w:sz w:val="14"/>
                <w:szCs w:val="14"/>
                <w:b w:val="1"/>
                <w:bCs w:val="1"/>
                <w:color w:val="auto"/>
                <w:w w:val="92"/>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84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34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5"/>
              </w:rPr>
              <w:t>Intrinsic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Exercise Price</w:t>
            </w:r>
          </w:p>
        </w:tc>
        <w:tc>
          <w:tcPr>
            <w:tcW w:w="2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8,101,980</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42.44</w:t>
            </w:r>
          </w:p>
        </w:tc>
        <w:tc>
          <w:tcPr>
            <w:tcW w:w="26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896,666</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160" w:type="dxa"/>
            <w:vAlign w:val="bottom"/>
          </w:tcPr>
          <w:p>
            <w:pPr>
              <w:ind w:left="200"/>
              <w:spacing w:after="0" w:line="183" w:lineRule="exact"/>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line="183" w:lineRule="exact"/>
              <w:rPr>
                <w:sz w:val="20"/>
                <w:szCs w:val="20"/>
                <w:color w:val="auto"/>
              </w:rPr>
            </w:pPr>
            <w:r>
              <w:rPr>
                <w:rFonts w:ascii="Arial" w:cs="Arial" w:eastAsia="Arial" w:hAnsi="Arial"/>
                <w:sz w:val="18"/>
                <w:szCs w:val="18"/>
                <w:color w:val="auto"/>
              </w:rPr>
              <w:t>1,616,255</w:t>
            </w:r>
          </w:p>
        </w:tc>
        <w:tc>
          <w:tcPr>
            <w:tcW w:w="280" w:type="dxa"/>
            <w:vAlign w:val="bottom"/>
          </w:tcPr>
          <w:p>
            <w:pPr>
              <w:spacing w:after="0"/>
              <w:rPr>
                <w:sz w:val="15"/>
                <w:szCs w:val="15"/>
                <w:color w:val="auto"/>
              </w:rPr>
            </w:pPr>
          </w:p>
        </w:tc>
        <w:tc>
          <w:tcPr>
            <w:tcW w:w="240" w:type="dxa"/>
            <w:vAlign w:val="bottom"/>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3" w:lineRule="exact"/>
              <w:rPr>
                <w:sz w:val="20"/>
                <w:szCs w:val="20"/>
                <w:color w:val="auto"/>
              </w:rPr>
            </w:pPr>
            <w:r>
              <w:rPr>
                <w:rFonts w:ascii="Arial" w:cs="Arial" w:eastAsia="Arial" w:hAnsi="Arial"/>
                <w:sz w:val="18"/>
                <w:szCs w:val="18"/>
                <w:color w:val="auto"/>
              </w:rPr>
              <w:t>124.32</w:t>
            </w:r>
          </w:p>
        </w:tc>
        <w:tc>
          <w:tcPr>
            <w:tcW w:w="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84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(1,245,071 )</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30.96</w:t>
            </w:r>
          </w:p>
        </w:tc>
        <w:tc>
          <w:tcPr>
            <w:tcW w:w="2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tcPr>
          <w:p>
            <w:pPr>
              <w:ind w:left="200"/>
              <w:spacing w:after="0" w:line="202" w:lineRule="exact"/>
              <w:rPr>
                <w:sz w:val="20"/>
                <w:szCs w:val="20"/>
                <w:color w:val="auto"/>
              </w:rPr>
            </w:pPr>
            <w:r>
              <w:rPr>
                <w:rFonts w:ascii="Arial" w:cs="Arial" w:eastAsia="Arial" w:hAnsi="Arial"/>
                <w:sz w:val="18"/>
                <w:szCs w:val="18"/>
                <w:color w:val="auto"/>
              </w:rPr>
              <w:t>Cancelled or forfeited</w:t>
            </w:r>
          </w:p>
        </w:tc>
        <w:tc>
          <w:tcPr>
            <w:tcW w:w="1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(660,182 )</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79.54</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Outstanding at December 31, 2021</w:t>
            </w: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7,812,982</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58.07</w:t>
            </w:r>
          </w:p>
        </w:tc>
        <w:tc>
          <w:tcPr>
            <w:tcW w:w="26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7.4</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219,103</w:t>
            </w:r>
          </w:p>
        </w:tc>
        <w:tc>
          <w:tcPr>
            <w:tcW w:w="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160" w:type="dxa"/>
            <w:vAlign w:val="bottom"/>
          </w:tcPr>
          <w:p>
            <w:pPr>
              <w:ind w:left="20"/>
              <w:spacing w:after="0" w:line="183" w:lineRule="exact"/>
              <w:rPr>
                <w:sz w:val="20"/>
                <w:szCs w:val="20"/>
                <w:color w:val="auto"/>
              </w:rPr>
            </w:pPr>
            <w:r>
              <w:rPr>
                <w:rFonts w:ascii="Arial" w:cs="Arial" w:eastAsia="Arial" w:hAnsi="Arial"/>
                <w:sz w:val="18"/>
                <w:szCs w:val="18"/>
                <w:color w:val="auto"/>
              </w:rPr>
              <w:t>Exercisable at December 31, 2021</w:t>
            </w:r>
          </w:p>
        </w:tc>
        <w:tc>
          <w:tcPr>
            <w:tcW w:w="1560" w:type="dxa"/>
            <w:vAlign w:val="bottom"/>
          </w:tcPr>
          <w:p>
            <w:pPr>
              <w:jc w:val="right"/>
              <w:spacing w:after="0" w:line="183" w:lineRule="exact"/>
              <w:rPr>
                <w:sz w:val="20"/>
                <w:szCs w:val="20"/>
                <w:color w:val="auto"/>
              </w:rPr>
            </w:pPr>
            <w:r>
              <w:rPr>
                <w:rFonts w:ascii="Arial" w:cs="Arial" w:eastAsia="Arial" w:hAnsi="Arial"/>
                <w:sz w:val="18"/>
                <w:szCs w:val="18"/>
                <w:color w:val="auto"/>
              </w:rPr>
              <w:t>4,598,353</w:t>
            </w:r>
          </w:p>
        </w:tc>
        <w:tc>
          <w:tcPr>
            <w:tcW w:w="280" w:type="dxa"/>
            <w:vAlign w:val="bottom"/>
          </w:tcPr>
          <w:p>
            <w:pPr>
              <w:spacing w:after="0"/>
              <w:rPr>
                <w:sz w:val="15"/>
                <w:szCs w:val="15"/>
                <w:color w:val="auto"/>
              </w:rPr>
            </w:pPr>
          </w:p>
        </w:tc>
        <w:tc>
          <w:tcPr>
            <w:tcW w:w="240" w:type="dxa"/>
            <w:vAlign w:val="bottom"/>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3" w:lineRule="exact"/>
              <w:rPr>
                <w:sz w:val="20"/>
                <w:szCs w:val="20"/>
                <w:color w:val="auto"/>
              </w:rPr>
            </w:pPr>
            <w:r>
              <w:rPr>
                <w:rFonts w:ascii="Arial" w:cs="Arial" w:eastAsia="Arial" w:hAnsi="Arial"/>
                <w:sz w:val="18"/>
                <w:szCs w:val="18"/>
                <w:color w:val="auto"/>
              </w:rPr>
              <w:t>40.86</w:t>
            </w:r>
          </w:p>
        </w:tc>
        <w:tc>
          <w:tcPr>
            <w:tcW w:w="1820" w:type="dxa"/>
            <w:vAlign w:val="bottom"/>
            <w:gridSpan w:val="2"/>
          </w:tcPr>
          <w:p>
            <w:pPr>
              <w:jc w:val="right"/>
              <w:spacing w:after="0" w:line="183" w:lineRule="exact"/>
              <w:rPr>
                <w:sz w:val="20"/>
                <w:szCs w:val="20"/>
                <w:color w:val="auto"/>
              </w:rPr>
            </w:pPr>
            <w:r>
              <w:rPr>
                <w:rFonts w:ascii="Arial" w:cs="Arial" w:eastAsia="Arial" w:hAnsi="Arial"/>
                <w:sz w:val="18"/>
                <w:szCs w:val="18"/>
                <w:color w:val="auto"/>
              </w:rPr>
              <w:t>6.6</w:t>
            </w:r>
          </w:p>
        </w:tc>
        <w:tc>
          <w:tcPr>
            <w:tcW w:w="500" w:type="dxa"/>
            <w:vAlign w:val="bottom"/>
            <w:gridSpan w:val="2"/>
          </w:tcPr>
          <w:p>
            <w:pPr>
              <w:jc w:val="right"/>
              <w:ind w:right="90"/>
              <w:spacing w:after="0" w:line="183"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8"/>
                <w:szCs w:val="18"/>
                <w:color w:val="auto"/>
              </w:rPr>
              <w:t>174,056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Vested and expected to vest at December 31, 2021</w:t>
            </w:r>
          </w:p>
        </w:tc>
        <w:tc>
          <w:tcPr>
            <w:tcW w:w="15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7,812,982</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58.07</w:t>
            </w:r>
          </w:p>
        </w:tc>
        <w:tc>
          <w:tcPr>
            <w:tcW w:w="26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7.4</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219,103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-873760</wp:posOffset>
            </wp:positionV>
            <wp:extent cx="60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-856615</wp:posOffset>
            </wp:positionV>
            <wp:extent cx="603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-873760</wp:posOffset>
            </wp:positionV>
            <wp:extent cx="431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-856615</wp:posOffset>
            </wp:positionV>
            <wp:extent cx="431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-873760</wp:posOffset>
            </wp:positionV>
            <wp:extent cx="342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-856615</wp:posOffset>
            </wp:positionV>
            <wp:extent cx="342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-873760</wp:posOffset>
            </wp:positionV>
            <wp:extent cx="342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-856615</wp:posOffset>
            </wp:positionV>
            <wp:extent cx="342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-334010</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-316230</wp:posOffset>
            </wp:positionV>
            <wp:extent cx="603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-334010</wp:posOffset>
            </wp:positionV>
            <wp:extent cx="431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-316230</wp:posOffset>
            </wp:positionV>
            <wp:extent cx="431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-334010</wp:posOffset>
            </wp:positionV>
            <wp:extent cx="342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-316230</wp:posOffset>
            </wp:positionV>
            <wp:extent cx="342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-334010</wp:posOffset>
            </wp:positionV>
            <wp:extent cx="342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-316230</wp:posOffset>
            </wp:positionV>
            <wp:extent cx="342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6032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6032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431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431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342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342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-8255</wp:posOffset>
            </wp:positionV>
            <wp:extent cx="342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17"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During 2021 and 2020, the Company did not grant stock option awards subject to performance-based or market-based vesting conditions. As of December 31, 2021, options to purchase 998,504 common shares subject to performance-based vesting conditions were vested, as performance conditions were achieved, and there were 123,057 options to purchase common shares subject to performance-based vesting conditions outstanding. Activity related to stock options subject to performance-based vesting conditions is included in the table above.</w:t>
      </w:r>
    </w:p>
    <w:p>
      <w:pPr>
        <w:spacing w:after="0" w:line="240"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During 2017, the Company granted 150,000 options with market-based vesting conditions, of which 75% vest at the end of a three-year service period and 25% vest at the end of a four-year service period. Upon achieving a specified average stock price in prior years, the market conditions were satisfied. Expense for the options is being recognized over the requisite service period. As of December 31, 2021, 150,000 of the stock options had vested.</w:t>
      </w:r>
    </w:p>
    <w:p>
      <w:pPr>
        <w:spacing w:after="0" w:line="242"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total intrinsic value (the amount by which the fair market value exceeded the exercise price) of stock options exercised during the year ended December 31, 2021, 2020 and 2019 was $119.5 million, $104.2 million, and $42.2 million,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2" w:name="page183"/>
    <w:bookmarkEnd w:id="182"/>
    <w:p>
      <w:pPr>
        <w:ind w:left="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restricted stock activity under the Company’s equity award plans: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80" w:type="dxa"/>
            <w:vAlign w:val="bottom"/>
          </w:tcPr>
          <w:p>
            <w:pPr>
              <w:jc w:val="center"/>
              <w:ind w:right="398"/>
              <w:spacing w:after="0"/>
              <w:rPr>
                <w:sz w:val="20"/>
                <w:szCs w:val="20"/>
                <w:color w:val="auto"/>
              </w:rPr>
            </w:pPr>
            <w:r>
              <w:rPr>
                <w:rFonts w:ascii="Arial" w:cs="Arial" w:eastAsia="Arial" w:hAnsi="Arial"/>
                <w:sz w:val="14"/>
                <w:szCs w:val="14"/>
                <w:b w:val="1"/>
                <w:bCs w:val="1"/>
                <w:color w:val="auto"/>
                <w:w w:val="94"/>
              </w:rPr>
              <w:t>Weighted-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80" w:type="dxa"/>
            <w:vAlign w:val="bottom"/>
          </w:tcPr>
          <w:p>
            <w:pPr>
              <w:jc w:val="center"/>
              <w:ind w:right="378"/>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5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Shares</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80" w:type="dxa"/>
            <w:vAlign w:val="bottom"/>
          </w:tcPr>
          <w:p>
            <w:pPr>
              <w:jc w:val="center"/>
              <w:ind w:right="378"/>
              <w:spacing w:after="0" w:line="149"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16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398"/>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balance at December 31, 2020</w:t>
            </w:r>
          </w:p>
        </w:tc>
        <w:tc>
          <w:tcPr>
            <w:tcW w:w="15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894,092</w:t>
            </w:r>
          </w:p>
        </w:tc>
        <w:tc>
          <w:tcPr>
            <w:tcW w:w="3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70.55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628,175</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111.73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(455,440 )</w:t>
            </w:r>
          </w:p>
        </w:tc>
        <w:tc>
          <w:tcPr>
            <w:tcW w:w="46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Cancelled or forfeited</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(132,652 )</w:t>
            </w:r>
          </w:p>
        </w:tc>
        <w:tc>
          <w:tcPr>
            <w:tcW w:w="46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100.25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1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balance at December 31, 2021</w:t>
            </w:r>
          </w:p>
        </w:tc>
        <w:tc>
          <w:tcPr>
            <w:tcW w:w="152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934,175</w:t>
            </w:r>
          </w:p>
        </w:tc>
        <w:tc>
          <w:tcPr>
            <w:tcW w:w="36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100.14</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-25400</wp:posOffset>
            </wp:positionV>
            <wp:extent cx="514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514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jc w:val="both"/>
        <w:ind w:right="80" w:firstLine="509"/>
        <w:spacing w:after="0" w:line="261" w:lineRule="auto"/>
        <w:rPr>
          <w:sz w:val="20"/>
          <w:szCs w:val="20"/>
          <w:color w:val="auto"/>
        </w:rPr>
      </w:pPr>
      <w:r>
        <w:rPr>
          <w:rFonts w:ascii="Arial" w:cs="Arial" w:eastAsia="Arial" w:hAnsi="Arial"/>
          <w:sz w:val="18"/>
          <w:szCs w:val="18"/>
          <w:color w:val="auto"/>
        </w:rPr>
        <w:t>During the years ended December 31, 2021, 2020 and 2019, the total fair value of restricted stock vested was $45.3 million, $21.6 million, and $3.6 million, respectively.</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Award modifications</w:t>
      </w:r>
    </w:p>
    <w:p>
      <w:pPr>
        <w:spacing w:after="0" w:line="10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Equity award modifications for certain equity awards held by departing employees and non-employees for the years ended December 31, 2021, 2020 and 2019 were not material to the Company's stock-based compensation expense.</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On July 19, 2016, the Company’s board of directors adopted its 2016 Employee Stock Purchase Plan, or the ESPP Plan, which was subsequently approved by its shareholders and became effective on October 19, 2016. The ESPP Plan authorizes the initial issuance of up to a total of 0.4 million shares of the Company’s common stock to participating employees. The Company activated its ESPP Plan on January 1, 2020. The Company issued 21,590 and 13,410 shares under the ESPP during the years ended December 31, 2021 and 2020,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Share Attributable to Common Shareholders</w:t>
      </w:r>
    </w:p>
    <w:p>
      <w:pPr>
        <w:spacing w:after="0" w:line="94" w:lineRule="exact"/>
        <w:rPr>
          <w:sz w:val="20"/>
          <w:szCs w:val="20"/>
          <w:color w:val="auto"/>
        </w:rPr>
      </w:pPr>
    </w:p>
    <w:p>
      <w:pPr>
        <w:ind w:right="20" w:firstLine="509"/>
        <w:spacing w:after="0" w:line="228" w:lineRule="auto"/>
        <w:rPr>
          <w:sz w:val="20"/>
          <w:szCs w:val="20"/>
          <w:color w:val="auto"/>
        </w:rPr>
      </w:pPr>
      <w:r>
        <w:rPr>
          <w:rFonts w:ascii="Arial" w:cs="Arial" w:eastAsia="Arial" w:hAnsi="Arial"/>
          <w:sz w:val="18"/>
          <w:szCs w:val="18"/>
          <w:color w:val="auto"/>
        </w:rPr>
        <w:t>Basic net income (loss) per share is calculated by dividing net income (loss) attributable to common shareholders by the weighted-average number of common shares outstanding during the period. Diluted net income (loss) per share is calculated by dividing the net income (loss) attributable to common shareholders by the weighted-average number of common share equivalents outstanding for the period, including any dilutive effect from outstanding stock options and warrants using the treasury stock method. The Company’s net income (loss) is net income (loss) attributable to common shareholders for all periods presented.</w:t>
      </w:r>
    </w:p>
    <w:p>
      <w:pPr>
        <w:spacing w:after="0" w:line="178"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following table sets forth the computation of basic and diluted net income (loss) per share for the periods ended (in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122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1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Net income (loss)</w:t>
            </w:r>
          </w:p>
        </w:tc>
        <w:tc>
          <w:tcPr>
            <w:tcW w:w="8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377,661</w:t>
            </w:r>
          </w:p>
        </w:tc>
        <w:tc>
          <w:tcPr>
            <w:tcW w:w="4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(348,865 )</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66,858</w:t>
            </w:r>
          </w:p>
        </w:tc>
        <w:tc>
          <w:tcPr>
            <w:tcW w:w="1120" w:type="dxa"/>
            <w:vAlign w:val="bottom"/>
          </w:tcPr>
          <w:p>
            <w:pPr>
              <w:spacing w:after="0"/>
              <w:rPr>
                <w:sz w:val="17"/>
                <w:szCs w:val="17"/>
                <w:color w:val="auto"/>
              </w:rPr>
            </w:pPr>
          </w:p>
        </w:tc>
      </w:tr>
      <w:tr>
        <w:trPr>
          <w:trHeight w:val="202"/>
        </w:trPr>
        <w:tc>
          <w:tcPr>
            <w:tcW w:w="1140" w:type="dxa"/>
            <w:vAlign w:val="bottom"/>
          </w:tcPr>
          <w:p>
            <w:pPr>
              <w:spacing w:after="0"/>
              <w:rPr>
                <w:sz w:val="17"/>
                <w:szCs w:val="17"/>
                <w:color w:val="auto"/>
              </w:rPr>
            </w:pPr>
          </w:p>
        </w:tc>
        <w:tc>
          <w:tcPr>
            <w:tcW w:w="4120" w:type="dxa"/>
            <w:vAlign w:val="bottom"/>
          </w:tcPr>
          <w:p>
            <w:pPr>
              <w:ind w:left="100"/>
              <w:spacing w:after="0" w:line="202" w:lineRule="exact"/>
              <w:rPr>
                <w:sz w:val="20"/>
                <w:szCs w:val="20"/>
                <w:color w:val="auto"/>
              </w:rPr>
            </w:pPr>
            <w:r>
              <w:rPr>
                <w:rFonts w:ascii="Arial" w:cs="Arial" w:eastAsia="Arial" w:hAnsi="Arial"/>
                <w:sz w:val="18"/>
                <w:szCs w:val="18"/>
                <w:color w:val="auto"/>
                <w:w w:val="94"/>
              </w:rPr>
              <w:t>Basic weighted-average common shares outstanding</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75,948,686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65,949,672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54,392,304</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1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Effect of potentially dilutive securities:</w:t>
            </w: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120" w:type="dxa"/>
            <w:vAlign w:val="bottom"/>
          </w:tcPr>
          <w:p>
            <w:pPr>
              <w:ind w:left="180"/>
              <w:spacing w:after="0" w:line="202" w:lineRule="exact"/>
              <w:rPr>
                <w:sz w:val="20"/>
                <w:szCs w:val="20"/>
                <w:color w:val="auto"/>
              </w:rPr>
            </w:pPr>
            <w:r>
              <w:rPr>
                <w:rFonts w:ascii="Arial" w:cs="Arial" w:eastAsia="Arial" w:hAnsi="Arial"/>
                <w:sz w:val="18"/>
                <w:szCs w:val="18"/>
                <w:color w:val="auto"/>
              </w:rPr>
              <w:t>Outstanding options</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3,990,579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2,406,962</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Unvested restricted common shares</w:t>
            </w: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454,231</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133,532</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2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w w:val="94"/>
              </w:rPr>
              <w:t>Diluted weighted-average common shares outstanding</w:t>
            </w:r>
          </w:p>
        </w:tc>
        <w:tc>
          <w:tcPr>
            <w:tcW w:w="5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80,393,496</w:t>
            </w: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65,949,672</w:t>
            </w: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56,932,798</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1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Net income (loss) per common share — basic</w:t>
            </w: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(5.29 )</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1.23</w:t>
            </w: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tcBorders>
              <w:right w:val="single" w:sz="8" w:color="CFF0FC"/>
            </w:tcBorders>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4"/>
        </w:trPr>
        <w:tc>
          <w:tcPr>
            <w:tcW w:w="1140" w:type="dxa"/>
            <w:vAlign w:val="bottom"/>
          </w:tcPr>
          <w:p>
            <w:pPr>
              <w:spacing w:after="0"/>
              <w:rPr>
                <w:sz w:val="19"/>
                <w:szCs w:val="19"/>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Net income (loss) per common share — diluted</w:t>
            </w:r>
          </w:p>
        </w:tc>
        <w:tc>
          <w:tcPr>
            <w:tcW w:w="5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(5.29 )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1120" w:type="dxa"/>
            <w:vAlign w:val="bottom"/>
          </w:tcPr>
          <w:p>
            <w:pPr>
              <w:spacing w:after="0"/>
              <w:rPr>
                <w:sz w:val="19"/>
                <w:szCs w:val="19"/>
                <w:color w:val="auto"/>
              </w:rPr>
            </w:pPr>
          </w:p>
        </w:tc>
      </w:tr>
      <w:tr>
        <w:trPr>
          <w:trHeight w:val="593"/>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20" w:type="dxa"/>
            <w:vAlign w:val="bottom"/>
            <w:gridSpan w:val="2"/>
          </w:tcPr>
          <w:p>
            <w:pPr>
              <w:jc w:val="right"/>
              <w:ind w:right="190"/>
              <w:spacing w:after="0"/>
              <w:rPr>
                <w:sz w:val="20"/>
                <w:szCs w:val="20"/>
                <w:color w:val="auto"/>
              </w:rPr>
            </w:pPr>
            <w:r>
              <w:rPr>
                <w:rFonts w:ascii="Arial" w:cs="Arial" w:eastAsia="Arial" w:hAnsi="Arial"/>
                <w:sz w:val="18"/>
                <w:szCs w:val="18"/>
                <w:color w:val="auto"/>
              </w:rPr>
              <w:t>F-32</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4"/>
        </w:trPr>
        <w:tc>
          <w:tcPr>
            <w:tcW w:w="1140" w:type="dxa"/>
            <w:vAlign w:val="bottom"/>
            <w:tcBorders>
              <w:bottom w:val="single" w:sz="8" w:color="9A9A9A"/>
            </w:tcBorders>
          </w:tcPr>
          <w:p>
            <w:pPr>
              <w:spacing w:after="0"/>
              <w:rPr>
                <w:sz w:val="6"/>
                <w:szCs w:val="6"/>
                <w:color w:val="auto"/>
              </w:rPr>
            </w:pPr>
          </w:p>
        </w:tc>
        <w:tc>
          <w:tcPr>
            <w:tcW w:w="41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-853440</wp:posOffset>
            </wp:positionV>
            <wp:extent cx="5143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-853440</wp:posOffset>
            </wp:positionV>
            <wp:extent cx="6032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-853440</wp:posOffset>
            </wp:positionV>
            <wp:extent cx="3429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-588010</wp:posOffset>
            </wp:positionV>
            <wp:extent cx="5143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-588010</wp:posOffset>
            </wp:positionV>
            <wp:extent cx="60325"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-588010</wp:posOffset>
            </wp:positionV>
            <wp:extent cx="3429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3" w:name="page184"/>
    <w:bookmarkEnd w:id="183"/>
    <w:p>
      <w:pPr>
        <w:ind w:right="380" w:firstLine="509"/>
        <w:spacing w:after="0" w:line="246" w:lineRule="auto"/>
        <w:rPr>
          <w:sz w:val="20"/>
          <w:szCs w:val="20"/>
          <w:color w:val="auto"/>
        </w:rPr>
      </w:pPr>
      <w:r>
        <w:rPr>
          <w:rFonts w:ascii="Arial" w:cs="Arial" w:eastAsia="Arial" w:hAnsi="Arial"/>
          <w:sz w:val="18"/>
          <w:szCs w:val="18"/>
          <w:color w:val="auto"/>
        </w:rPr>
        <w:t>The Company did not include the securities in the following table in the computation of the net income (loss) per share calculations because the effect would have been anti-dilutive during each period:</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900" w:type="dxa"/>
            <w:vAlign w:val="bottom"/>
            <w:tcBorders>
              <w:bottom w:val="single" w:sz="8" w:color="auto"/>
            </w:tcBorders>
            <w:gridSpan w:val="4"/>
          </w:tcPr>
          <w:p>
            <w:pPr>
              <w:ind w:left="1280"/>
              <w:spacing w:after="0"/>
              <w:rPr>
                <w:sz w:val="20"/>
                <w:szCs w:val="20"/>
                <w:color w:val="auto"/>
              </w:rPr>
            </w:pPr>
            <w:r>
              <w:rPr>
                <w:rFonts w:ascii="Arial" w:cs="Arial" w:eastAsia="Arial" w:hAnsi="Arial"/>
                <w:sz w:val="14"/>
                <w:szCs w:val="14"/>
                <w:b w:val="1"/>
                <w:bCs w:val="1"/>
                <w:color w:val="auto"/>
                <w:w w:val="93"/>
              </w:rPr>
              <w:t>Year ended December 31,</w:t>
            </w:r>
          </w:p>
        </w:tc>
        <w:tc>
          <w:tcPr>
            <w:tcW w:w="12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134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47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Outstanding options</w:t>
            </w: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1,765,881</w:t>
            </w:r>
          </w:p>
        </w:tc>
        <w:tc>
          <w:tcPr>
            <w:tcW w:w="18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8,101,980</w:t>
            </w:r>
          </w:p>
        </w:tc>
        <w:tc>
          <w:tcPr>
            <w:tcW w:w="160" w:type="dxa"/>
            <w:vAlign w:val="bottom"/>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3,789,129</w:t>
            </w:r>
          </w:p>
        </w:tc>
        <w:tc>
          <w:tcPr>
            <w:tcW w:w="60" w:type="dxa"/>
            <w:vAlign w:val="bottom"/>
            <w:shd w:val="clear" w:color="auto" w:fill="CFF0FC"/>
          </w:tcPr>
          <w:p>
            <w:pPr>
              <w:spacing w:after="0"/>
              <w:rPr>
                <w:sz w:val="17"/>
                <w:szCs w:val="17"/>
                <w:color w:val="auto"/>
              </w:rPr>
            </w:pPr>
          </w:p>
        </w:tc>
      </w:tr>
      <w:tr>
        <w:trPr>
          <w:trHeight w:val="203"/>
        </w:trPr>
        <w:tc>
          <w:tcPr>
            <w:tcW w:w="4760" w:type="dxa"/>
            <w:vAlign w:val="bottom"/>
          </w:tcPr>
          <w:p>
            <w:pPr>
              <w:ind w:left="100"/>
              <w:spacing w:after="0" w:line="202" w:lineRule="exact"/>
              <w:rPr>
                <w:sz w:val="20"/>
                <w:szCs w:val="20"/>
                <w:color w:val="auto"/>
              </w:rPr>
            </w:pPr>
            <w:r>
              <w:rPr>
                <w:rFonts w:ascii="Arial" w:cs="Arial" w:eastAsia="Arial" w:hAnsi="Arial"/>
                <w:sz w:val="18"/>
                <w:szCs w:val="18"/>
                <w:color w:val="auto"/>
              </w:rPr>
              <w:t>Unvested restricted common shares</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225,904</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894,092</w:t>
            </w: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108,625</w:t>
            </w:r>
          </w:p>
        </w:tc>
        <w:tc>
          <w:tcPr>
            <w:tcW w:w="60" w:type="dxa"/>
            <w:vAlign w:val="bottom"/>
          </w:tcPr>
          <w:p>
            <w:pPr>
              <w:spacing w:after="0"/>
              <w:rPr>
                <w:sz w:val="17"/>
                <w:szCs w:val="17"/>
                <w:color w:val="auto"/>
              </w:rPr>
            </w:pPr>
          </w:p>
        </w:tc>
      </w:tr>
      <w:tr>
        <w:trPr>
          <w:trHeight w:val="203"/>
        </w:trPr>
        <w:tc>
          <w:tcPr>
            <w:tcW w:w="476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ESPP</w:t>
            </w: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6,671</w:t>
            </w:r>
          </w:p>
        </w:tc>
        <w:tc>
          <w:tcPr>
            <w:tcW w:w="18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11,257</w:t>
            </w:r>
          </w:p>
        </w:tc>
        <w:tc>
          <w:tcPr>
            <w:tcW w:w="16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476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1,998,456</w:t>
            </w:r>
          </w:p>
        </w:tc>
        <w:tc>
          <w:tcPr>
            <w:tcW w:w="14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9,007,329</w:t>
            </w:r>
          </w:p>
        </w:tc>
        <w:tc>
          <w:tcPr>
            <w:tcW w:w="160" w:type="dxa"/>
            <w:vAlign w:val="bottom"/>
          </w:tcPr>
          <w:p>
            <w:pPr>
              <w:spacing w:after="0"/>
              <w:rPr>
                <w:sz w:val="17"/>
                <w:szCs w:val="17"/>
                <w:color w:val="auto"/>
              </w:rPr>
            </w:pPr>
          </w:p>
        </w:tc>
        <w:tc>
          <w:tcPr>
            <w:tcW w:w="1260" w:type="dxa"/>
            <w:vAlign w:val="bottom"/>
          </w:tcPr>
          <w:p>
            <w:pPr>
              <w:jc w:val="right"/>
              <w:spacing w:after="0" w:line="182" w:lineRule="exact"/>
              <w:rPr>
                <w:sz w:val="20"/>
                <w:szCs w:val="20"/>
                <w:color w:val="auto"/>
              </w:rPr>
            </w:pPr>
            <w:r>
              <w:rPr>
                <w:rFonts w:ascii="Arial" w:cs="Arial" w:eastAsia="Arial" w:hAnsi="Arial"/>
                <w:sz w:val="18"/>
                <w:szCs w:val="18"/>
                <w:color w:val="auto"/>
              </w:rPr>
              <w:t>3,897,754</w:t>
            </w:r>
          </w:p>
        </w:tc>
        <w:tc>
          <w:tcPr>
            <w:tcW w:w="60" w:type="dxa"/>
            <w:vAlign w:val="bottom"/>
          </w:tcPr>
          <w:p>
            <w:pPr>
              <w:spacing w:after="0"/>
              <w:rPr>
                <w:sz w:val="17"/>
                <w:szCs w:val="17"/>
                <w:color w:val="auto"/>
              </w:rPr>
            </w:pPr>
          </w:p>
        </w:tc>
      </w:tr>
      <w:tr>
        <w:trPr>
          <w:trHeight w:val="20"/>
        </w:trPr>
        <w:tc>
          <w:tcPr>
            <w:tcW w:w="47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-159385</wp:posOffset>
            </wp:positionV>
            <wp:extent cx="6032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-159385</wp:posOffset>
            </wp:positionV>
            <wp:extent cx="51435"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401(k) Savings Plan</w:t>
      </w:r>
    </w:p>
    <w:p>
      <w:pPr>
        <w:spacing w:after="0" w:line="94" w:lineRule="exact"/>
        <w:rPr>
          <w:sz w:val="20"/>
          <w:szCs w:val="20"/>
          <w:color w:val="auto"/>
        </w:rPr>
      </w:pPr>
    </w:p>
    <w:p>
      <w:pPr>
        <w:ind w:right="120" w:firstLine="509"/>
        <w:spacing w:after="0" w:line="200" w:lineRule="exact"/>
        <w:rPr>
          <w:sz w:val="20"/>
          <w:szCs w:val="20"/>
          <w:color w:val="auto"/>
        </w:rPr>
      </w:pPr>
      <w:r>
        <w:rPr>
          <w:rFonts w:ascii="Arial" w:cs="Arial" w:eastAsia="Arial" w:hAnsi="Arial"/>
          <w:sz w:val="18"/>
          <w:szCs w:val="18"/>
          <w:color w:val="auto"/>
        </w:rPr>
        <w:t>The Company established a defined</w:t>
      </w:r>
      <w:r>
        <w:rPr>
          <w:rFonts w:ascii="MS PGothic" w:cs="MS PGothic" w:eastAsia="MS PGothic" w:hAnsi="MS PGothic"/>
          <w:sz w:val="18"/>
          <w:szCs w:val="18"/>
          <w:color w:val="auto"/>
        </w:rPr>
        <w:t>‑</w:t>
      </w:r>
      <w:r>
        <w:rPr>
          <w:rFonts w:ascii="Arial" w:cs="Arial" w:eastAsia="Arial" w:hAnsi="Arial"/>
          <w:sz w:val="18"/>
          <w:szCs w:val="18"/>
          <w:color w:val="auto"/>
        </w:rPr>
        <w:t>contribution savings plan under Section 401(k) of the Internal Revenue Code (the “401(k) Plan”) in November 2016. The 401(k) Plan covers all employees who meet defined minimum age and service requirements and allows participants to defer a portion of their annual compensation on a pretax basis. The Company contributed $3.4 million, $1.9 million, and $1.1 million to the 401(k) Plan for the year ended December 31, 2021, 2020 and 2019,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94"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The Company is subject to U.S. federal and various state corporate income taxes as well as taxes in foreign jurisdictions for the foreign parent and where foreign subsidiaries have been established.</w:t>
      </w:r>
    </w:p>
    <w:p>
      <w:pPr>
        <w:spacing w:after="0" w:line="3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income (loss) before taxes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years ended December 31, 2021, 2020 and 2019, the income (loss) before provision for income taxes consist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Domestic</w:t>
            </w: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4,569</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7,630</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98"/>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9,155</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374,962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ind w:right="61"/>
              <w:spacing w:after="0" w:line="202" w:lineRule="exact"/>
              <w:rPr>
                <w:sz w:val="20"/>
                <w:szCs w:val="20"/>
                <w:color w:val="auto"/>
              </w:rPr>
            </w:pPr>
            <w:r>
              <w:rPr>
                <w:rFonts w:ascii="Arial" w:cs="Arial" w:eastAsia="Arial" w:hAnsi="Arial"/>
                <w:sz w:val="18"/>
                <w:szCs w:val="18"/>
                <w:color w:val="auto"/>
              </w:rPr>
              <w:t>(355,686 )</w:t>
            </w:r>
          </w:p>
        </w:tc>
        <w:tc>
          <w:tcPr>
            <w:tcW w:w="26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58,151</w:t>
            </w: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4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379,531</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(348,056</w:t>
            </w:r>
          </w:p>
        </w:tc>
        <w:tc>
          <w:tcPr>
            <w:tcW w:w="220" w:type="dxa"/>
            <w:vAlign w:val="bottom"/>
            <w:tcBorders>
              <w:bottom w:val="single" w:sz="8" w:color="CFF0FC"/>
            </w:tcBorders>
            <w:gridSpan w:val="2"/>
            <w:shd w:val="clear" w:color="auto" w:fill="CFF0FC"/>
          </w:tcPr>
          <w:p>
            <w:pPr>
              <w:jc w:val="right"/>
              <w:ind w:right="61"/>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9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67,306</w:t>
            </w:r>
          </w:p>
        </w:tc>
        <w:tc>
          <w:tcPr>
            <w:tcW w:w="1120" w:type="dxa"/>
            <w:vAlign w:val="bottom"/>
          </w:tcPr>
          <w:p>
            <w:pPr>
              <w:spacing w:after="0"/>
              <w:rPr>
                <w:sz w:val="17"/>
                <w:szCs w:val="17"/>
                <w:color w:val="auto"/>
              </w:rPr>
            </w:pPr>
          </w:p>
        </w:tc>
      </w:tr>
      <w:tr>
        <w:trPr>
          <w:trHeight w:val="574"/>
        </w:trPr>
        <w:tc>
          <w:tcPr>
            <w:tcW w:w="7480" w:type="dxa"/>
            <w:vAlign w:val="bottom"/>
            <w:gridSpan w:val="8"/>
          </w:tcPr>
          <w:p>
            <w:pPr>
              <w:jc w:val="right"/>
              <w:ind w:right="690"/>
              <w:spacing w:after="0"/>
              <w:rPr>
                <w:sz w:val="20"/>
                <w:szCs w:val="20"/>
                <w:color w:val="auto"/>
              </w:rPr>
            </w:pPr>
            <w:r>
              <w:rPr>
                <w:rFonts w:ascii="Arial" w:cs="Arial" w:eastAsia="Arial" w:hAnsi="Arial"/>
                <w:sz w:val="18"/>
                <w:szCs w:val="18"/>
                <w:color w:val="auto"/>
              </w:rPr>
              <w:t>The (provision for) benefit from income taxes consist of the following (in thousands):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4"/>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jc w:val="right"/>
              <w:ind w:right="158"/>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3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 income taxes:</w:t>
            </w: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60" w:type="dxa"/>
            <w:vAlign w:val="bottom"/>
          </w:tcPr>
          <w:p>
            <w:pPr>
              <w:ind w:left="180"/>
              <w:spacing w:after="0" w:line="202" w:lineRule="exact"/>
              <w:rPr>
                <w:sz w:val="20"/>
                <w:szCs w:val="20"/>
                <w:color w:val="auto"/>
              </w:rPr>
            </w:pPr>
            <w:r>
              <w:rPr>
                <w:rFonts w:ascii="Arial" w:cs="Arial" w:eastAsia="Arial" w:hAnsi="Arial"/>
                <w:sz w:val="18"/>
                <w:szCs w:val="18"/>
                <w:color w:val="auto"/>
              </w:rPr>
              <w:t>Federal</w:t>
            </w:r>
          </w:p>
        </w:tc>
        <w:tc>
          <w:tcPr>
            <w:tcW w:w="1800" w:type="dxa"/>
            <w:vAlign w:val="bottom"/>
            <w:gridSpan w:val="3"/>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(80 )</w:t>
            </w:r>
          </w:p>
        </w:tc>
        <w:tc>
          <w:tcPr>
            <w:tcW w:w="3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1"/>
              <w:spacing w:after="0" w:line="202" w:lineRule="exact"/>
              <w:rPr>
                <w:sz w:val="20"/>
                <w:szCs w:val="20"/>
                <w:color w:val="auto"/>
              </w:rPr>
            </w:pPr>
            <w:r>
              <w:rPr>
                <w:rFonts w:ascii="Arial" w:cs="Arial" w:eastAsia="Arial" w:hAnsi="Arial"/>
                <w:sz w:val="18"/>
                <w:szCs w:val="18"/>
                <w:color w:val="auto"/>
              </w:rPr>
              <w:t>(248 )</w:t>
            </w:r>
          </w:p>
        </w:tc>
        <w:tc>
          <w:tcPr>
            <w:tcW w:w="260" w:type="dxa"/>
            <w:vAlign w:val="bottom"/>
          </w:tcPr>
          <w:p>
            <w:pPr>
              <w:jc w:val="right"/>
              <w:ind w:right="78"/>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(423 )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State</w:t>
            </w: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(42 )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(151 )</w:t>
            </w:r>
          </w:p>
        </w:tc>
        <w:tc>
          <w:tcPr>
            <w:tcW w:w="26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(59 )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60" w:type="dxa"/>
            <w:vAlign w:val="bottom"/>
          </w:tcPr>
          <w:p>
            <w:pPr>
              <w:ind w:left="180"/>
              <w:spacing w:after="0" w:line="202" w:lineRule="exact"/>
              <w:rPr>
                <w:sz w:val="20"/>
                <w:szCs w:val="20"/>
                <w:color w:val="auto"/>
              </w:rPr>
            </w:pPr>
            <w:r>
              <w:rPr>
                <w:rFonts w:ascii="Arial" w:cs="Arial" w:eastAsia="Arial" w:hAnsi="Arial"/>
                <w:sz w:val="18"/>
                <w:szCs w:val="18"/>
                <w:color w:val="auto"/>
              </w:rPr>
              <w:t>Foreign</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ind w:right="61"/>
              <w:spacing w:after="0" w:line="202" w:lineRule="exact"/>
              <w:rPr>
                <w:sz w:val="20"/>
                <w:szCs w:val="20"/>
                <w:color w:val="auto"/>
              </w:rPr>
            </w:pPr>
            <w:r>
              <w:rPr>
                <w:rFonts w:ascii="Arial" w:cs="Arial" w:eastAsia="Arial" w:hAnsi="Arial"/>
                <w:sz w:val="18"/>
                <w:szCs w:val="18"/>
                <w:color w:val="auto"/>
              </w:rPr>
              <w:t>(1 )</w:t>
            </w: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income taxes</w:t>
            </w: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(400</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(482</w:t>
            </w:r>
          </w:p>
        </w:tc>
        <w:tc>
          <w:tcPr>
            <w:tcW w:w="10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6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Federal</w:t>
            </w:r>
          </w:p>
        </w:tc>
        <w:tc>
          <w:tcPr>
            <w:tcW w:w="1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(1,748 )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(409 )</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c>
          <w:tcPr>
            <w:tcW w:w="100" w:type="dxa"/>
            <w:vAlign w:val="bottom"/>
            <w:tcBorders>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6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4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Foreign</w:t>
            </w:r>
          </w:p>
        </w:tc>
        <w:tc>
          <w:tcPr>
            <w:tcW w:w="14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right w:val="single" w:sz="8" w:color="CFF0FC"/>
            </w:tcBorders>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60" w:type="dxa"/>
            <w:vAlign w:val="bottom"/>
          </w:tcPr>
          <w:p>
            <w:pPr>
              <w:spacing w:after="0" w:line="196" w:lineRule="exact"/>
              <w:rPr>
                <w:sz w:val="20"/>
                <w:szCs w:val="20"/>
                <w:color w:val="auto"/>
              </w:rPr>
            </w:pPr>
            <w:r>
              <w:rPr>
                <w:rFonts w:ascii="Arial" w:cs="Arial" w:eastAsia="Arial" w:hAnsi="Arial"/>
                <w:sz w:val="18"/>
                <w:szCs w:val="18"/>
                <w:color w:val="auto"/>
              </w:rPr>
              <w:t>Total deferred income taxes</w:t>
            </w: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(1,748 )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3"/>
          </w:tcPr>
          <w:p>
            <w:pPr>
              <w:jc w:val="right"/>
              <w:ind w:right="61"/>
              <w:spacing w:after="0" w:line="196" w:lineRule="exact"/>
              <w:rPr>
                <w:sz w:val="20"/>
                <w:szCs w:val="20"/>
                <w:color w:val="auto"/>
              </w:rPr>
            </w:pPr>
            <w:r>
              <w:rPr>
                <w:rFonts w:ascii="Arial" w:cs="Arial" w:eastAsia="Arial" w:hAnsi="Arial"/>
                <w:sz w:val="18"/>
                <w:szCs w:val="18"/>
                <w:color w:val="auto"/>
              </w:rPr>
              <w:t>(409 )</w:t>
            </w: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4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income tax (provision) benefit</w:t>
            </w:r>
          </w:p>
        </w:tc>
        <w:tc>
          <w:tcPr>
            <w:tcW w:w="160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(1,870</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(809</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8"/>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(448</w:t>
            </w:r>
          </w:p>
        </w:tc>
        <w:tc>
          <w:tcPr>
            <w:tcW w:w="100" w:type="dxa"/>
            <w:vAlign w:val="bottom"/>
            <w:tcBorders>
              <w:bottom w:val="single" w:sz="8" w:color="CFF0FC"/>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0" w:type="dxa"/>
            <w:vAlign w:val="bottom"/>
            <w:gridSpan w:val="3"/>
          </w:tcPr>
          <w:p>
            <w:pPr>
              <w:jc w:val="right"/>
              <w:ind w:right="527"/>
              <w:spacing w:after="0"/>
              <w:rPr>
                <w:sz w:val="20"/>
                <w:szCs w:val="20"/>
                <w:color w:val="auto"/>
              </w:rPr>
            </w:pPr>
            <w:r>
              <w:rPr>
                <w:rFonts w:ascii="Arial" w:cs="Arial" w:eastAsia="Arial" w:hAnsi="Arial"/>
                <w:sz w:val="18"/>
                <w:szCs w:val="18"/>
                <w:color w:val="auto"/>
              </w:rPr>
              <w:t>F-33</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5"/>
        </w:trPr>
        <w:tc>
          <w:tcPr>
            <w:tcW w:w="1140" w:type="dxa"/>
            <w:vAlign w:val="bottom"/>
            <w:tcBorders>
              <w:bottom w:val="single" w:sz="8" w:color="9A9A9A"/>
            </w:tcBorders>
          </w:tcPr>
          <w:p>
            <w:pPr>
              <w:spacing w:after="0"/>
              <w:rPr>
                <w:sz w:val="13"/>
                <w:szCs w:val="13"/>
                <w:color w:val="auto"/>
              </w:rPr>
            </w:pPr>
          </w:p>
        </w:tc>
        <w:tc>
          <w:tcPr>
            <w:tcW w:w="34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-2713990</wp:posOffset>
            </wp:positionV>
            <wp:extent cx="51435"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-2713990</wp:posOffset>
            </wp:positionV>
            <wp:extent cx="60325"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-2713990</wp:posOffset>
            </wp:positionV>
            <wp:extent cx="4318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-810895</wp:posOffset>
            </wp:positionV>
            <wp:extent cx="6858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-810895</wp:posOffset>
            </wp:positionV>
            <wp:extent cx="60325"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-810895</wp:posOffset>
            </wp:positionV>
            <wp:extent cx="5969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-539115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-521970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-539115</wp:posOffset>
            </wp:positionV>
            <wp:extent cx="603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-521970</wp:posOffset>
            </wp:positionV>
            <wp:extent cx="603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-539115</wp:posOffset>
            </wp:positionV>
            <wp:extent cx="596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-521970</wp:posOffset>
            </wp:positionV>
            <wp:extent cx="596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84" w:name="page185"/>
    <w:bookmarkEnd w:id="184"/>
    <w:p>
      <w:pPr>
        <w:ind w:left="520"/>
        <w:spacing w:after="0"/>
        <w:rPr>
          <w:sz w:val="20"/>
          <w:szCs w:val="20"/>
          <w:color w:val="auto"/>
        </w:rPr>
      </w:pPr>
      <w:r>
        <w:rPr>
          <w:rFonts w:ascii="Arial" w:cs="Arial" w:eastAsia="Arial" w:hAnsi="Arial"/>
          <w:sz w:val="16"/>
          <w:szCs w:val="16"/>
          <w:color w:val="auto"/>
        </w:rPr>
        <w:t>A reconciliation of income tax expense computed at the statutory corporate income tax rate to the effective income tax rate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 is as follows:</w:t>
      </w:r>
    </w:p>
    <w:p>
      <w:pPr>
        <w:spacing w:after="0" w:line="187"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Years Ended December 31,</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488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tax expense at statutory rate</w:t>
            </w: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5"/>
              </w:rPr>
              <w:t>11.9</w:t>
            </w:r>
          </w:p>
        </w:tc>
        <w:tc>
          <w:tcPr>
            <w:tcW w:w="44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w:t>
            </w:r>
          </w:p>
        </w:tc>
        <w:tc>
          <w:tcPr>
            <w:tcW w:w="34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50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 net of federal benefit</w:t>
            </w:r>
          </w:p>
        </w:tc>
        <w:tc>
          <w:tcPr>
            <w:tcW w:w="7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w w:val="92"/>
              </w:rPr>
              <w:t>(1.0 )%</w:t>
            </w:r>
          </w:p>
        </w:tc>
        <w:tc>
          <w:tcPr>
            <w:tcW w:w="13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1.0 %</w:t>
            </w:r>
          </w:p>
        </w:tc>
        <w:tc>
          <w:tcPr>
            <w:tcW w:w="13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(2.1 )%</w:t>
            </w:r>
          </w:p>
        </w:tc>
      </w:tr>
      <w:tr>
        <w:trPr>
          <w:trHeight w:val="203"/>
        </w:trPr>
        <w:tc>
          <w:tcPr>
            <w:tcW w:w="55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Nondeductible expenses</w:t>
            </w:r>
          </w:p>
        </w:tc>
        <w:tc>
          <w:tcPr>
            <w:tcW w:w="7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0.7 %</w:t>
            </w:r>
          </w:p>
        </w:tc>
        <w:tc>
          <w:tcPr>
            <w:tcW w:w="13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0.1 %</w:t>
            </w:r>
          </w:p>
        </w:tc>
        <w:tc>
          <w:tcPr>
            <w:tcW w:w="13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(0.1 )%</w:t>
            </w:r>
          </w:p>
        </w:tc>
      </w:tr>
      <w:tr>
        <w:trPr>
          <w:trHeight w:val="203"/>
        </w:trPr>
        <w:tc>
          <w:tcPr>
            <w:tcW w:w="5500" w:type="dxa"/>
            <w:vAlign w:val="bottom"/>
            <w:gridSpan w:val="2"/>
          </w:tcPr>
          <w:p>
            <w:pPr>
              <w:spacing w:after="0" w:line="202" w:lineRule="exact"/>
              <w:rPr>
                <w:sz w:val="20"/>
                <w:szCs w:val="20"/>
                <w:color w:val="auto"/>
              </w:rPr>
            </w:pPr>
            <w:r>
              <w:rPr>
                <w:rFonts w:ascii="Arial" w:cs="Arial" w:eastAsia="Arial" w:hAnsi="Arial"/>
                <w:sz w:val="18"/>
                <w:szCs w:val="18"/>
                <w:color w:val="auto"/>
              </w:rPr>
              <w:t>Foreign rate differential</w:t>
            </w:r>
          </w:p>
        </w:tc>
        <w:tc>
          <w:tcPr>
            <w:tcW w:w="7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0.6 %</w:t>
            </w:r>
          </w:p>
        </w:tc>
        <w:tc>
          <w:tcPr>
            <w:tcW w:w="1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(0.1 )%</w:t>
            </w:r>
          </w:p>
        </w:tc>
        <w:tc>
          <w:tcPr>
            <w:tcW w:w="1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2.0 %</w:t>
            </w:r>
          </w:p>
        </w:tc>
      </w:tr>
      <w:tr>
        <w:trPr>
          <w:trHeight w:val="203"/>
        </w:trPr>
        <w:tc>
          <w:tcPr>
            <w:tcW w:w="55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Statutory to US GAAP permanent differences</w:t>
            </w:r>
          </w:p>
        </w:tc>
        <w:tc>
          <w:tcPr>
            <w:tcW w:w="7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0.0 %</w:t>
            </w:r>
          </w:p>
        </w:tc>
        <w:tc>
          <w:tcPr>
            <w:tcW w:w="13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0.0 %</w:t>
            </w: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0.1 %</w:t>
            </w:r>
          </w:p>
        </w:tc>
      </w:tr>
      <w:tr>
        <w:trPr>
          <w:trHeight w:val="203"/>
        </w:trPr>
        <w:tc>
          <w:tcPr>
            <w:tcW w:w="550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7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w w:val="92"/>
              </w:rPr>
              <w:t>(2.5 )%</w:t>
            </w:r>
          </w:p>
        </w:tc>
        <w:tc>
          <w:tcPr>
            <w:tcW w:w="13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2.3 %</w:t>
            </w:r>
          </w:p>
        </w:tc>
        <w:tc>
          <w:tcPr>
            <w:tcW w:w="13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(2.0 )%</w:t>
            </w:r>
          </w:p>
        </w:tc>
      </w:tr>
      <w:tr>
        <w:trPr>
          <w:trHeight w:val="203"/>
        </w:trPr>
        <w:tc>
          <w:tcPr>
            <w:tcW w:w="550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Impact of deferred rate change</w:t>
            </w:r>
          </w:p>
        </w:tc>
        <w:tc>
          <w:tcPr>
            <w:tcW w:w="78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0.0 %</w:t>
            </w:r>
          </w:p>
        </w:tc>
        <w:tc>
          <w:tcPr>
            <w:tcW w:w="13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0.0 %</w:t>
            </w:r>
          </w:p>
        </w:tc>
        <w:tc>
          <w:tcPr>
            <w:tcW w:w="13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(12.2 )%</w:t>
            </w:r>
          </w:p>
        </w:tc>
      </w:tr>
      <w:tr>
        <w:trPr>
          <w:trHeight w:val="203"/>
        </w:trPr>
        <w:tc>
          <w:tcPr>
            <w:tcW w:w="5500" w:type="dxa"/>
            <w:vAlign w:val="bottom"/>
            <w:gridSpan w:val="2"/>
          </w:tcPr>
          <w:p>
            <w:pPr>
              <w:spacing w:after="0" w:line="202" w:lineRule="exact"/>
              <w:rPr>
                <w:sz w:val="20"/>
                <w:szCs w:val="20"/>
                <w:color w:val="auto"/>
              </w:rPr>
            </w:pPr>
            <w:r>
              <w:rPr>
                <w:rFonts w:ascii="Arial" w:cs="Arial" w:eastAsia="Arial" w:hAnsi="Arial"/>
                <w:sz w:val="18"/>
                <w:szCs w:val="18"/>
                <w:color w:val="auto"/>
              </w:rPr>
              <w:t>Research credits</w:t>
            </w:r>
          </w:p>
        </w:tc>
        <w:tc>
          <w:tcPr>
            <w:tcW w:w="7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w w:val="92"/>
              </w:rPr>
              <w:t>(4.2 )%</w:t>
            </w:r>
          </w:p>
        </w:tc>
        <w:tc>
          <w:tcPr>
            <w:tcW w:w="13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3.3 %</w:t>
            </w:r>
          </w:p>
        </w:tc>
        <w:tc>
          <w:tcPr>
            <w:tcW w:w="13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(5.2 )%</w:t>
            </w: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6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2"/>
              </w:rPr>
              <w:t>(5.0 )%</w:t>
            </w:r>
          </w:p>
        </w:tc>
        <w:tc>
          <w:tcPr>
            <w:tcW w:w="13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(18.7 )%</w:t>
            </w: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10.9 %</w:t>
            </w:r>
          </w:p>
        </w:tc>
      </w:tr>
      <w:tr>
        <w:trPr>
          <w:trHeight w:val="20"/>
        </w:trPr>
        <w:tc>
          <w:tcPr>
            <w:tcW w:w="48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r>
      <w:tr>
        <w:trPr>
          <w:trHeight w:val="196"/>
        </w:trPr>
        <w:tc>
          <w:tcPr>
            <w:tcW w:w="4880" w:type="dxa"/>
            <w:vAlign w:val="bottom"/>
          </w:tcPr>
          <w:p>
            <w:pPr>
              <w:spacing w:after="0" w:line="196" w:lineRule="exact"/>
              <w:rPr>
                <w:sz w:val="20"/>
                <w:szCs w:val="20"/>
                <w:color w:val="auto"/>
              </w:rPr>
            </w:pPr>
            <w:r>
              <w:rPr>
                <w:rFonts w:ascii="Arial" w:cs="Arial" w:eastAsia="Arial" w:hAnsi="Arial"/>
                <w:sz w:val="18"/>
                <w:szCs w:val="18"/>
                <w:color w:val="auto"/>
              </w:rPr>
              <w:t>Effective income tax rate</w:t>
            </w:r>
          </w:p>
        </w:tc>
        <w:tc>
          <w:tcPr>
            <w:tcW w:w="620" w:type="dxa"/>
            <w:vAlign w:val="bottom"/>
          </w:tcPr>
          <w:p>
            <w:pPr>
              <w:spacing w:after="0"/>
              <w:rPr>
                <w:sz w:val="17"/>
                <w:szCs w:val="17"/>
                <w:color w:val="auto"/>
              </w:rPr>
            </w:pPr>
          </w:p>
        </w:tc>
        <w:tc>
          <w:tcPr>
            <w:tcW w:w="78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0.5 %</w:t>
            </w:r>
          </w:p>
        </w:tc>
        <w:tc>
          <w:tcPr>
            <w:tcW w:w="13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(0.2 %)</w:t>
            </w:r>
          </w:p>
        </w:tc>
        <w:tc>
          <w:tcPr>
            <w:tcW w:w="13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0.7 %</w:t>
            </w:r>
          </w:p>
        </w:tc>
      </w:tr>
      <w:tr>
        <w:trPr>
          <w:trHeight w:val="20"/>
        </w:trPr>
        <w:tc>
          <w:tcPr>
            <w:tcW w:w="48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-159385</wp:posOffset>
            </wp:positionV>
            <wp:extent cx="222885"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5">
                      <a:extLst>
                        <a:ext uri="{28A0092B-C50C-407E-A947-70E740481C1C}"/>
                      </a:extLst>
                    </a:blip>
                    <a:srcRect/>
                    <a:stretch>
                      <a:fillRect/>
                    </a:stretch>
                  </pic:blipFill>
                  <pic:spPr bwMode="auto">
                    <a:xfrm>
                      <a:off x="0" y="0"/>
                      <a:ext cx="222885"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-159385</wp:posOffset>
            </wp:positionV>
            <wp:extent cx="21463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6">
                      <a:extLst>
                        <a:ext uri="{28A0092B-C50C-407E-A947-70E740481C1C}"/>
                      </a:extLst>
                    </a:blip>
                    <a:srcRect/>
                    <a:stretch>
                      <a:fillRect/>
                    </a:stretch>
                  </pic:blipFill>
                  <pic:spPr bwMode="auto">
                    <a:xfrm>
                      <a:off x="0" y="0"/>
                      <a:ext cx="21463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wp:posOffset>
            </wp:positionV>
            <wp:extent cx="213995"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7">
                      <a:extLst>
                        <a:ext uri="{28A0092B-C50C-407E-A947-70E740481C1C}"/>
                      </a:extLst>
                    </a:blip>
                    <a:srcRect/>
                    <a:stretch>
                      <a:fillRect/>
                    </a:stretch>
                  </pic:blipFill>
                  <pic:spPr bwMode="auto">
                    <a:xfrm>
                      <a:off x="0" y="0"/>
                      <a:ext cx="213995" cy="5715"/>
                    </a:xfrm>
                    <a:prstGeom prst="rect">
                      <a:avLst/>
                    </a:prstGeom>
                    <a:noFill/>
                  </pic:spPr>
                </pic:pic>
              </a:graphicData>
            </a:graphic>
          </wp:anchor>
        </w:drawing>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federal statutory rate reflects the Switzerland mixed company service rate.</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Company’s deferred tax assets are comprised of the following (in thousands):</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right"/>
              <w:ind w:right="570"/>
              <w:spacing w:after="0"/>
              <w:rPr>
                <w:sz w:val="20"/>
                <w:szCs w:val="20"/>
                <w:color w:val="auto"/>
              </w:rPr>
            </w:pPr>
            <w:r>
              <w:rPr>
                <w:rFonts w:ascii="Arial" w:cs="Arial" w:eastAsia="Arial" w:hAnsi="Arial"/>
                <w:sz w:val="14"/>
                <w:szCs w:val="14"/>
                <w:b w:val="1"/>
                <w:bCs w:val="1"/>
                <w:color w:val="auto"/>
              </w:rPr>
              <w:t>Years Ended December 31,</w:t>
            </w:r>
          </w:p>
        </w:tc>
      </w:tr>
      <w:tr>
        <w:trPr>
          <w:trHeight w:val="169"/>
        </w:trPr>
        <w:tc>
          <w:tcPr>
            <w:tcW w:w="50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47,190</w:t>
            </w:r>
          </w:p>
        </w:tc>
        <w:tc>
          <w:tcPr>
            <w:tcW w:w="20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84,531</w:t>
            </w:r>
          </w:p>
        </w:tc>
        <w:tc>
          <w:tcPr>
            <w:tcW w:w="100" w:type="dxa"/>
            <w:vAlign w:val="bottom"/>
          </w:tcPr>
          <w:p>
            <w:pPr>
              <w:spacing w:after="0"/>
              <w:rPr>
                <w:sz w:val="17"/>
                <w:szCs w:val="17"/>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Accruals and reserves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5,878</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4,785</w:t>
            </w:r>
          </w:p>
        </w:tc>
        <w:tc>
          <w:tcPr>
            <w:tcW w:w="100" w:type="dxa"/>
            <w:vAlign w:val="bottom"/>
            <w:shd w:val="clear" w:color="auto" w:fill="CFF0FC"/>
          </w:tcPr>
          <w:p>
            <w:pPr>
              <w:spacing w:after="0"/>
              <w:rPr>
                <w:sz w:val="17"/>
                <w:szCs w:val="17"/>
                <w:color w:val="auto"/>
              </w:rPr>
            </w:pPr>
          </w:p>
        </w:tc>
      </w:tr>
      <w:tr>
        <w:trPr>
          <w:trHeight w:val="202"/>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61,476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16,782</w:t>
            </w:r>
          </w:p>
        </w:tc>
        <w:tc>
          <w:tcPr>
            <w:tcW w:w="100" w:type="dxa"/>
            <w:vAlign w:val="bottom"/>
          </w:tcPr>
          <w:p>
            <w:pPr>
              <w:spacing w:after="0"/>
              <w:rPr>
                <w:sz w:val="17"/>
                <w:szCs w:val="17"/>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deferred tax assets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6,362</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1,517</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14,042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9,605</w:t>
            </w:r>
          </w:p>
        </w:tc>
        <w:tc>
          <w:tcPr>
            <w:tcW w:w="100" w:type="dxa"/>
            <w:vAlign w:val="bottom"/>
          </w:tcPr>
          <w:p>
            <w:pPr>
              <w:spacing w:after="0"/>
              <w:rPr>
                <w:sz w:val="17"/>
                <w:szCs w:val="17"/>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Research credit</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37,878</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19,526</w:t>
            </w:r>
          </w:p>
        </w:tc>
        <w:tc>
          <w:tcPr>
            <w:tcW w:w="100" w:type="dxa"/>
            <w:vAlign w:val="bottom"/>
          </w:tcPr>
          <w:p>
            <w:pPr>
              <w:spacing w:after="0"/>
              <w:rPr>
                <w:sz w:val="17"/>
                <w:szCs w:val="17"/>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deferred tax assets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172,826</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136,832</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Less valuation allowance</w:t>
            </w:r>
          </w:p>
        </w:tc>
        <w:tc>
          <w:tcPr>
            <w:tcW w:w="300" w:type="dxa"/>
            <w:vAlign w:val="bottom"/>
          </w:tcPr>
          <w:p>
            <w:pPr>
              <w:spacing w:after="0"/>
              <w:rPr>
                <w:sz w:val="17"/>
                <w:szCs w:val="17"/>
                <w:color w:val="auto"/>
              </w:rPr>
            </w:pPr>
          </w:p>
        </w:tc>
        <w:tc>
          <w:tcPr>
            <w:tcW w:w="118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(98,649 )</w:t>
            </w:r>
          </w:p>
        </w:tc>
        <w:tc>
          <w:tcPr>
            <w:tcW w:w="3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(116,640 )</w:t>
            </w: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74,177</w:t>
            </w:r>
          </w:p>
        </w:tc>
        <w:tc>
          <w:tcPr>
            <w:tcW w:w="2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20,192</w:t>
            </w:r>
          </w:p>
        </w:tc>
        <w:tc>
          <w:tcPr>
            <w:tcW w:w="100" w:type="dxa"/>
            <w:vAlign w:val="bottom"/>
            <w:shd w:val="clear" w:color="auto" w:fill="CFF0FC"/>
          </w:tcPr>
          <w:p>
            <w:pPr>
              <w:spacing w:after="0"/>
              <w:rPr>
                <w:sz w:val="17"/>
                <w:szCs w:val="17"/>
                <w:color w:val="auto"/>
              </w:rPr>
            </w:pPr>
          </w:p>
        </w:tc>
      </w:tr>
      <w:tr>
        <w:trPr>
          <w:trHeight w:val="202"/>
        </w:trPr>
        <w:tc>
          <w:tcPr>
            <w:tcW w:w="50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Depreciation</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(28,579 )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(6,778 )</w:t>
            </w: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Operating lease assets</w:t>
            </w:r>
          </w:p>
        </w:tc>
        <w:tc>
          <w:tcPr>
            <w:tcW w:w="300" w:type="dxa"/>
            <w:vAlign w:val="bottom"/>
          </w:tcPr>
          <w:p>
            <w:pPr>
              <w:spacing w:after="0"/>
              <w:rPr>
                <w:sz w:val="17"/>
                <w:szCs w:val="17"/>
                <w:color w:val="auto"/>
              </w:rPr>
            </w:pPr>
          </w:p>
        </w:tc>
        <w:tc>
          <w:tcPr>
            <w:tcW w:w="118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(47,521 )</w:t>
            </w:r>
          </w:p>
        </w:tc>
        <w:tc>
          <w:tcPr>
            <w:tcW w:w="3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(13,776 )</w:t>
            </w:r>
          </w:p>
        </w:tc>
      </w:tr>
      <w:tr>
        <w:trPr>
          <w:trHeight w:val="203"/>
        </w:trPr>
        <w:tc>
          <w:tcPr>
            <w:tcW w:w="5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(31 )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(31 )</w:t>
            </w:r>
          </w:p>
        </w:tc>
      </w:tr>
      <w:tr>
        <w:trPr>
          <w:trHeight w:val="203"/>
        </w:trPr>
        <w:tc>
          <w:tcPr>
            <w:tcW w:w="5000" w:type="dxa"/>
            <w:vAlign w:val="bottom"/>
          </w:tcPr>
          <w:p>
            <w:pPr>
              <w:ind w:left="180"/>
              <w:spacing w:after="0" w:line="202" w:lineRule="exact"/>
              <w:rPr>
                <w:sz w:val="20"/>
                <w:szCs w:val="20"/>
                <w:color w:val="auto"/>
              </w:rPr>
            </w:pPr>
            <w:r>
              <w:rPr>
                <w:rFonts w:ascii="Arial" w:cs="Arial" w:eastAsia="Arial" w:hAnsi="Arial"/>
                <w:sz w:val="18"/>
                <w:szCs w:val="18"/>
                <w:color w:val="auto"/>
              </w:rPr>
              <w:t>Other deferred tax liabilities</w:t>
            </w:r>
          </w:p>
        </w:tc>
        <w:tc>
          <w:tcPr>
            <w:tcW w:w="300" w:type="dxa"/>
            <w:vAlign w:val="bottom"/>
          </w:tcPr>
          <w:p>
            <w:pPr>
              <w:spacing w:after="0"/>
              <w:rPr>
                <w:sz w:val="17"/>
                <w:szCs w:val="17"/>
                <w:color w:val="auto"/>
              </w:rPr>
            </w:pPr>
          </w:p>
        </w:tc>
        <w:tc>
          <w:tcPr>
            <w:tcW w:w="118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(192 )</w:t>
            </w:r>
          </w:p>
        </w:tc>
        <w:tc>
          <w:tcPr>
            <w:tcW w:w="3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(4 )</w:t>
            </w:r>
          </w:p>
        </w:tc>
      </w:tr>
      <w:tr>
        <w:trPr>
          <w:trHeight w:val="196"/>
        </w:trPr>
        <w:tc>
          <w:tcPr>
            <w:tcW w:w="50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(76,323</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(20,589</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color w:val="auto"/>
              </w:rPr>
              <w:t>Long term deferred taxes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(2,146 )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(397 )</w:t>
            </w:r>
          </w:p>
        </w:tc>
      </w:tr>
      <w:tr>
        <w:trPr>
          <w:trHeight w:val="20"/>
        </w:trPr>
        <w:tc>
          <w:tcPr>
            <w:tcW w:w="5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-159385</wp:posOffset>
            </wp:positionV>
            <wp:extent cx="6858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-159385</wp:posOffset>
            </wp:positionV>
            <wp:extent cx="60325"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30"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auto"/>
        </w:rPr>
        <w:t>The Company has evaluated the positive and negative evidence bearing upon the realizability of its deferred tax assets. Based on the Company’s history of worldwide operating losses, the Company has concluded that it is more-likely-than-not that the benefit of its U.S. and non-U.S. deferred tax assets will not be realized. Accordingly, as of December 31, 2021 and 2020, the Company has provided a full valuation allowance against its net deferred tax assets in Switzerland and the United Kingdom. The Company has also provided a valuation allowance against the U.S. deferred tax assets that cannot be realized by existing deferred tax liabilities based upon when they are scheduled to reverse. The valuation allowance decreased by $18.0 million during 2021, which is primarily attributable to decreases in net operating loss carryforwards as a result of current year net income.</w:t>
      </w:r>
    </w:p>
    <w:p>
      <w:pPr>
        <w:spacing w:after="0" w:line="22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As of December 31, 2021, the Company had available U.S. federal net operating loss carryforwards of $3.3 million. The U.S. federal net operating losses can be carried forward indefinitely. As of December 31, 2021, the Company had available non-U.S. net operating loss carryforwards of $772.9 million of which $385.2 million relate to Switzerland, $385.2 million relate to the Canton of Zug, and $2.5 million relate to the Company’s wholly-owned subsidiary in the United Kingdom. The net operating losses generated in Switzerland and the Canton of Zug begin to expire in 2027 and the net operating losses generated in the United Kingdom can be carried forward indefinitely.</w:t>
      </w:r>
    </w:p>
    <w:p>
      <w:pPr>
        <w:spacing w:after="0" w:line="1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8" w:right="479" w:bottom="1440" w:gutter="0" w:footer="0" w:header="0"/>
        </w:sectPr>
      </w:pPr>
    </w:p>
    <w:bookmarkStart w:id="185" w:name="page186"/>
    <w:bookmarkEnd w:id="185"/>
    <w:p>
      <w:pPr>
        <w:ind w:right="100" w:firstLine="509"/>
        <w:spacing w:after="0" w:line="276" w:lineRule="auto"/>
        <w:rPr>
          <w:sz w:val="20"/>
          <w:szCs w:val="20"/>
          <w:color w:val="auto"/>
        </w:rPr>
      </w:pPr>
      <w:r>
        <w:rPr>
          <w:rFonts w:ascii="Arial" w:cs="Arial" w:eastAsia="Arial" w:hAnsi="Arial"/>
          <w:sz w:val="16"/>
          <w:szCs w:val="16"/>
          <w:color w:val="auto"/>
        </w:rPr>
        <w:t>As of December 31, 2021, the Company had U.S. domestic federal research and development credit carryforwards of $19.4 million begin to expire in 2039 for federal purposes, which are net of uncertain tax positions of $9.9 million. As of December 31, 2021, the Company had U.S. domestic federal orphan drug credit carryforwards of $10.6 million which begin to expire in 2040 for federal purposes, which are net of uncertain tax positions of $4.5</w:t>
      </w:r>
    </w:p>
    <w:p>
      <w:pPr>
        <w:spacing w:after="0" w:line="1"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million. As of December 31, 2021, the Company had U.S. domestic state research and development credit carryforwards of $10.0 million which begin to expire in 2035, which are net of uncertain tax positions of $7.0 million.</w:t>
      </w:r>
    </w:p>
    <w:p>
      <w:pPr>
        <w:spacing w:after="0" w:line="158"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ASC 740 clarifies the accounting for uncertainty in income taxes recognized in an enterprise’s financial statement by prescribing the minimum recognition threshold and measurement of a tax position taken or expected to be taken in a tax return.</w:t>
      </w:r>
    </w:p>
    <w:p>
      <w:pPr>
        <w:spacing w:after="0" w:line="171"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As of December 31, 2021, the Company had gross unrecognized tax benefits of $21.4 million of which $19.9 million would favorably impact the effective tax rate if recognized. The Company will recognize interest and penalties related to uncertain tax positions in income tax expense. As of December 31, 2021, 2020 and 2019, the Company had no accrued interest or penalties related to uncertain tax positions and no amounts have been recognized in the Company’s consolidated statements of operations and comprehensive loss.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aggregate changes in gross unrecognized tax benefits were as follows (in thousands):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96"/>
        </w:trPr>
        <w:tc>
          <w:tcPr>
            <w:tcW w:w="5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11,967</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5,231</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1,595</w:t>
            </w:r>
          </w:p>
        </w:tc>
        <w:tc>
          <w:tcPr>
            <w:tcW w:w="6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Increases for tax positions taken during current period</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9,911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7,004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2,754</w:t>
            </w:r>
          </w:p>
        </w:tc>
        <w:tc>
          <w:tcPr>
            <w:tcW w:w="60" w:type="dxa"/>
            <w:vAlign w:val="bottom"/>
          </w:tcPr>
          <w:p>
            <w:pPr>
              <w:spacing w:after="0"/>
              <w:rPr>
                <w:sz w:val="17"/>
                <w:szCs w:val="17"/>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Increases for tax positions taken in prior periods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882</w:t>
            </w:r>
          </w:p>
        </w:tc>
        <w:tc>
          <w:tcPr>
            <w:tcW w:w="6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Decreases for tax positions taken during current period</w:t>
            </w:r>
          </w:p>
        </w:tc>
        <w:tc>
          <w:tcPr>
            <w:tcW w:w="260" w:type="dxa"/>
            <w:vAlign w:val="bottom"/>
          </w:tcPr>
          <w:p>
            <w:pPr>
              <w:spacing w:after="0"/>
              <w:rPr>
                <w:sz w:val="17"/>
                <w:szCs w:val="17"/>
                <w:color w:val="auto"/>
              </w:rPr>
            </w:pPr>
          </w:p>
        </w:tc>
        <w:tc>
          <w:tcPr>
            <w:tcW w:w="11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Decreases for tax positions taken in prior periods</w:t>
            </w:r>
          </w:p>
        </w:tc>
        <w:tc>
          <w:tcPr>
            <w:tcW w:w="2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(483 )</w:t>
            </w: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(268 )</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196"/>
        </w:trPr>
        <w:tc>
          <w:tcPr>
            <w:tcW w:w="50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at end of year</w:t>
            </w: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21,395</w:t>
            </w: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11,967</w:t>
            </w:r>
          </w:p>
        </w:tc>
        <w:tc>
          <w:tcPr>
            <w:tcW w:w="20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5,231</w:t>
            </w:r>
          </w:p>
        </w:tc>
        <w:tc>
          <w:tcPr>
            <w:tcW w:w="60" w:type="dxa"/>
            <w:vAlign w:val="bottom"/>
            <w:tcBorders>
              <w:top w:val="single" w:sz="8" w:color="CFF0FC"/>
            </w:tcBorders>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-159385</wp:posOffset>
            </wp:positionV>
            <wp:extent cx="6858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-159385</wp:posOffset>
            </wp:positionV>
            <wp:extent cx="5969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30"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Company files income tax returns in the U.S. federal jurisdiction, Massachusetts, California and certain non-U.S. jurisdictions. The Company is subject to U.S. federal, Massachusetts, California and non-U.S. income tax examinations by authorities for tax years ending after December 31, 2017. Research credits generated in prior tax years that are closed for examination may still be adjusted upon future examination if they have or will be used in a future period. The Company is subject to income tax examinations by authorities in its non-U.S. jurisdictions for all years.</w:t>
      </w:r>
    </w:p>
    <w:p>
      <w:pPr>
        <w:spacing w:after="0" w:line="259" w:lineRule="exact"/>
        <w:rPr>
          <w:sz w:val="20"/>
          <w:szCs w:val="20"/>
          <w:color w:val="auto"/>
        </w:rPr>
      </w:pPr>
    </w:p>
    <w:p>
      <w:pPr>
        <w:ind w:left="300" w:right="8820" w:hanging="292"/>
        <w:spacing w:after="0" w:line="362" w:lineRule="auto"/>
        <w:tabs>
          <w:tab w:leader="none" w:pos="281"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i w:val="1"/>
          <w:iCs w:val="1"/>
          <w:color w:val="auto"/>
        </w:rPr>
        <w:t>Casebia</w:t>
      </w:r>
    </w:p>
    <w:p>
      <w:pPr>
        <w:spacing w:after="0" w:line="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 xml:space="preserve">Prior to the termination of the joint venture, Casebia was a related party under ASC 850, </w:t>
      </w:r>
      <w:r>
        <w:rPr>
          <w:rFonts w:ascii="Arial" w:cs="Arial" w:eastAsia="Arial" w:hAnsi="Arial"/>
          <w:sz w:val="18"/>
          <w:szCs w:val="18"/>
          <w:i w:val="1"/>
          <w:iCs w:val="1"/>
          <w:color w:val="auto"/>
        </w:rPr>
        <w:t>Related Party Disclosures</w:t>
      </w:r>
      <w:r>
        <w:rPr>
          <w:rFonts w:ascii="Arial" w:cs="Arial" w:eastAsia="Arial" w:hAnsi="Arial"/>
          <w:sz w:val="18"/>
          <w:szCs w:val="18"/>
          <w:color w:val="auto"/>
        </w:rPr>
        <w:t xml:space="preserve"> (“ASC 850”)</w:t>
      </w:r>
      <w:r>
        <w:rPr>
          <w:rFonts w:ascii="Arial" w:cs="Arial" w:eastAsia="Arial" w:hAnsi="Arial"/>
          <w:sz w:val="18"/>
          <w:szCs w:val="18"/>
          <w:i w:val="1"/>
          <w:iCs w:val="1"/>
          <w:color w:val="auto"/>
        </w:rPr>
        <w:t>.</w:t>
      </w:r>
      <w:r>
        <w:rPr>
          <w:rFonts w:ascii="Arial" w:cs="Arial" w:eastAsia="Arial" w:hAnsi="Arial"/>
          <w:sz w:val="18"/>
          <w:szCs w:val="18"/>
          <w:color w:val="auto"/>
        </w:rPr>
        <w:t xml:space="preserve"> Refer to Note 9, “Agreements with Bayer Healthcare LLC”.</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Vertex</w:t>
      </w:r>
    </w:p>
    <w:p>
      <w:pPr>
        <w:spacing w:after="0" w:line="104" w:lineRule="exact"/>
        <w:rPr>
          <w:sz w:val="20"/>
          <w:szCs w:val="20"/>
          <w:color w:val="auto"/>
        </w:rPr>
      </w:pPr>
    </w:p>
    <w:p>
      <w:pPr>
        <w:ind w:right="60" w:firstLine="509"/>
        <w:spacing w:after="0" w:line="294" w:lineRule="auto"/>
        <w:rPr>
          <w:sz w:val="20"/>
          <w:szCs w:val="20"/>
          <w:color w:val="auto"/>
        </w:rPr>
      </w:pPr>
      <w:r>
        <w:rPr>
          <w:rFonts w:ascii="Arial" w:cs="Arial" w:eastAsia="Arial" w:hAnsi="Arial"/>
          <w:sz w:val="16"/>
          <w:szCs w:val="16"/>
          <w:color w:val="auto"/>
        </w:rPr>
        <w:t>In the fourth quarter of 2018, upon becoming owners of record of more than 10% of the voting interest of the Company, Vertex became a related party under ASC 850</w:t>
      </w:r>
      <w:r>
        <w:rPr>
          <w:rFonts w:ascii="Arial" w:cs="Arial" w:eastAsia="Arial" w:hAnsi="Arial"/>
          <w:sz w:val="16"/>
          <w:szCs w:val="16"/>
          <w:i w:val="1"/>
          <w:iCs w:val="1"/>
          <w:color w:val="auto"/>
        </w:rPr>
        <w:t>.</w:t>
      </w:r>
      <w:r>
        <w:rPr>
          <w:rFonts w:ascii="Arial" w:cs="Arial" w:eastAsia="Arial" w:hAnsi="Arial"/>
          <w:sz w:val="16"/>
          <w:szCs w:val="16"/>
          <w:color w:val="auto"/>
        </w:rPr>
        <w:t xml:space="preserve"> As of July 2, 2019, upon becoming owners of record of less than 10% of the voting interest of the Company, Vertex was no longer a related party under ASC 850. Refer to Note 9, “Agreements with Vertex Pharmaceuticals Incorporated and certain of its subsidiaries”.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86" w:name="page187"/>
    <w:bookmarkEnd w:id="186"/>
    <w:p>
      <w:pPr>
        <w:jc w:val="right"/>
        <w:spacing w:after="0"/>
        <w:rPr>
          <w:sz w:val="20"/>
          <w:szCs w:val="20"/>
          <w:color w:val="auto"/>
        </w:rPr>
      </w:pPr>
      <w:r>
        <w:rPr>
          <w:rFonts w:ascii="Arial" w:cs="Arial" w:eastAsia="Arial" w:hAnsi="Arial"/>
          <w:sz w:val="20"/>
          <w:szCs w:val="20"/>
          <w:color w:val="auto"/>
        </w:rPr>
        <w:t>Exhibit 4.1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0"/>
          <w:szCs w:val="20"/>
          <w:color w:val="auto"/>
        </w:rPr>
      </w:pPr>
    </w:p>
    <w:p>
      <w:pPr>
        <w:spacing w:after="0" w:line="21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As of February 15, 2022, CRISPR Therapeutics AG has one class of securities registered under Section 12 of the Securities Exchange Act of 1934, as amended (the “Exchange Act”).</w:t>
      </w:r>
    </w:p>
    <w:p>
      <w:pPr>
        <w:spacing w:after="0" w:line="14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The following description of our common shares is a summary and does not purport to be complete. It is subject to and qualified in its entirety by reference to our Amended and Restated Articles of Association (the “Articles of Association”), which is incorporated by reference as an exhibit to the Annual Report on Form 10-K of which this Exhibit 4.1 is a part. We encourage you to read our Articles of Association and the applicable provisions of the Swiss Code of Obligations, or CO, for additional information.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Shares</w:t>
      </w:r>
    </w:p>
    <w:p>
      <w:pPr>
        <w:spacing w:after="0" w:line="175"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The Company has one class of common shares. Our share capital recorded in the commercial register as of February 15, 2022 is CHF 2,409,636.81 and is fully paid-in. It is divided into 80,321,227 common shares with a nominal value of CHF 0.03 each. The issued common shares are fully paid, non-assessable, and rank pari-passu with each other and all other shares.</w:t>
      </w:r>
    </w:p>
    <w:p>
      <w:pPr>
        <w:spacing w:after="0" w:line="155"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The shares are registered in book-entry form in DTC under the ISIN CH0334081137. The Company’s Transfer Agent and Registrar is American Stock Transfer &amp; Trust Company, and its address is 6201 5th Street, Brooklyn, NY 11219.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shares are listed on the Nasdaq Global Market under the symbol “CRSP”.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175"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As of February 15, 2022, our Articles of Association authorize the board of directors to increase our share capital at any time until June 10, 2023 by a maximum aggregate amount of CHF 1,179,509.25 through the issuance of not more than 39,316,975 common shares, which would have to be fully paid-in, with a nominal value of 0.03 CHF each.</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Conditional Share Capital</w:t>
      </w:r>
    </w:p>
    <w:p>
      <w:pPr>
        <w:spacing w:after="0" w:line="189"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As of February 15, 2022, our Articles of Association provide for a conditional capital for bonds and similar debt instruments. For such purposes, as per our current Articles of Association, our share capital may be increased by a maximum amount of CHF 147,591.00 through the issue of a maximum of 4,919,700 common shares, payable in full, each with a nominal value of CHF 0.03 through the exercise of conversion and/or option rights granted in connection with bonds or similar instruments, issued or to be issued by us or by our subsidiaries, including convertible debt instruments. In addition, our Articles of Association provide for a conditional capital for employee benefit plans. For such purposes, as per our current Articles of Association, our share capital may be increased by an amount not exceeding CHF 624,192.99 through the issue of a maximum of 20,806,433 common shares, payable in full, each with a nominal value of CHF 0.03, in connection with the exercise of option rights granted to any of our employees or a subsidiary of us, and any consultant, members of the board of directors, or other person providing services to us or a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color w:val="auto"/>
        </w:rPr>
        <w:t>Pre-Emptive Rights</w:t>
      </w:r>
    </w:p>
    <w:p>
      <w:pPr>
        <w:spacing w:after="0" w:line="189" w:lineRule="exact"/>
        <w:rPr>
          <w:sz w:val="20"/>
          <w:szCs w:val="20"/>
          <w:color w:val="auto"/>
        </w:rPr>
      </w:pPr>
    </w:p>
    <w:p>
      <w:pPr>
        <w:jc w:val="both"/>
        <w:ind w:right="220" w:firstLine="509"/>
        <w:spacing w:after="0" w:line="294" w:lineRule="auto"/>
        <w:rPr>
          <w:sz w:val="20"/>
          <w:szCs w:val="20"/>
          <w:color w:val="auto"/>
        </w:rPr>
      </w:pPr>
      <w:r>
        <w:rPr>
          <w:rFonts w:ascii="Arial" w:cs="Arial" w:eastAsia="Arial" w:hAnsi="Arial"/>
          <w:sz w:val="16"/>
          <w:szCs w:val="16"/>
          <w:color w:val="auto"/>
        </w:rPr>
        <w:t>Pursuant to the Swiss Code of Obligations, or CO, shareholders have pre-emptive rights (</w:t>
      </w:r>
      <w:r>
        <w:rPr>
          <w:rFonts w:ascii="Arial" w:cs="Arial" w:eastAsia="Arial" w:hAnsi="Arial"/>
          <w:sz w:val="16"/>
          <w:szCs w:val="16"/>
          <w:i w:val="1"/>
          <w:iCs w:val="1"/>
          <w:color w:val="auto"/>
        </w:rPr>
        <w:t>Bezugsrechte</w:t>
      </w:r>
      <w:r>
        <w:rPr>
          <w:rFonts w:ascii="Arial" w:cs="Arial" w:eastAsia="Arial" w:hAnsi="Arial"/>
          <w:sz w:val="16"/>
          <w:szCs w:val="16"/>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6"/>
          <w:szCs w:val="16"/>
          <w:i w:val="1"/>
          <w:iCs w:val="1"/>
          <w:color w:val="auto"/>
        </w:rPr>
        <w:t>Vorwegzeichnungsrechte</w:t>
      </w:r>
      <w:r>
        <w:rPr>
          <w:rFonts w:ascii="Arial" w:cs="Arial" w:eastAsia="Arial" w:hAnsi="Arial"/>
          <w:sz w:val="16"/>
          <w:szCs w:val="16"/>
          <w:color w:val="auto"/>
        </w:rPr>
        <w:t>) for the subscription of conversion rights, convertible bonds or similar debt instruments.</w:t>
      </w:r>
    </w:p>
    <w:p>
      <w:pPr>
        <w:spacing w:after="0" w:line="107"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A resolution passed at a general meeting of shareholders by two-thirds of the shares represented and the absolute majority of the nominal value of the shares represented may authorize our board of directors to withdraw or limit pre-emptive rights or advance subscription rights in certain circumstances.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pre-emptive rights are granted, but not exercised, the board of directors may allocate the pre-emptive rights as it elects.</w:t>
      </w:r>
    </w:p>
    <w:p>
      <w:pPr>
        <w:spacing w:after="0" w:line="185"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rights of shareholders, and to allocate them to third parties or to us, in the event that the newly issued shares are used for the following purposes:</w:t>
      </w:r>
    </w:p>
    <w:p>
      <w:pPr>
        <w:spacing w:after="0" w:line="84" w:lineRule="exact"/>
        <w:rPr>
          <w:sz w:val="20"/>
          <w:szCs w:val="20"/>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171"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143" w:lineRule="exact"/>
        <w:rPr>
          <w:rFonts w:ascii="Arial" w:cs="Arial" w:eastAsia="Arial" w:hAnsi="Arial"/>
          <w:sz w:val="18"/>
          <w:szCs w:val="18"/>
          <w:color w:val="auto"/>
        </w:rPr>
      </w:pPr>
    </w:p>
    <w:p>
      <w:pPr>
        <w:ind w:left="1020" w:right="480" w:hanging="503"/>
        <w:spacing w:after="0" w:line="248"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41" w:lineRule="exact"/>
        <w:rPr>
          <w:rFonts w:ascii="Arial" w:cs="Arial" w:eastAsia="Arial" w:hAnsi="Arial"/>
          <w:sz w:val="18"/>
          <w:szCs w:val="18"/>
          <w:color w:val="auto"/>
        </w:rPr>
      </w:pPr>
    </w:p>
    <w:p>
      <w:pPr>
        <w:ind w:left="1020" w:right="240" w:hanging="503"/>
        <w:spacing w:after="0" w:line="261"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130" w:lineRule="exact"/>
        <w:rPr>
          <w:rFonts w:ascii="Arial" w:cs="Arial" w:eastAsia="Arial" w:hAnsi="Arial"/>
          <w:sz w:val="18"/>
          <w:szCs w:val="18"/>
          <w:color w:val="auto"/>
        </w:rPr>
      </w:pPr>
    </w:p>
    <w:p>
      <w:pPr>
        <w:ind w:left="1020" w:right="40" w:hanging="503"/>
        <w:spacing w:after="0" w:line="324" w:lineRule="auto"/>
        <w:tabs>
          <w:tab w:leader="none" w:pos="10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raising of capital (including private placements) in a fast and flexible manner as such transaction would probably be difficult to carry out, or could be carried out only at less favorable terms, without the exclusion of the statutory pre-emptive right of the existing shareholders;</w:t>
      </w:r>
    </w:p>
    <w:p>
      <w:pPr>
        <w:spacing w:after="0" w:line="97" w:lineRule="exact"/>
        <w:rPr>
          <w:rFonts w:ascii="Arial" w:cs="Arial" w:eastAsia="Arial" w:hAnsi="Arial"/>
          <w:sz w:val="16"/>
          <w:szCs w:val="16"/>
          <w:color w:val="auto"/>
        </w:rPr>
      </w:pPr>
    </w:p>
    <w:p>
      <w:pPr>
        <w:ind w:left="1020" w:right="100" w:hanging="503"/>
        <w:spacing w:after="0" w:line="259" w:lineRule="auto"/>
        <w:tabs>
          <w:tab w:leader="none" w:pos="10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following a shareholder or a group of shareholders acting in concert having accumulated shareholdings in excess of 15%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133" w:lineRule="exact"/>
        <w:rPr>
          <w:rFonts w:ascii="Arial" w:cs="Arial" w:eastAsia="Arial" w:hAnsi="Arial"/>
          <w:sz w:val="17"/>
          <w:szCs w:val="17"/>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Swiss Code of Obligations, or CO.</w:t>
      </w:r>
    </w:p>
    <w:p>
      <w:pPr>
        <w:spacing w:after="0" w:line="171"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With respect to our conditional share capital, the shareholders’ advance subscription rights with regard to the new bonds or similar instruments may be restricted or excluded by our board of directors in order to finance or refinance the acquisition of companies, parts of companies or holdings, or new investments planned by the Company, or in order to issue convertible bonds or similar instruments on the international capital markets or through private placement. If advance subscription rights are excluded, then (1) the instruments are to be placed at market conditions, (2) the exercise period is not to exceed ten years from the date of issue of option rights and twenty years for conversion rights and (3) the conversion or exercise price for the new shares is to be set at least in line with the market conditions prevailing at the date on which the instruments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Voting Rights</w:t>
      </w:r>
    </w:p>
    <w:p>
      <w:pPr>
        <w:spacing w:after="0" w:line="189"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auto"/>
        </w:rPr>
        <w:t>The shareholders exercise their voting rights at the general meetings of shareholders in proportion to the nominal value of the shares belonging to them. The holders of shares are entitled to one vote for each share held at all meetings of shareholders. The holders of our common shares do not have cumulative voting rights in the election of directors, as cumulative voting is not permitted under Swiss law. The shares are not divisible. The right to vote and the other rights of share ownership may only be exercised by shareholders (including any nominees) or usufructuaries who are entered in our share register at the cut-off date determined by the board of directors and by persons who are entitled by law to the voting right of a share. Each shareholder may be represented by the independent proxy holder (annually elected by the general meeting of shareholders), another registered shareholder or third person with written authorization to act as proxy or the shareholder’s legal representative. The requirements regarding powers of attorney and instructions are determined by the board of directors.</w:t>
      </w:r>
    </w:p>
    <w:p>
      <w:pPr>
        <w:spacing w:after="0" w:line="140"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According to our articles, when exercising voting rights, no person or entity can accumulate voting rights over its shares of more than 15% of the registered share capital recorded in the commercial register of the Canton of Zug, Switzerland. This restriction on exercise of voting rights does not apply to the exercise of voting rights by the independent proxy holder.</w:t>
      </w:r>
    </w:p>
    <w:p>
      <w:pPr>
        <w:spacing w:after="0" w:line="14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articles further contain provisions that prevent shareholders from acquiring voting rights over its shares that exceed 5% or more of the registered share capital recorded in the commercial register of the Canton of Zug, Switzerland. Specifically, no individual or legal entity shall be registered with voting rights over its shares (held directly or indirectly) that exceed 5 % or more of the registered share capital recorded in the commercial register of the Canton of Zug, Switzerland; the common shares exceeding the limit of 15% shall be entered in our share register as shares without voting rights. The board of directors may in special cases approve exceptions to the above regulations.</w:t>
      </w:r>
    </w:p>
    <w:p>
      <w:pPr>
        <w:spacing w:after="0" w:line="151"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Our articles contain provisions that persons who do not expressly declare in the registration application that they are holding the shares on their own account (thereafter: nominees) shall forthwith be entered on the share register as shareholders with voting rights up to a maximum of 3% of the share capital. Beyond that limit, registered shares of nominees shall only be entered as voting if the nominees in question disclose the names, addresses and shareholdings of the persons on whose account they hold 0.5% or more of the share capital. The board of directors concludes agreements with nominees that among other things govern the representation of shareholders and the voting rights.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holders of shares are entitled to receive dividends, if and when resolved upon by the general meeting of shareholders based on a respective proposal by the board of directors and provided that the Company disposes of sufficient freely distributable reserves.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175"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The Swiss Code of Obligations, or CO, limits the Company’s ability to hold or repurchase shares. The Company and its subsidiaries may only repurchase shares if and to the extent that sufficient freely distributable reserves are available. The aggregate par value of all shares held by the Company and its subsidiaries may not exceed 10% of the registered share capital, safe for the purpose of cancellation, subject to the approval of the general meeting of shareholders. Repurchased shares held by the Company or its subsidiaries do not carry any rights to vote at a general meeting of shareholders, but are entitled to the economic benefits generally associated with the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Participation Certificates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February 15, 2022, we have not issued any profit participation certificates (</w:t>
      </w:r>
      <w:r>
        <w:rPr>
          <w:rFonts w:ascii="Arial" w:cs="Arial" w:eastAsia="Arial" w:hAnsi="Arial"/>
          <w:sz w:val="18"/>
          <w:szCs w:val="18"/>
          <w:i w:val="1"/>
          <w:iCs w:val="1"/>
          <w:color w:val="auto"/>
        </w:rPr>
        <w:t>Genussscheine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b w:val="1"/>
          <w:bCs w:val="1"/>
          <w:color w:val="auto"/>
        </w:rPr>
        <w:t>Exhibit 10.32</w:t>
      </w:r>
    </w:p>
    <w:p>
      <w:pPr>
        <w:spacing w:after="0" w:line="117" w:lineRule="exact"/>
        <w:rPr>
          <w:sz w:val="20"/>
          <w:szCs w:val="20"/>
          <w:color w:val="auto"/>
        </w:rPr>
      </w:pPr>
    </w:p>
    <w:p>
      <w:pPr>
        <w:ind w:right="440" w:firstLine="10"/>
        <w:spacing w:after="0" w:line="229" w:lineRule="auto"/>
        <w:tabs>
          <w:tab w:leader="none" w:pos="435"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Certain portions of this exhibit have been omitted because they are not material and the registrant customarily and actually treats that information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292100</wp:posOffset>
            </wp:positionV>
            <wp:extent cx="1937385" cy="77152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8">
                      <a:extLst>
                        <a:ext uri="{28A0092B-C50C-407E-A947-70E740481C1C}"/>
                      </a:extLst>
                    </a:blip>
                    <a:srcRect/>
                    <a:stretch>
                      <a:fillRect/>
                    </a:stretch>
                  </pic:blipFill>
                  <pic:spPr bwMode="auto">
                    <a:xfrm>
                      <a:off x="0" y="0"/>
                      <a:ext cx="193738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December 16, 2021</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22"/>
          <w:szCs w:val="22"/>
          <w:i w:val="1"/>
          <w:iCs w:val="1"/>
          <w:color w:val="auto"/>
        </w:rPr>
        <w:t>Via Overnight Courier Service</w:t>
      </w:r>
    </w:p>
    <w:p>
      <w:pPr>
        <w:spacing w:after="0" w:line="200" w:lineRule="exact"/>
        <w:rPr>
          <w:sz w:val="20"/>
          <w:szCs w:val="20"/>
          <w:color w:val="auto"/>
        </w:rPr>
      </w:pPr>
    </w:p>
    <w:p>
      <w:pPr>
        <w:spacing w:after="0" w:line="276"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CRISPR Therapeutics, Inc. 610</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Main Street</w:t>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Cambridge, MA 02139 and</w:t>
      </w:r>
    </w:p>
    <w:p>
      <w:pPr>
        <w:spacing w:after="0" w:line="12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200 Sidney Road</w:t>
      </w:r>
    </w:p>
    <w:p>
      <w:pPr>
        <w:spacing w:after="0" w:line="8"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Cambridge, MA 02142</w:t>
      </w:r>
    </w:p>
    <w:p>
      <w:pPr>
        <w:spacing w:after="0" w:line="35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Re: 610 Main Street, 5</w:t>
      </w:r>
      <w:r>
        <w:rPr>
          <w:rFonts w:ascii="Arial" w:cs="Arial" w:eastAsia="Arial" w:hAnsi="Arial"/>
          <w:sz w:val="13"/>
          <w:szCs w:val="13"/>
          <w:color w:val="auto"/>
        </w:rPr>
        <w:t>th</w:t>
      </w:r>
      <w:r>
        <w:rPr>
          <w:rFonts w:ascii="Arial" w:cs="Arial" w:eastAsia="Arial" w:hAnsi="Arial"/>
          <w:sz w:val="20"/>
          <w:szCs w:val="20"/>
          <w:color w:val="auto"/>
        </w:rPr>
        <w:t>, 6</w:t>
      </w:r>
      <w:r>
        <w:rPr>
          <w:rFonts w:ascii="Arial" w:cs="Arial" w:eastAsia="Arial" w:hAnsi="Arial"/>
          <w:sz w:val="13"/>
          <w:szCs w:val="13"/>
          <w:color w:val="auto"/>
        </w:rPr>
        <w:t>th</w:t>
      </w:r>
      <w:r>
        <w:rPr>
          <w:rFonts w:ascii="Arial" w:cs="Arial" w:eastAsia="Arial" w:hAnsi="Arial"/>
          <w:sz w:val="20"/>
          <w:szCs w:val="20"/>
          <w:color w:val="auto"/>
        </w:rPr>
        <w:t xml:space="preserve"> and 7</w:t>
      </w:r>
      <w:r>
        <w:rPr>
          <w:rFonts w:ascii="Arial" w:cs="Arial" w:eastAsia="Arial" w:hAnsi="Arial"/>
          <w:sz w:val="13"/>
          <w:szCs w:val="13"/>
          <w:color w:val="auto"/>
        </w:rPr>
        <w:t>th</w:t>
      </w:r>
      <w:r>
        <w:rPr>
          <w:rFonts w:ascii="Arial" w:cs="Arial" w:eastAsia="Arial" w:hAnsi="Arial"/>
          <w:sz w:val="20"/>
          <w:szCs w:val="20"/>
          <w:color w:val="auto"/>
        </w:rPr>
        <w:t xml:space="preserve"> Floors, Cambridge, MA (the “Subleased Premises”) Dear CRISPR:</w:t>
      </w:r>
    </w:p>
    <w:p>
      <w:pPr>
        <w:spacing w:after="0" w:line="135" w:lineRule="exact"/>
        <w:rPr>
          <w:sz w:val="20"/>
          <w:szCs w:val="20"/>
          <w:color w:val="auto"/>
        </w:rPr>
      </w:pPr>
    </w:p>
    <w:p>
      <w:pPr>
        <w:jc w:val="both"/>
        <w:ind w:left="1260" w:right="120"/>
        <w:spacing w:after="0" w:line="269" w:lineRule="auto"/>
        <w:rPr>
          <w:sz w:val="20"/>
          <w:szCs w:val="20"/>
          <w:color w:val="auto"/>
        </w:rPr>
      </w:pPr>
      <w:r>
        <w:rPr>
          <w:rFonts w:ascii="Arial" w:cs="Arial" w:eastAsia="Arial" w:hAnsi="Arial"/>
          <w:sz w:val="20"/>
          <w:szCs w:val="20"/>
          <w:color w:val="auto"/>
        </w:rPr>
        <w:t>Reference is made to that certain Sublease Agreement dated as of August 1, 2016 (the “5</w:t>
      </w:r>
      <w:r>
        <w:rPr>
          <w:rFonts w:ascii="Arial" w:cs="Arial" w:eastAsia="Arial" w:hAnsi="Arial"/>
          <w:sz w:val="13"/>
          <w:szCs w:val="13"/>
          <w:color w:val="auto"/>
        </w:rPr>
        <w:t>th</w:t>
      </w:r>
      <w:r>
        <w:rPr>
          <w:rFonts w:ascii="Arial" w:cs="Arial" w:eastAsia="Arial" w:hAnsi="Arial"/>
          <w:sz w:val="20"/>
          <w:szCs w:val="20"/>
          <w:color w:val="auto"/>
        </w:rPr>
        <w:t xml:space="preserve"> Floor Sublease”), and that certain Sublease Agreement dated as of May 6, 2016 (the “6 </w:t>
      </w:r>
      <w:r>
        <w:rPr>
          <w:rFonts w:ascii="Arial" w:cs="Arial" w:eastAsia="Arial" w:hAnsi="Arial"/>
          <w:sz w:val="13"/>
          <w:szCs w:val="13"/>
          <w:color w:val="auto"/>
        </w:rPr>
        <w:t>th</w:t>
      </w:r>
      <w:r>
        <w:rPr>
          <w:rFonts w:ascii="Arial" w:cs="Arial" w:eastAsia="Arial" w:hAnsi="Arial"/>
          <w:sz w:val="20"/>
          <w:szCs w:val="20"/>
          <w:color w:val="auto"/>
        </w:rPr>
        <w:t xml:space="preserve"> –7</w:t>
      </w:r>
      <w:r>
        <w:rPr>
          <w:rFonts w:ascii="Arial" w:cs="Arial" w:eastAsia="Arial" w:hAnsi="Arial"/>
          <w:sz w:val="13"/>
          <w:szCs w:val="13"/>
          <w:color w:val="auto"/>
        </w:rPr>
        <w:t>th</w:t>
      </w:r>
      <w:r>
        <w:rPr>
          <w:rFonts w:ascii="Arial" w:cs="Arial" w:eastAsia="Arial" w:hAnsi="Arial"/>
          <w:sz w:val="20"/>
          <w:szCs w:val="20"/>
          <w:color w:val="auto"/>
        </w:rPr>
        <w:t xml:space="preserve"> Floor Sublease”) between Pfizer Inc. (“Sublandlord”) and CRISPR Therapeutics, Inc. (“Subtenant”) (collectively, the “Subleases”). Capitalized terms used but not otherwise defined herein shall have the meanings ascribed to them in the Subleases.</w:t>
      </w:r>
    </w:p>
    <w:p>
      <w:pPr>
        <w:spacing w:after="0" w:line="197" w:lineRule="exact"/>
        <w:rPr>
          <w:sz w:val="20"/>
          <w:szCs w:val="20"/>
          <w:color w:val="auto"/>
        </w:rPr>
      </w:pPr>
    </w:p>
    <w:p>
      <w:pPr>
        <w:jc w:val="both"/>
        <w:ind w:left="1260" w:right="120"/>
        <w:spacing w:after="0"/>
        <w:rPr>
          <w:sz w:val="20"/>
          <w:szCs w:val="20"/>
          <w:color w:val="auto"/>
        </w:rPr>
      </w:pPr>
      <w:r>
        <w:rPr>
          <w:rFonts w:ascii="Arial" w:cs="Arial" w:eastAsia="Arial" w:hAnsi="Arial"/>
          <w:sz w:val="22"/>
          <w:szCs w:val="22"/>
          <w:color w:val="auto"/>
        </w:rPr>
        <w:t>This letter will serve to amend Clause 4 of the letter agreement dated April 29, 2021 signed by Sublandlord and Subtenant (the “April 29</w:t>
      </w:r>
      <w:r>
        <w:rPr>
          <w:rFonts w:ascii="Arial" w:cs="Arial" w:eastAsia="Arial" w:hAnsi="Arial"/>
          <w:sz w:val="14"/>
          <w:szCs w:val="14"/>
          <w:color w:val="auto"/>
        </w:rPr>
        <w:t>th</w:t>
      </w:r>
      <w:r>
        <w:rPr>
          <w:rFonts w:ascii="Arial" w:cs="Arial" w:eastAsia="Arial" w:hAnsi="Arial"/>
          <w:sz w:val="22"/>
          <w:szCs w:val="22"/>
          <w:color w:val="auto"/>
        </w:rPr>
        <w:t xml:space="preserve"> Letter”). Clause 4 of the April 29</w:t>
      </w:r>
      <w:r>
        <w:rPr>
          <w:rFonts w:ascii="Arial" w:cs="Arial" w:eastAsia="Arial" w:hAnsi="Arial"/>
          <w:sz w:val="14"/>
          <w:szCs w:val="14"/>
          <w:color w:val="auto"/>
        </w:rPr>
        <w:t>th</w:t>
      </w:r>
      <w:r>
        <w:rPr>
          <w:rFonts w:ascii="Arial" w:cs="Arial" w:eastAsia="Arial" w:hAnsi="Arial"/>
          <w:sz w:val="22"/>
          <w:szCs w:val="22"/>
          <w:color w:val="auto"/>
        </w:rPr>
        <w:t xml:space="preserve"> Letter is hereby deleted in its entirety and replaced with the following:</w:t>
      </w:r>
    </w:p>
    <w:p>
      <w:pPr>
        <w:spacing w:after="0" w:line="227" w:lineRule="exact"/>
        <w:rPr>
          <w:sz w:val="20"/>
          <w:szCs w:val="20"/>
          <w:color w:val="auto"/>
        </w:rPr>
      </w:pPr>
    </w:p>
    <w:p>
      <w:pPr>
        <w:jc w:val="both"/>
        <w:ind w:left="1260" w:right="120"/>
        <w:spacing w:after="0" w:line="236" w:lineRule="auto"/>
        <w:rPr>
          <w:sz w:val="20"/>
          <w:szCs w:val="20"/>
          <w:color w:val="auto"/>
        </w:rPr>
      </w:pPr>
      <w:r>
        <w:rPr>
          <w:rFonts w:ascii="Arial" w:cs="Arial" w:eastAsia="Arial" w:hAnsi="Arial"/>
          <w:sz w:val="22"/>
          <w:szCs w:val="22"/>
          <w:color w:val="auto"/>
        </w:rPr>
        <w:t>“4. Notwithstanding the Termination Date as provided in clause (3) and notwithstanding anything to the contrary set forth in the Subleases, Pfizer acknowledges and agrees that CRISPR may adjust the Termination Date by providing written notice to Pfizer of such adjusted Termination Date by April 1, 2022. Such adjusted Termination Date will be (i) not more than three (3) months prior to July 1, 2022 or (ii) not more than three (3) months after July 1, 2022; and”</w:t>
      </w:r>
    </w:p>
    <w:p>
      <w:pPr>
        <w:spacing w:after="0" w:line="201" w:lineRule="exact"/>
        <w:rPr>
          <w:sz w:val="20"/>
          <w:szCs w:val="20"/>
          <w:color w:val="auto"/>
        </w:rPr>
      </w:pPr>
    </w:p>
    <w:p>
      <w:pPr>
        <w:jc w:val="both"/>
        <w:ind w:left="1260" w:right="140"/>
        <w:spacing w:after="0" w:line="250" w:lineRule="auto"/>
        <w:rPr>
          <w:sz w:val="20"/>
          <w:szCs w:val="20"/>
          <w:color w:val="auto"/>
        </w:rPr>
      </w:pPr>
      <w:r>
        <w:rPr>
          <w:rFonts w:ascii="Arial" w:cs="Arial" w:eastAsia="Arial" w:hAnsi="Arial"/>
          <w:sz w:val="22"/>
          <w:szCs w:val="22"/>
          <w:color w:val="auto"/>
        </w:rPr>
        <w:t>By signing below, you are acknowledging and confirming your agreement to the terms set forth herein. After signing, please return the executed copy to me by email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172085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297" w:right="339" w:bottom="1440" w:gutter="0" w:footer="0" w:header="0"/>
        </w:sectPr>
      </w:pPr>
    </w:p>
    <w:bookmarkStart w:id="190" w:name="page191"/>
    <w:bookmarkEnd w:id="190"/>
    <w:p>
      <w:pPr>
        <w:spacing w:after="0" w:line="29"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Very truly yours,</w:t>
      </w:r>
    </w:p>
    <w:p>
      <w:pPr>
        <w:spacing w:after="0" w:line="24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Pfizer Inc.</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Gareth C. Annino</w:t>
      </w:r>
    </w:p>
    <w:p>
      <w:pPr>
        <w:ind w:left="4680"/>
        <w:spacing w:after="0" w:line="238" w:lineRule="auto"/>
        <w:rPr>
          <w:sz w:val="20"/>
          <w:szCs w:val="20"/>
          <w:color w:val="auto"/>
        </w:rPr>
      </w:pPr>
      <w:r>
        <w:rPr>
          <w:rFonts w:ascii="Arial" w:cs="Arial" w:eastAsia="Arial" w:hAnsi="Arial"/>
          <w:sz w:val="22"/>
          <w:szCs w:val="22"/>
          <w:color w:val="auto"/>
        </w:rPr>
        <w:t>Name: Gareth C. Annino</w:t>
      </w:r>
    </w:p>
    <w:p>
      <w:pPr>
        <w:jc w:val="right"/>
        <w:ind w:right="1779"/>
        <w:spacing w:after="0"/>
        <w:rPr>
          <w:sz w:val="20"/>
          <w:szCs w:val="20"/>
          <w:color w:val="auto"/>
        </w:rPr>
      </w:pPr>
      <w:r>
        <w:rPr>
          <w:rFonts w:ascii="Arial" w:cs="Arial" w:eastAsia="Arial" w:hAnsi="Arial"/>
          <w:sz w:val="22"/>
          <w:szCs w:val="22"/>
          <w:color w:val="auto"/>
        </w:rPr>
        <w:t>Title: Sr. Director, FS &amp; CRE</w:t>
      </w: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cc: Denis Desmond – Head of Facilities Services, CRISPR</w:t>
      </w:r>
    </w:p>
    <w:p>
      <w:pPr>
        <w:spacing w:after="0" w:line="200" w:lineRule="exact"/>
        <w:rPr>
          <w:sz w:val="20"/>
          <w:szCs w:val="20"/>
          <w:color w:val="auto"/>
        </w:rPr>
      </w:pPr>
    </w:p>
    <w:p>
      <w:pPr>
        <w:spacing w:after="0" w:line="39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ACKNOWLEDGED AND AGREED: CRISPR</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THERAPEUTICS, INC.</w:t>
      </w:r>
    </w:p>
    <w:p>
      <w:pPr>
        <w:spacing w:after="0" w:line="390" w:lineRule="exact"/>
        <w:rPr>
          <w:sz w:val="20"/>
          <w:szCs w:val="20"/>
          <w:color w:val="auto"/>
        </w:rPr>
      </w:pPr>
    </w:p>
    <w:p>
      <w:pPr>
        <w:ind w:left="180"/>
        <w:spacing w:after="0"/>
        <w:rPr>
          <w:sz w:val="20"/>
          <w:szCs w:val="20"/>
          <w:color w:val="auto"/>
        </w:rPr>
      </w:pPr>
      <w:r>
        <w:rPr>
          <w:rFonts w:ascii="Arial" w:cs="Arial" w:eastAsia="Arial" w:hAnsi="Arial"/>
          <w:sz w:val="22"/>
          <w:szCs w:val="22"/>
          <w:u w:val="single" w:color="auto"/>
          <w:color w:val="auto"/>
        </w:rPr>
        <w:t>/s/ Denis Desmond</w:t>
      </w:r>
    </w:p>
    <w:p>
      <w:pPr>
        <w:ind w:left="180"/>
        <w:spacing w:after="0" w:line="217" w:lineRule="auto"/>
        <w:rPr>
          <w:sz w:val="20"/>
          <w:szCs w:val="20"/>
          <w:color w:val="auto"/>
        </w:rPr>
      </w:pPr>
      <w:r>
        <w:rPr>
          <w:rFonts w:ascii="Arial" w:cs="Arial" w:eastAsia="Arial" w:hAnsi="Arial"/>
          <w:sz w:val="22"/>
          <w:szCs w:val="22"/>
          <w:color w:val="auto"/>
        </w:rPr>
        <w:t>Name: Denis Desmond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Title: Head of Facilities Services, Operations &amp; Real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43180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10.37</w:t>
      </w: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105 W. First Street Owner, L.L.C. c/o</w:t>
      </w:r>
    </w:p>
    <w:p>
      <w:pPr>
        <w:jc w:val="center"/>
        <w:ind w:right="40"/>
        <w:spacing w:after="0" w:line="217" w:lineRule="auto"/>
        <w:rPr>
          <w:sz w:val="20"/>
          <w:szCs w:val="20"/>
          <w:color w:val="auto"/>
        </w:rPr>
      </w:pPr>
      <w:r>
        <w:rPr>
          <w:rFonts w:ascii="Arial" w:cs="Arial" w:eastAsia="Arial" w:hAnsi="Arial"/>
          <w:sz w:val="22"/>
          <w:szCs w:val="22"/>
          <w:color w:val="auto"/>
        </w:rPr>
        <w:t>Breakthrough Spaces, L.L.C. Tishman</w:t>
      </w:r>
    </w:p>
    <w:p>
      <w:pPr>
        <w:jc w:val="center"/>
        <w:ind w:right="-19"/>
        <w:spacing w:after="0" w:line="218" w:lineRule="auto"/>
        <w:rPr>
          <w:sz w:val="20"/>
          <w:szCs w:val="20"/>
          <w:color w:val="auto"/>
        </w:rPr>
      </w:pPr>
      <w:r>
        <w:rPr>
          <w:rFonts w:ascii="Arial" w:cs="Arial" w:eastAsia="Arial" w:hAnsi="Arial"/>
          <w:sz w:val="22"/>
          <w:szCs w:val="22"/>
          <w:color w:val="auto"/>
        </w:rPr>
        <w:t>Speyer</w:t>
      </w:r>
    </w:p>
    <w:p>
      <w:pPr>
        <w:ind w:left="3960"/>
        <w:spacing w:after="0" w:line="218" w:lineRule="auto"/>
        <w:rPr>
          <w:sz w:val="20"/>
          <w:szCs w:val="20"/>
          <w:color w:val="auto"/>
        </w:rPr>
      </w:pPr>
      <w:r>
        <w:rPr>
          <w:rFonts w:ascii="Arial" w:cs="Arial" w:eastAsia="Arial" w:hAnsi="Arial"/>
          <w:sz w:val="22"/>
          <w:szCs w:val="22"/>
          <w:color w:val="auto"/>
        </w:rPr>
        <w:t>45 Rockefeller Plaza New</w:t>
      </w:r>
    </w:p>
    <w:p>
      <w:pPr>
        <w:ind w:left="3560"/>
        <w:spacing w:after="0"/>
        <w:rPr>
          <w:sz w:val="20"/>
          <w:szCs w:val="20"/>
          <w:color w:val="auto"/>
        </w:rPr>
      </w:pPr>
      <w:r>
        <w:rPr>
          <w:rFonts w:ascii="Arial" w:cs="Arial" w:eastAsia="Arial" w:hAnsi="Arial"/>
          <w:sz w:val="22"/>
          <w:szCs w:val="22"/>
          <w:color w:val="auto"/>
        </w:rPr>
        <w:t>York, New York 10111</w:t>
      </w:r>
    </w:p>
    <w:p>
      <w:pPr>
        <w:spacing w:after="0" w:line="200" w:lineRule="exact"/>
        <w:rPr>
          <w:sz w:val="20"/>
          <w:szCs w:val="20"/>
          <w:color w:val="auto"/>
        </w:rPr>
      </w:pPr>
    </w:p>
    <w:p>
      <w:pPr>
        <w:spacing w:after="0" w:line="204" w:lineRule="exact"/>
        <w:rPr>
          <w:sz w:val="20"/>
          <w:szCs w:val="20"/>
          <w:color w:val="auto"/>
        </w:rPr>
      </w:pPr>
    </w:p>
    <w:p>
      <w:pPr>
        <w:ind w:left="4620"/>
        <w:spacing w:after="0"/>
        <w:rPr>
          <w:sz w:val="20"/>
          <w:szCs w:val="20"/>
          <w:color w:val="auto"/>
        </w:rPr>
      </w:pPr>
      <w:r>
        <w:rPr>
          <w:rFonts w:ascii="Arial" w:cs="Arial" w:eastAsia="Arial" w:hAnsi="Arial"/>
          <w:sz w:val="22"/>
          <w:szCs w:val="22"/>
          <w:color w:val="auto"/>
        </w:rPr>
        <w:t>January 6, 2022</w:t>
      </w:r>
    </w:p>
    <w:p>
      <w:pPr>
        <w:spacing w:after="0" w:line="200" w:lineRule="exact"/>
        <w:rPr>
          <w:sz w:val="20"/>
          <w:szCs w:val="20"/>
          <w:color w:val="auto"/>
        </w:rPr>
      </w:pPr>
    </w:p>
    <w:p>
      <w:pPr>
        <w:spacing w:after="0" w:line="230" w:lineRule="exact"/>
        <w:rPr>
          <w:sz w:val="20"/>
          <w:szCs w:val="20"/>
          <w:color w:val="auto"/>
        </w:rPr>
      </w:pPr>
    </w:p>
    <w:p>
      <w:pPr>
        <w:ind w:left="140"/>
        <w:spacing w:after="0"/>
        <w:rPr>
          <w:sz w:val="20"/>
          <w:szCs w:val="20"/>
          <w:color w:val="auto"/>
        </w:rPr>
      </w:pPr>
      <w:r>
        <w:rPr>
          <w:rFonts w:ascii="Arial" w:cs="Arial" w:eastAsia="Arial" w:hAnsi="Arial"/>
          <w:sz w:val="22"/>
          <w:szCs w:val="22"/>
          <w:color w:val="auto"/>
        </w:rPr>
        <w:t>CRISPR Therapeutics, Inc. 610</w:t>
      </w:r>
    </w:p>
    <w:p>
      <w:pPr>
        <w:ind w:left="140"/>
        <w:spacing w:after="0" w:line="204" w:lineRule="auto"/>
        <w:rPr>
          <w:sz w:val="20"/>
          <w:szCs w:val="20"/>
          <w:color w:val="auto"/>
        </w:rPr>
      </w:pPr>
      <w:r>
        <w:rPr>
          <w:rFonts w:ascii="Arial" w:cs="Arial" w:eastAsia="Arial" w:hAnsi="Arial"/>
          <w:sz w:val="22"/>
          <w:szCs w:val="22"/>
          <w:color w:val="auto"/>
        </w:rPr>
        <w:t>Main Street North</w:t>
      </w:r>
    </w:p>
    <w:p>
      <w:pPr>
        <w:ind w:left="140"/>
        <w:spacing w:after="0" w:line="218" w:lineRule="auto"/>
        <w:rPr>
          <w:sz w:val="20"/>
          <w:szCs w:val="20"/>
          <w:color w:val="auto"/>
        </w:rPr>
      </w:pPr>
      <w:r>
        <w:rPr>
          <w:rFonts w:ascii="Arial" w:cs="Arial" w:eastAsia="Arial" w:hAnsi="Arial"/>
          <w:sz w:val="22"/>
          <w:szCs w:val="22"/>
          <w:color w:val="auto"/>
        </w:rPr>
        <w:t>Cambridge, Massachusetts 02139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Attn: Brendan Smith, Chief Financial Officer</w:t>
      </w:r>
    </w:p>
    <w:p>
      <w:pPr>
        <w:spacing w:after="0" w:line="398" w:lineRule="exact"/>
        <w:rPr>
          <w:sz w:val="20"/>
          <w:szCs w:val="20"/>
          <w:color w:val="auto"/>
        </w:rPr>
      </w:pPr>
    </w:p>
    <w:p>
      <w:pPr>
        <w:ind w:left="880"/>
        <w:spacing w:after="0"/>
        <w:rPr>
          <w:sz w:val="20"/>
          <w:szCs w:val="20"/>
          <w:color w:val="auto"/>
        </w:rPr>
      </w:pPr>
      <w:r>
        <w:rPr>
          <w:rFonts w:ascii="Arial" w:cs="Arial" w:eastAsia="Arial" w:hAnsi="Arial"/>
          <w:sz w:val="21"/>
          <w:szCs w:val="21"/>
          <w:color w:val="auto"/>
        </w:rPr>
        <w:t>RE: Lease (the “</w:t>
      </w:r>
      <w:r>
        <w:rPr>
          <w:rFonts w:ascii="Arial" w:cs="Arial" w:eastAsia="Arial" w:hAnsi="Arial"/>
          <w:sz w:val="21"/>
          <w:szCs w:val="21"/>
          <w:b w:val="1"/>
          <w:bCs w:val="1"/>
          <w:color w:val="auto"/>
        </w:rPr>
        <w:t>Lease</w:t>
      </w:r>
      <w:r>
        <w:rPr>
          <w:rFonts w:ascii="Arial" w:cs="Arial" w:eastAsia="Arial" w:hAnsi="Arial"/>
          <w:sz w:val="21"/>
          <w:szCs w:val="21"/>
          <w:color w:val="auto"/>
        </w:rPr>
        <w:t xml:space="preserve">”) dated as of July 24, 2020, between 105 W. First Street </w:t>
      </w:r>
      <w:r>
        <w:rPr>
          <w:rFonts w:ascii="Arial" w:cs="Arial" w:eastAsia="Arial" w:hAnsi="Arial"/>
          <w:sz w:val="21"/>
          <w:szCs w:val="21"/>
          <w:u w:val="single" w:color="auto"/>
          <w:color w:val="auto"/>
        </w:rPr>
        <w:t>Owner, L.L.C. (the</w:t>
      </w:r>
    </w:p>
    <w:p>
      <w:pPr>
        <w:spacing w:after="0" w:line="26" w:lineRule="exact"/>
        <w:rPr>
          <w:sz w:val="20"/>
          <w:szCs w:val="20"/>
          <w:color w:val="auto"/>
        </w:rPr>
      </w:pPr>
    </w:p>
    <w:p>
      <w:pPr>
        <w:ind w:left="1640"/>
        <w:spacing w:after="0"/>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auto"/>
        </w:rPr>
        <w:t>Landlord</w:t>
      </w:r>
      <w:r>
        <w:rPr>
          <w:rFonts w:ascii="Arial" w:cs="Arial" w:eastAsia="Arial" w:hAnsi="Arial"/>
          <w:sz w:val="22"/>
          <w:szCs w:val="22"/>
          <w:u w:val="single" w:color="auto"/>
          <w:color w:val="auto"/>
        </w:rPr>
        <w:t>”) and CRISPR Therapeutics, Inc. (the “</w:t>
      </w:r>
      <w:r>
        <w:rPr>
          <w:rFonts w:ascii="Arial" w:cs="Arial" w:eastAsia="Arial" w:hAnsi="Arial"/>
          <w:sz w:val="22"/>
          <w:szCs w:val="22"/>
          <w:b w:val="1"/>
          <w:bCs w:val="1"/>
          <w:u w:val="single" w:color="auto"/>
          <w:color w:val="auto"/>
        </w:rPr>
        <w:t>Tenant</w:t>
      </w:r>
      <w:r>
        <w:rPr>
          <w:rFonts w:ascii="Arial" w:cs="Arial" w:eastAsia="Arial" w:hAnsi="Arial"/>
          <w:sz w:val="22"/>
          <w:szCs w:val="22"/>
          <w:u w:val="single" w:color="auto"/>
          <w:color w:val="auto"/>
        </w:rPr>
        <w:t>”)</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left="140" w:right="120" w:firstLine="749"/>
        <w:spacing w:after="0" w:line="267" w:lineRule="auto"/>
        <w:rPr>
          <w:sz w:val="20"/>
          <w:szCs w:val="20"/>
          <w:color w:val="auto"/>
        </w:rPr>
      </w:pPr>
      <w:r>
        <w:rPr>
          <w:rFonts w:ascii="Arial" w:cs="Arial" w:eastAsia="Arial" w:hAnsi="Arial"/>
          <w:sz w:val="19"/>
          <w:szCs w:val="19"/>
          <w:color w:val="auto"/>
        </w:rPr>
        <w:t>Reference is hereby made to the Lease. All capitalized words and phrases used in this letter agreement and not otherwise defined herein shall have the meanings ascribed to them in the Lease. The purpose of this letter agreement is to memorialize the agreement between Landlord and Tenant concerning the occurrence of certain delays in and adjustments to schedule for the performance of the Base Building Work and the Landlord’s Work, including the Scheduled Commencement Date and the Outside Delivery Date.</w:t>
      </w:r>
    </w:p>
    <w:p>
      <w:pPr>
        <w:spacing w:after="0" w:line="162" w:lineRule="exact"/>
        <w:rPr>
          <w:sz w:val="20"/>
          <w:szCs w:val="20"/>
          <w:color w:val="auto"/>
        </w:rPr>
      </w:pPr>
    </w:p>
    <w:p>
      <w:pPr>
        <w:jc w:val="both"/>
        <w:ind w:left="140" w:right="120" w:firstLine="749"/>
        <w:spacing w:after="0" w:line="235" w:lineRule="auto"/>
        <w:rPr>
          <w:sz w:val="20"/>
          <w:szCs w:val="20"/>
          <w:color w:val="auto"/>
        </w:rPr>
      </w:pPr>
      <w:r>
        <w:rPr>
          <w:rFonts w:ascii="Arial" w:cs="Arial" w:eastAsia="Arial" w:hAnsi="Arial"/>
          <w:sz w:val="21"/>
          <w:szCs w:val="21"/>
          <w:color w:val="auto"/>
        </w:rPr>
        <w:t>On or about June 10, 2021, as part of the plan review and approval process, Tenant submitted certain comments on and requested changes to the Construction Set Plans for the Landlord’s Work (collectively, the “</w:t>
      </w:r>
      <w:r>
        <w:rPr>
          <w:rFonts w:ascii="Arial" w:cs="Arial" w:eastAsia="Arial" w:hAnsi="Arial"/>
          <w:sz w:val="21"/>
          <w:szCs w:val="21"/>
          <w:b w:val="1"/>
          <w:bCs w:val="1"/>
          <w:color w:val="auto"/>
        </w:rPr>
        <w:t>Requested Changes</w:t>
      </w:r>
      <w:r>
        <w:rPr>
          <w:rFonts w:ascii="Arial" w:cs="Arial" w:eastAsia="Arial" w:hAnsi="Arial"/>
          <w:sz w:val="21"/>
          <w:szCs w:val="21"/>
          <w:color w:val="auto"/>
        </w:rPr>
        <w:t>”), which Requested Changes ultimately resulted in the issuance by the Architect of Construction Bulletins Nos. 3 and 4 and the issuance by the Contractor of Change Request No. 2 (“</w:t>
      </w:r>
      <w:r>
        <w:rPr>
          <w:rFonts w:ascii="Arial" w:cs="Arial" w:eastAsia="Arial" w:hAnsi="Arial"/>
          <w:sz w:val="21"/>
          <w:szCs w:val="21"/>
          <w:b w:val="1"/>
          <w:bCs w:val="1"/>
          <w:color w:val="auto"/>
        </w:rPr>
        <w:t>CR002</w:t>
      </w:r>
      <w:r>
        <w:rPr>
          <w:rFonts w:ascii="Arial" w:cs="Arial" w:eastAsia="Arial" w:hAnsi="Arial"/>
          <w:sz w:val="21"/>
          <w:szCs w:val="21"/>
          <w:color w:val="auto"/>
        </w:rPr>
        <w:t>”). CR002 indicates a delay of twenty-four (24) days in Substantial Completion resulting from the Requested Changes (the “</w:t>
      </w:r>
      <w:r>
        <w:rPr>
          <w:rFonts w:ascii="Arial" w:cs="Arial" w:eastAsia="Arial" w:hAnsi="Arial"/>
          <w:sz w:val="21"/>
          <w:szCs w:val="21"/>
          <w:b w:val="1"/>
          <w:bCs w:val="1"/>
          <w:color w:val="auto"/>
        </w:rPr>
        <w:t>Requested Changes Delays</w:t>
      </w:r>
      <w:r>
        <w:rPr>
          <w:rFonts w:ascii="Arial" w:cs="Arial" w:eastAsia="Arial" w:hAnsi="Arial"/>
          <w:sz w:val="21"/>
          <w:szCs w:val="21"/>
          <w:color w:val="auto"/>
        </w:rPr>
        <w:t>”).</w:t>
      </w:r>
    </w:p>
    <w:p>
      <w:pPr>
        <w:spacing w:after="0" w:line="188" w:lineRule="exact"/>
        <w:rPr>
          <w:sz w:val="20"/>
          <w:szCs w:val="20"/>
          <w:color w:val="auto"/>
        </w:rPr>
      </w:pPr>
    </w:p>
    <w:p>
      <w:pPr>
        <w:jc w:val="both"/>
        <w:ind w:left="140" w:right="140" w:firstLine="749"/>
        <w:spacing w:after="0" w:line="239" w:lineRule="auto"/>
        <w:rPr>
          <w:sz w:val="20"/>
          <w:szCs w:val="20"/>
          <w:color w:val="auto"/>
        </w:rPr>
      </w:pPr>
      <w:r>
        <w:rPr>
          <w:rFonts w:ascii="Arial" w:cs="Arial" w:eastAsia="Arial" w:hAnsi="Arial"/>
          <w:sz w:val="22"/>
          <w:szCs w:val="22"/>
          <w:color w:val="auto"/>
        </w:rPr>
        <w:t>In the spirit of their cooperative relationship and in the interest of compromise, Landlord and Tenant have agreed to enter this letter agreement.</w:t>
      </w:r>
    </w:p>
    <w:p>
      <w:pPr>
        <w:spacing w:after="0" w:line="171" w:lineRule="exact"/>
        <w:rPr>
          <w:sz w:val="20"/>
          <w:szCs w:val="20"/>
          <w:color w:val="auto"/>
        </w:rPr>
      </w:pPr>
    </w:p>
    <w:p>
      <w:pPr>
        <w:jc w:val="both"/>
        <w:ind w:left="140" w:right="140" w:firstLine="749"/>
        <w:spacing w:after="0" w:line="231" w:lineRule="auto"/>
        <w:rPr>
          <w:sz w:val="20"/>
          <w:szCs w:val="20"/>
          <w:color w:val="auto"/>
        </w:rPr>
      </w:pPr>
      <w:r>
        <w:rPr>
          <w:rFonts w:ascii="Arial" w:cs="Arial" w:eastAsia="Arial" w:hAnsi="Arial"/>
          <w:sz w:val="22"/>
          <w:szCs w:val="22"/>
          <w:color w:val="auto"/>
        </w:rPr>
        <w:t>NOW, THEREFORE, for $10.00 and other good and valuable consideration, the receipt, sufficiency and delivery of which are acknowledged, Landlord and Tenant hereby agree, notwithstanding any provisions in the Lease to the contrary, as follows:</w:t>
      </w:r>
    </w:p>
    <w:p>
      <w:pPr>
        <w:spacing w:after="0" w:line="188" w:lineRule="exact"/>
        <w:rPr>
          <w:sz w:val="20"/>
          <w:szCs w:val="20"/>
          <w:color w:val="auto"/>
        </w:rPr>
      </w:pPr>
    </w:p>
    <w:p>
      <w:pPr>
        <w:ind w:left="140" w:right="120" w:firstLine="745"/>
        <w:spacing w:after="0" w:line="313" w:lineRule="auto"/>
        <w:tabs>
          <w:tab w:leader="none" w:pos="1628"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Scheduled Commencement Date is hereby extended on a day-for-day basis by the number of days of Requested Changes Delays (i.e., by twenty-four (24) days) from March 1, 2022 to March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445" w:right="339" w:bottom="1440" w:gutter="0" w:footer="0" w:header="0"/>
        </w:sectPr>
      </w:pPr>
    </w:p>
    <w:bookmarkStart w:id="192" w:name="page193"/>
    <w:bookmarkEnd w:id="192"/>
    <w:p>
      <w:pPr>
        <w:ind w:left="140"/>
        <w:spacing w:after="0"/>
        <w:rPr>
          <w:sz w:val="20"/>
          <w:szCs w:val="20"/>
          <w:color w:val="auto"/>
        </w:rPr>
      </w:pPr>
      <w:r>
        <w:rPr>
          <w:rFonts w:ascii="Arial" w:cs="Arial" w:eastAsia="Arial" w:hAnsi="Arial"/>
          <w:sz w:val="22"/>
          <w:szCs w:val="22"/>
          <w:color w:val="auto"/>
        </w:rPr>
        <w:t>CRISPR Therapeutics, Inc.</w:t>
      </w:r>
    </w:p>
    <w:p>
      <w:pPr>
        <w:ind w:left="140"/>
        <w:spacing w:after="0" w:line="236" w:lineRule="auto"/>
        <w:rPr>
          <w:sz w:val="20"/>
          <w:szCs w:val="20"/>
          <w:color w:val="auto"/>
        </w:rPr>
      </w:pPr>
      <w:r>
        <w:rPr>
          <w:rFonts w:ascii="Arial" w:cs="Arial" w:eastAsia="Arial" w:hAnsi="Arial"/>
          <w:sz w:val="20"/>
          <w:szCs w:val="20"/>
          <w:color w:val="auto"/>
        </w:rPr>
        <w:t>January 6, 2021</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Page 2</w:t>
      </w:r>
    </w:p>
    <w:p>
      <w:pPr>
        <w:spacing w:after="0" w:line="357" w:lineRule="exact"/>
        <w:rPr>
          <w:sz w:val="20"/>
          <w:szCs w:val="20"/>
          <w:color w:val="auto"/>
        </w:rPr>
      </w:pPr>
    </w:p>
    <w:p>
      <w:pPr>
        <w:ind w:left="140" w:firstLine="745"/>
        <w:spacing w:after="0" w:line="313" w:lineRule="auto"/>
        <w:tabs>
          <w:tab w:leader="none" w:pos="1628"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Outside Delivery Date is hereby extended on a day-for-day basis by one-half (1/2) of the number of days of Requested Changes Delays (i.e., by twelve (12) days) from April 1, 2022 to April 12, 2022.</w:t>
      </w:r>
    </w:p>
    <w:p>
      <w:pPr>
        <w:spacing w:after="0" w:line="118" w:lineRule="exact"/>
        <w:rPr>
          <w:rFonts w:ascii="Arial" w:cs="Arial" w:eastAsia="Arial" w:hAnsi="Arial"/>
          <w:sz w:val="19"/>
          <w:szCs w:val="19"/>
          <w:color w:val="auto"/>
        </w:rPr>
      </w:pPr>
    </w:p>
    <w:p>
      <w:pPr>
        <w:jc w:val="both"/>
        <w:ind w:left="140" w:firstLine="745"/>
        <w:spacing w:after="0" w:line="223" w:lineRule="auto"/>
        <w:tabs>
          <w:tab w:leader="none" w:pos="1628"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two hundred forty (240) day period used to calculate the Rent Commencement Date is hereby reduced on a day-for-day basis by one-half (1/2) of the number of days of Requested Changes Delays (i.e., by twelve (12) days) to two hundred twenty-eight</w:t>
      </w:r>
    </w:p>
    <w:p>
      <w:pPr>
        <w:spacing w:after="0" w:line="1" w:lineRule="exact"/>
        <w:rPr>
          <w:rFonts w:ascii="Arial" w:cs="Arial" w:eastAsia="Arial" w:hAnsi="Arial"/>
          <w:sz w:val="22"/>
          <w:szCs w:val="22"/>
          <w:color w:val="auto"/>
        </w:rPr>
      </w:pPr>
    </w:p>
    <w:p>
      <w:pPr>
        <w:jc w:val="both"/>
        <w:ind w:left="140" w:hanging="5"/>
        <w:spacing w:after="0" w:line="234" w:lineRule="auto"/>
        <w:tabs>
          <w:tab w:leader="none" w:pos="700" w:val="left"/>
        </w:tabs>
        <w:numPr>
          <w:ilvl w:val="0"/>
          <w:numId w:val="65"/>
        </w:numPr>
        <w:rPr>
          <w:rFonts w:ascii="Arial" w:cs="Arial" w:eastAsia="Arial" w:hAnsi="Arial"/>
          <w:sz w:val="21"/>
          <w:szCs w:val="21"/>
          <w:color w:val="auto"/>
        </w:rPr>
      </w:pPr>
      <w:r>
        <w:rPr>
          <w:rFonts w:ascii="Arial" w:cs="Arial" w:eastAsia="Arial" w:hAnsi="Arial"/>
          <w:sz w:val="21"/>
          <w:szCs w:val="21"/>
          <w:color w:val="auto"/>
        </w:rPr>
        <w:t>days; except that, if the Commencement Date shall occur on or before March 24, 2022, then the two hundred forty (240) day period used to calculate the Rent Commencement Date shall be reduced by one half (1/2) of the number of days after March 1, 2022 that the Commencement Date occurs (provided that in no event will the Rent Commencement Date occur prior to November 1, 2022).</w:t>
      </w:r>
    </w:p>
    <w:p>
      <w:pPr>
        <w:spacing w:after="0" w:line="174" w:lineRule="exact"/>
        <w:rPr>
          <w:rFonts w:ascii="Arial" w:cs="Arial" w:eastAsia="Arial" w:hAnsi="Arial"/>
          <w:sz w:val="21"/>
          <w:szCs w:val="21"/>
          <w:color w:val="auto"/>
        </w:rPr>
      </w:pPr>
    </w:p>
    <w:p>
      <w:pPr>
        <w:jc w:val="both"/>
        <w:ind w:left="140" w:firstLine="745"/>
        <w:spacing w:after="0" w:line="228" w:lineRule="auto"/>
        <w:tabs>
          <w:tab w:leader="none" w:pos="1628" w:val="left"/>
        </w:tabs>
        <w:numPr>
          <w:ilvl w:val="1"/>
          <w:numId w:val="65"/>
        </w:numPr>
        <w:rPr>
          <w:rFonts w:ascii="Arial" w:cs="Arial" w:eastAsia="Arial" w:hAnsi="Arial"/>
          <w:sz w:val="22"/>
          <w:szCs w:val="22"/>
          <w:color w:val="auto"/>
        </w:rPr>
      </w:pPr>
      <w:r>
        <w:rPr>
          <w:rFonts w:ascii="Arial" w:cs="Arial" w:eastAsia="Arial" w:hAnsi="Arial"/>
          <w:sz w:val="22"/>
          <w:szCs w:val="22"/>
          <w:color w:val="auto"/>
        </w:rPr>
        <w:t>Landlord hereby confirms that as of the date of this letter agreement, no Tenant Delays have occurred, and any additional delays (i.e., other than the Requested Changes Delays) arising from, relating to or otherwise in connection with any other actions or requests by or on behalf of Tenant on or before the date of this letter agreement will not constitute Tenant Delays.</w:t>
      </w:r>
    </w:p>
    <w:p>
      <w:pPr>
        <w:spacing w:after="0" w:line="186" w:lineRule="exact"/>
        <w:rPr>
          <w:rFonts w:ascii="Arial" w:cs="Arial" w:eastAsia="Arial" w:hAnsi="Arial"/>
          <w:sz w:val="22"/>
          <w:szCs w:val="22"/>
          <w:color w:val="auto"/>
        </w:rPr>
      </w:pPr>
    </w:p>
    <w:p>
      <w:pPr>
        <w:jc w:val="both"/>
        <w:ind w:left="140" w:firstLine="745"/>
        <w:spacing w:after="0" w:line="226" w:lineRule="auto"/>
        <w:tabs>
          <w:tab w:leader="none" w:pos="1628" w:val="left"/>
        </w:tabs>
        <w:numPr>
          <w:ilvl w:val="1"/>
          <w:numId w:val="65"/>
        </w:numPr>
        <w:rPr>
          <w:rFonts w:ascii="Arial" w:cs="Arial" w:eastAsia="Arial" w:hAnsi="Arial"/>
          <w:sz w:val="22"/>
          <w:szCs w:val="22"/>
          <w:color w:val="auto"/>
        </w:rPr>
      </w:pPr>
      <w:r>
        <w:rPr>
          <w:rFonts w:ascii="Arial" w:cs="Arial" w:eastAsia="Arial" w:hAnsi="Arial"/>
          <w:sz w:val="22"/>
          <w:szCs w:val="22"/>
          <w:color w:val="auto"/>
        </w:rPr>
        <w:t>Landlord hereby confirms that as of the date of this letter agreement, to its knowledge, no Unavoidable Delays or COVID-19 Delays have occurred or are currently pending that would delay the Commencement Date. Nothing contained herein shall modify, limit, or detract from the provisions of the Lease concerning Unavoidable Delays and/or COVID-19 Delays which Landlord becomes aware of after the date of this letter agreement.</w:t>
      </w:r>
    </w:p>
    <w:p>
      <w:pPr>
        <w:spacing w:after="0" w:line="172" w:lineRule="exact"/>
        <w:rPr>
          <w:rFonts w:ascii="Arial" w:cs="Arial" w:eastAsia="Arial" w:hAnsi="Arial"/>
          <w:sz w:val="22"/>
          <w:szCs w:val="22"/>
          <w:color w:val="auto"/>
        </w:rPr>
      </w:pPr>
    </w:p>
    <w:p>
      <w:pPr>
        <w:jc w:val="both"/>
        <w:ind w:left="140" w:firstLine="745"/>
        <w:spacing w:after="0" w:line="231" w:lineRule="auto"/>
        <w:tabs>
          <w:tab w:leader="none" w:pos="1628" w:val="left"/>
        </w:tabs>
        <w:numPr>
          <w:ilvl w:val="1"/>
          <w:numId w:val="65"/>
        </w:numPr>
        <w:rPr>
          <w:rFonts w:ascii="Arial" w:cs="Arial" w:eastAsia="Arial" w:hAnsi="Arial"/>
          <w:sz w:val="22"/>
          <w:szCs w:val="22"/>
          <w:color w:val="auto"/>
        </w:rPr>
      </w:pPr>
      <w:r>
        <w:rPr>
          <w:rFonts w:ascii="Arial" w:cs="Arial" w:eastAsia="Arial" w:hAnsi="Arial"/>
          <w:sz w:val="22"/>
          <w:szCs w:val="22"/>
          <w:color w:val="auto"/>
        </w:rPr>
        <w:t>Landlord and Tenant will continue to work together cooperatively to assess and reduce the number of days of delay in Substantial Completion, including, without limitation, delays arising out of or resulting from the Requested Changes and CR002.</w:t>
      </w:r>
    </w:p>
    <w:p>
      <w:pPr>
        <w:spacing w:after="0" w:line="187" w:lineRule="exact"/>
        <w:rPr>
          <w:rFonts w:ascii="Arial" w:cs="Arial" w:eastAsia="Arial" w:hAnsi="Arial"/>
          <w:sz w:val="22"/>
          <w:szCs w:val="22"/>
          <w:color w:val="auto"/>
        </w:rPr>
      </w:pPr>
    </w:p>
    <w:p>
      <w:pPr>
        <w:jc w:val="both"/>
        <w:ind w:left="140" w:firstLine="745"/>
        <w:spacing w:after="0" w:line="264" w:lineRule="auto"/>
        <w:tabs>
          <w:tab w:leader="none" w:pos="1628"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inspections by ISD of the Base Building Work and the Landlord’s Work shall occur as joint inspections and shall take place concurrently. Accordingly, the seventh (7</w:t>
      </w:r>
      <w:r>
        <w:rPr>
          <w:rFonts w:ascii="Arial" w:cs="Arial" w:eastAsia="Arial" w:hAnsi="Arial"/>
          <w:sz w:val="13"/>
          <w:szCs w:val="13"/>
          <w:color w:val="auto"/>
        </w:rPr>
        <w:t>th</w:t>
      </w:r>
      <w:r>
        <w:rPr>
          <w:rFonts w:ascii="Arial" w:cs="Arial" w:eastAsia="Arial" w:hAnsi="Arial"/>
          <w:sz w:val="19"/>
          <w:szCs w:val="19"/>
          <w:color w:val="auto"/>
        </w:rPr>
        <w:t>) sentence of Section 4.1 of the Lease (which begins with the phrase “The Base Building Work Certificate of Substantial Completion shall include…”) is hereby deleted in the entirety and the definition of Substantial Completion set forth in Section 4.2(r) of the Lease shall be amended to provide that the Base Building Work Certificate of Substantial Completion shall include confirmation of the completion of required inspections of the Base Building Work by ISD.</w:t>
      </w:r>
    </w:p>
    <w:p>
      <w:pPr>
        <w:spacing w:after="0" w:line="164" w:lineRule="exact"/>
        <w:rPr>
          <w:rFonts w:ascii="Arial" w:cs="Arial" w:eastAsia="Arial" w:hAnsi="Arial"/>
          <w:sz w:val="19"/>
          <w:szCs w:val="19"/>
          <w:color w:val="auto"/>
        </w:rPr>
      </w:pPr>
    </w:p>
    <w:p>
      <w:pPr>
        <w:jc w:val="both"/>
        <w:ind w:left="140" w:firstLine="745"/>
        <w:spacing w:after="0" w:line="244" w:lineRule="auto"/>
        <w:tabs>
          <w:tab w:leader="none" w:pos="1628" w:val="left"/>
        </w:tabs>
        <w:numPr>
          <w:ilvl w:val="1"/>
          <w:numId w:val="65"/>
        </w:numPr>
        <w:rPr>
          <w:rFonts w:ascii="Arial" w:cs="Arial" w:eastAsia="Arial" w:hAnsi="Arial"/>
          <w:sz w:val="21"/>
          <w:szCs w:val="21"/>
          <w:color w:val="auto"/>
        </w:rPr>
      </w:pPr>
      <w:r>
        <w:rPr>
          <w:rFonts w:ascii="Arial" w:cs="Arial" w:eastAsia="Arial" w:hAnsi="Arial"/>
          <w:sz w:val="21"/>
          <w:szCs w:val="21"/>
          <w:color w:val="auto"/>
        </w:rPr>
        <w:t>Nothing contained herein constitutes a waiver or release of any other breaches, defaults, or claims under the Lease. Except as expressly and specifically set forth herein, the Lease remains unmodified and in full force and effect, in accordance with and subject to the terms and conditions thereof.</w:t>
      </w:r>
    </w:p>
    <w:p>
      <w:pPr>
        <w:spacing w:after="0" w:line="167" w:lineRule="exact"/>
        <w:rPr>
          <w:rFonts w:ascii="Arial" w:cs="Arial" w:eastAsia="Arial" w:hAnsi="Arial"/>
          <w:sz w:val="21"/>
          <w:szCs w:val="21"/>
          <w:color w:val="auto"/>
        </w:rPr>
      </w:pPr>
    </w:p>
    <w:p>
      <w:pPr>
        <w:jc w:val="both"/>
        <w:ind w:left="140" w:firstLine="745"/>
        <w:spacing w:after="0" w:line="226" w:lineRule="auto"/>
        <w:tabs>
          <w:tab w:leader="none" w:pos="1628"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This letter agreement may be executed by electronic signatures, each of which shall be considered as an original signature for all purposes and shall have the same force and effect as an original signature. Without limitation, in addition to electronically produced signatures, “electronic signature” shall include electronically scanned and transmitted versions (e.g., via PDF and/or DocuSign) of an original signature. This letter agreement may be executed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213360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726" w:right="459" w:bottom="1440" w:gutter="0" w:footer="0" w:header="0"/>
        </w:sectPr>
      </w:pPr>
    </w:p>
    <w:bookmarkStart w:id="193" w:name="page194"/>
    <w:bookmarkEnd w:id="193"/>
    <w:p>
      <w:pPr>
        <w:ind w:left="140"/>
        <w:spacing w:after="0"/>
        <w:rPr>
          <w:sz w:val="20"/>
          <w:szCs w:val="20"/>
          <w:color w:val="auto"/>
        </w:rPr>
      </w:pPr>
      <w:r>
        <w:rPr>
          <w:rFonts w:ascii="Arial" w:cs="Arial" w:eastAsia="Arial" w:hAnsi="Arial"/>
          <w:sz w:val="22"/>
          <w:szCs w:val="22"/>
          <w:color w:val="auto"/>
        </w:rPr>
        <w:t>CRISPR Therapeutics, Inc.</w:t>
      </w:r>
    </w:p>
    <w:p>
      <w:pPr>
        <w:ind w:left="140"/>
        <w:spacing w:after="0" w:line="236" w:lineRule="auto"/>
        <w:rPr>
          <w:sz w:val="20"/>
          <w:szCs w:val="20"/>
          <w:color w:val="auto"/>
        </w:rPr>
      </w:pPr>
      <w:r>
        <w:rPr>
          <w:rFonts w:ascii="Arial" w:cs="Arial" w:eastAsia="Arial" w:hAnsi="Arial"/>
          <w:sz w:val="20"/>
          <w:szCs w:val="20"/>
          <w:color w:val="auto"/>
        </w:rPr>
        <w:t>January 6, 2021</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Page 2</w:t>
      </w:r>
    </w:p>
    <w:p>
      <w:pPr>
        <w:spacing w:after="0" w:line="357" w:lineRule="exact"/>
        <w:rPr>
          <w:sz w:val="20"/>
          <w:szCs w:val="20"/>
          <w:color w:val="auto"/>
        </w:rPr>
      </w:pPr>
    </w:p>
    <w:p>
      <w:pPr>
        <w:jc w:val="both"/>
        <w:ind w:left="140"/>
        <w:spacing w:after="0" w:line="256" w:lineRule="auto"/>
        <w:rPr>
          <w:sz w:val="20"/>
          <w:szCs w:val="20"/>
          <w:color w:val="auto"/>
        </w:rPr>
      </w:pPr>
      <w:r>
        <w:rPr>
          <w:rFonts w:ascii="Arial" w:cs="Arial" w:eastAsia="Arial" w:hAnsi="Arial"/>
          <w:sz w:val="19"/>
          <w:szCs w:val="19"/>
          <w:color w:val="auto"/>
        </w:rPr>
        <w:t>in multiple counterparts (which counterparts may be executed and delivered by PDF, DocuSign, or another file sent by email) which shall together constitute a single document. Any executed counterpart of this letter agreement delivered by PDF, DocuSign or another file sent by email shall be equally effective as an original counterpart for all purposes. Notwithstanding any provision contained in the Lease and/or this letter agreement to the contrary, the liability of Landlord for its obligations under this Lease shall be limited to the interests of Landlord in the Real Property (including insurance awards, condemnation proceeds, and undistributed rents arising from the Real Property). In no event shall any partner, member, manager, shareholder, director, officer, principal, employee, agent, or owner of Landlord, direct or indirect, disclosed or undisclosed, be personally liable for any debts, liabilities or obligations of Landlord, or for any claims against Landlord, arising out of or resulting from the Lease and/or this letter agreement. Any such debts, obligations, liabilities or claims shall be satisfied solely out of the interests of Landlord in the Real Property (including insurance awards, condemnation proceeds, and undistributed rents arising from the Real Property). In no event shall any personal judgment be sought or obtained against any partner, member, manager, shareholder, director, officer, principal, employee, agent, or owner of Landlord, direct or indirect, disclosed or undisclosed. The submission of drafts of this document for examination and negotiation does not constitute an offer, or the acceptance of an offer, and this letter agreement shall not be binding upon Landlord or Tenant unless and until Landlord shall have executed and delivered a fully executed copy of this letter agreement to Tenant.</w:t>
      </w:r>
    </w:p>
    <w:p>
      <w:pPr>
        <w:spacing w:after="0" w:line="200" w:lineRule="exact"/>
        <w:rPr>
          <w:sz w:val="20"/>
          <w:szCs w:val="20"/>
          <w:color w:val="auto"/>
        </w:rPr>
      </w:pPr>
    </w:p>
    <w:p>
      <w:pPr>
        <w:spacing w:after="0" w:line="202" w:lineRule="exact"/>
        <w:rPr>
          <w:sz w:val="20"/>
          <w:szCs w:val="20"/>
          <w:color w:val="auto"/>
        </w:rPr>
      </w:pPr>
    </w:p>
    <w:p>
      <w:pPr>
        <w:ind w:left="140" w:right="480" w:firstLine="749"/>
        <w:spacing w:after="0" w:line="239" w:lineRule="auto"/>
        <w:rPr>
          <w:sz w:val="20"/>
          <w:szCs w:val="20"/>
          <w:color w:val="auto"/>
        </w:rPr>
      </w:pPr>
      <w:r>
        <w:rPr>
          <w:rFonts w:ascii="Arial" w:cs="Arial" w:eastAsia="Arial" w:hAnsi="Arial"/>
          <w:sz w:val="22"/>
          <w:szCs w:val="22"/>
          <w:color w:val="auto"/>
        </w:rPr>
        <w:t>In order to confirm our agreement with the terms of this letter agreement, we would appreciate your signing this letter below and returning a copy to me.</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243205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726" w:right="459" w:bottom="1440" w:gutter="0" w:footer="0" w:header="0"/>
        </w:sectPr>
      </w:pPr>
    </w:p>
    <w:bookmarkStart w:id="194" w:name="page195"/>
    <w:bookmarkEnd w:id="194"/>
    <w:p>
      <w:pPr>
        <w:ind w:left="140"/>
        <w:spacing w:after="0"/>
        <w:rPr>
          <w:sz w:val="20"/>
          <w:szCs w:val="20"/>
          <w:color w:val="auto"/>
        </w:rPr>
      </w:pPr>
      <w:r>
        <w:rPr>
          <w:rFonts w:ascii="Arial" w:cs="Arial" w:eastAsia="Arial" w:hAnsi="Arial"/>
          <w:sz w:val="22"/>
          <w:szCs w:val="22"/>
          <w:color w:val="auto"/>
        </w:rPr>
        <w:t>CRISPR Therapeutics, Inc.</w:t>
      </w:r>
    </w:p>
    <w:p>
      <w:pPr>
        <w:ind w:left="140"/>
        <w:spacing w:after="0" w:line="236" w:lineRule="auto"/>
        <w:rPr>
          <w:sz w:val="20"/>
          <w:szCs w:val="20"/>
          <w:color w:val="auto"/>
        </w:rPr>
      </w:pPr>
      <w:r>
        <w:rPr>
          <w:rFonts w:ascii="Arial" w:cs="Arial" w:eastAsia="Arial" w:hAnsi="Arial"/>
          <w:sz w:val="20"/>
          <w:szCs w:val="20"/>
          <w:color w:val="auto"/>
        </w:rPr>
        <w:t>January 6, 2021</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20"/>
          <w:szCs w:val="20"/>
          <w:color w:val="auto"/>
        </w:rPr>
        <w:t>Page 2</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 WITNESS WHEREOF, Landlord and Tenant have executed this letter agreement as of the day and year first</w:t>
      </w:r>
    </w:p>
    <w:p>
      <w:pPr>
        <w:ind w:left="140"/>
        <w:spacing w:after="0" w:line="219" w:lineRule="auto"/>
        <w:rPr>
          <w:sz w:val="20"/>
          <w:szCs w:val="20"/>
          <w:color w:val="auto"/>
        </w:rPr>
      </w:pPr>
      <w:r>
        <w:rPr>
          <w:rFonts w:ascii="Arial" w:cs="Arial" w:eastAsia="Arial" w:hAnsi="Arial"/>
          <w:sz w:val="18"/>
          <w:szCs w:val="18"/>
          <w:color w:val="auto"/>
        </w:rPr>
        <w:t>above written.</w:t>
      </w:r>
    </w:p>
    <w:p>
      <w:pPr>
        <w:ind w:left="4780"/>
        <w:spacing w:after="0"/>
        <w:rPr>
          <w:sz w:val="20"/>
          <w:szCs w:val="20"/>
          <w:color w:val="auto"/>
        </w:rPr>
      </w:pPr>
      <w:r>
        <w:rPr>
          <w:rFonts w:ascii="Arial" w:cs="Arial" w:eastAsia="Arial" w:hAnsi="Arial"/>
          <w:sz w:val="18"/>
          <w:szCs w:val="18"/>
          <w:b w:val="1"/>
          <w:bCs w:val="1"/>
          <w:color w:val="auto"/>
        </w:rPr>
        <w:t>LANDLORD:</w:t>
      </w:r>
    </w:p>
    <w:p>
      <w:pPr>
        <w:spacing w:after="0" w:line="15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105 W FIRST STREET OWNER, L.L.C.,</w:t>
      </w:r>
    </w:p>
    <w:p>
      <w:pPr>
        <w:spacing w:after="0" w:line="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 Delaware limited liability company</w:t>
      </w:r>
    </w:p>
    <w:p>
      <w:pPr>
        <w:spacing w:after="0" w:line="34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Daniel Belldegrun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-10160</wp:posOffset>
            </wp:positionV>
            <wp:extent cx="120586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54">
                      <a:extLst>
                        <a:ext uri="{28A0092B-C50C-407E-A947-70E740481C1C}"/>
                      </a:extLst>
                    </a:blip>
                    <a:srcRect/>
                    <a:stretch>
                      <a:fillRect/>
                    </a:stretch>
                  </pic:blipFill>
                  <pic:spPr bwMode="auto">
                    <a:xfrm>
                      <a:off x="0" y="0"/>
                      <a:ext cx="1205865" cy="8890"/>
                    </a:xfrm>
                    <a:prstGeom prst="rect">
                      <a:avLst/>
                    </a:prstGeom>
                    <a:noFill/>
                  </pic:spPr>
                </pic:pic>
              </a:graphicData>
            </a:graphic>
          </wp:anchor>
        </w:drawing>
      </w:r>
    </w:p>
    <w:p>
      <w:pPr>
        <w:spacing w:after="0" w:line="13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Daniel Belldegrun</w:t>
      </w:r>
    </w:p>
    <w:p>
      <w:pPr>
        <w:ind w:left="5180"/>
        <w:spacing w:after="0"/>
        <w:rPr>
          <w:sz w:val="20"/>
          <w:szCs w:val="20"/>
          <w:color w:val="auto"/>
        </w:rPr>
      </w:pPr>
      <w:r>
        <w:rPr>
          <w:rFonts w:ascii="Arial" w:cs="Arial" w:eastAsia="Arial" w:hAnsi="Arial"/>
          <w:sz w:val="18"/>
          <w:szCs w:val="18"/>
          <w:color w:val="auto"/>
        </w:rPr>
        <w:t>Its: President and Chief Executive Officer</w:t>
      </w:r>
    </w:p>
    <w:p>
      <w:pPr>
        <w:spacing w:after="0" w:line="12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TENANT:</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CRISPR THERAPEUTICS, INC.</w:t>
      </w:r>
      <w:r>
        <w:rPr>
          <w:rFonts w:ascii="Arial" w:cs="Arial" w:eastAsia="Arial" w:hAnsi="Arial"/>
          <w:sz w:val="18"/>
          <w:szCs w:val="18"/>
          <w:color w:val="auto"/>
        </w:rPr>
        <w:t>,</w:t>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a Delaware corporation</w:t>
      </w:r>
    </w:p>
    <w:p>
      <w:pPr>
        <w:spacing w:after="0" w:line="23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Brendan Smith</w:t>
      </w:r>
    </w:p>
    <w:p>
      <w:pPr>
        <w:ind w:left="4980"/>
        <w:spacing w:after="0" w:line="187" w:lineRule="auto"/>
        <w:rPr>
          <w:sz w:val="20"/>
          <w:szCs w:val="20"/>
          <w:color w:val="auto"/>
        </w:rPr>
      </w:pPr>
      <w:r>
        <w:rPr>
          <w:rFonts w:ascii="Arial" w:cs="Arial" w:eastAsia="Arial" w:hAnsi="Arial"/>
          <w:sz w:val="18"/>
          <w:szCs w:val="18"/>
          <w:color w:val="auto"/>
        </w:rPr>
        <w:t>Name: Brendan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-93980</wp:posOffset>
            </wp:positionV>
            <wp:extent cx="97726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55">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8"/>
          <w:szCs w:val="18"/>
          <w:color w:val="auto"/>
        </w:rPr>
        <w:t>Its: CFO</w:t>
      </w:r>
    </w:p>
    <w:p>
      <w:pPr>
        <w:spacing w:after="0" w:line="19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The foregoing letter agreement is hereby</w:t>
      </w:r>
    </w:p>
    <w:p>
      <w:pPr>
        <w:spacing w:after="0" w:line="1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consented to:</w:t>
      </w:r>
    </w:p>
    <w:p>
      <w:pPr>
        <w:spacing w:after="0" w:line="23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GUARANTOR:</w:t>
      </w:r>
    </w:p>
    <w:p>
      <w:pPr>
        <w:spacing w:after="0" w:line="23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 xml:space="preserve">CRISPR THERAPEUTICS AG, </w:t>
      </w:r>
      <w:r>
        <w:rPr>
          <w:rFonts w:ascii="Arial" w:cs="Arial" w:eastAsia="Arial" w:hAnsi="Arial"/>
          <w:sz w:val="18"/>
          <w:szCs w:val="18"/>
          <w:color w:val="auto"/>
        </w:rPr>
        <w:t>a Swiss corporation</w:t>
      </w:r>
    </w:p>
    <w:p>
      <w:pPr>
        <w:ind w:left="4620"/>
        <w:spacing w:after="0" w:line="237" w:lineRule="auto"/>
        <w:rPr>
          <w:sz w:val="20"/>
          <w:szCs w:val="20"/>
          <w:color w:val="auto"/>
        </w:rPr>
      </w:pPr>
      <w:r>
        <w:rPr>
          <w:rFonts w:ascii="Arial" w:cs="Arial" w:eastAsia="Arial" w:hAnsi="Arial"/>
          <w:sz w:val="18"/>
          <w:szCs w:val="18"/>
          <w:color w:val="auto"/>
        </w:rPr>
        <w:t>By: /s/ Samarth Kulkarni</w:t>
      </w:r>
    </w:p>
    <w:p>
      <w:pPr>
        <w:ind w:left="5360"/>
        <w:spacing w:after="0" w:line="182" w:lineRule="auto"/>
        <w:rPr>
          <w:sz w:val="20"/>
          <w:szCs w:val="20"/>
          <w:color w:val="auto"/>
        </w:rPr>
      </w:pPr>
      <w:r>
        <w:rPr>
          <w:rFonts w:ascii="Arial" w:cs="Arial" w:eastAsia="Arial" w:hAnsi="Arial"/>
          <w:sz w:val="17"/>
          <w:szCs w:val="17"/>
          <w:color w:val="auto"/>
        </w:rPr>
        <w:t>Name: Samarth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-77470</wp:posOffset>
            </wp:positionV>
            <wp:extent cx="120586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56">
                      <a:extLst>
                        <a:ext uri="{28A0092B-C50C-407E-A947-70E740481C1C}"/>
                      </a:extLst>
                    </a:blip>
                    <a:srcRect/>
                    <a:stretch>
                      <a:fillRect/>
                    </a:stretch>
                  </pic:blipFill>
                  <pic:spPr bwMode="auto">
                    <a:xfrm>
                      <a:off x="0" y="0"/>
                      <a:ext cx="1205865" cy="889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8"/>
          <w:szCs w:val="18"/>
          <w:color w:val="auto"/>
        </w:rPr>
        <w:t>Its: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43180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80"/>
          </w:cols>
          <w:pgMar w:left="1440" w:top="726" w:right="77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4480"/>
              <w:spacing w:after="0"/>
              <w:rPr>
                <w:sz w:val="20"/>
                <w:szCs w:val="20"/>
                <w:color w:val="auto"/>
              </w:rPr>
            </w:pPr>
            <w:r>
              <w:rPr>
                <w:rFonts w:ascii="Arial" w:cs="Arial" w:eastAsia="Arial" w:hAnsi="Arial"/>
                <w:sz w:val="18"/>
                <w:szCs w:val="18"/>
                <w:b w:val="1"/>
                <w:bCs w:val="1"/>
                <w:color w:val="auto"/>
              </w:rPr>
              <w:t>Subsidiaries of the Registrant</w:t>
            </w:r>
          </w:p>
        </w:tc>
      </w:tr>
      <w:tr>
        <w:trPr>
          <w:trHeight w:val="391"/>
        </w:trPr>
        <w:tc>
          <w:tcPr>
            <w:tcW w:w="56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Name of Subsidiary</w:t>
            </w:r>
          </w:p>
        </w:tc>
        <w:tc>
          <w:tcPr>
            <w:tcW w:w="55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03"/>
        </w:trPr>
        <w:tc>
          <w:tcPr>
            <w:tcW w:w="56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0"/>
              </w:rPr>
              <w:t>CRISPR Therapeutics, Inc.</w:t>
            </w:r>
          </w:p>
        </w:tc>
        <w:tc>
          <w:tcPr>
            <w:tcW w:w="5580" w:type="dxa"/>
            <w:vAlign w:val="bottom"/>
          </w:tcPr>
          <w:p>
            <w:pPr>
              <w:jc w:val="center"/>
              <w:spacing w:after="0" w:line="202" w:lineRule="exact"/>
              <w:rPr>
                <w:sz w:val="20"/>
                <w:szCs w:val="20"/>
                <w:color w:val="auto"/>
              </w:rPr>
            </w:pPr>
            <w:r>
              <w:rPr>
                <w:rFonts w:ascii="Arial" w:cs="Arial" w:eastAsia="Arial" w:hAnsi="Arial"/>
                <w:sz w:val="18"/>
                <w:szCs w:val="18"/>
                <w:color w:val="auto"/>
                <w:w w:val="92"/>
              </w:rPr>
              <w:t>Delaware</w:t>
            </w:r>
          </w:p>
        </w:tc>
      </w:tr>
      <w:tr>
        <w:trPr>
          <w:trHeight w:val="203"/>
        </w:trPr>
        <w:tc>
          <w:tcPr>
            <w:tcW w:w="56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0"/>
              </w:rPr>
              <w:t>CRISPR Therapeutics Ltd.</w:t>
            </w:r>
          </w:p>
        </w:tc>
        <w:tc>
          <w:tcPr>
            <w:tcW w:w="5580" w:type="dxa"/>
            <w:vAlign w:val="bottom"/>
          </w:tcPr>
          <w:p>
            <w:pPr>
              <w:jc w:val="center"/>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56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5"/>
              </w:rPr>
              <w:t>TRACR Hematology Ltd</w:t>
            </w:r>
          </w:p>
        </w:tc>
        <w:tc>
          <w:tcPr>
            <w:tcW w:w="5580" w:type="dxa"/>
            <w:vAlign w:val="bottom"/>
          </w:tcPr>
          <w:p>
            <w:pPr>
              <w:jc w:val="center"/>
              <w:spacing w:after="0" w:line="202" w:lineRule="exact"/>
              <w:rPr>
                <w:sz w:val="20"/>
                <w:szCs w:val="20"/>
                <w:color w:val="auto"/>
              </w:rPr>
            </w:pPr>
            <w:r>
              <w:rPr>
                <w:rFonts w:ascii="Arial" w:cs="Arial" w:eastAsia="Arial" w:hAnsi="Arial"/>
                <w:sz w:val="18"/>
                <w:szCs w:val="18"/>
                <w:color w:val="auto"/>
                <w:w w:val="95"/>
              </w:rPr>
              <w:t>United Kingdom</w:t>
            </w:r>
          </w:p>
        </w:tc>
      </w:tr>
      <w:tr>
        <w:trPr>
          <w:trHeight w:val="203"/>
        </w:trPr>
        <w:tc>
          <w:tcPr>
            <w:tcW w:w="566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4"/>
              </w:rPr>
              <w:t>CTX Financing GmbH</w:t>
            </w:r>
          </w:p>
        </w:tc>
        <w:tc>
          <w:tcPr>
            <w:tcW w:w="5580" w:type="dxa"/>
            <w:vAlign w:val="bottom"/>
          </w:tcPr>
          <w:p>
            <w:pPr>
              <w:jc w:val="center"/>
              <w:spacing w:after="0" w:line="202" w:lineRule="exact"/>
              <w:rPr>
                <w:sz w:val="20"/>
                <w:szCs w:val="20"/>
                <w:color w:val="auto"/>
              </w:rPr>
            </w:pPr>
            <w:r>
              <w:rPr>
                <w:rFonts w:ascii="Arial" w:cs="Arial" w:eastAsia="Arial" w:hAnsi="Arial"/>
                <w:sz w:val="18"/>
                <w:szCs w:val="18"/>
                <w:color w:val="auto"/>
                <w:w w:val="92"/>
              </w:rPr>
              <w:t>Switzerland</w:t>
            </w:r>
          </w:p>
        </w:tc>
      </w:tr>
      <w:tr>
        <w:trPr>
          <w:trHeight w:val="203"/>
        </w:trPr>
        <w:tc>
          <w:tcPr>
            <w:tcW w:w="56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3"/>
              </w:rPr>
              <w:t>CTX Securities Corporation</w:t>
            </w:r>
          </w:p>
        </w:tc>
        <w:tc>
          <w:tcPr>
            <w:tcW w:w="5580" w:type="dxa"/>
            <w:vAlign w:val="bottom"/>
          </w:tcPr>
          <w:p>
            <w:pPr>
              <w:jc w:val="center"/>
              <w:ind w:left="10"/>
              <w:spacing w:after="0" w:line="202" w:lineRule="exact"/>
              <w:rPr>
                <w:sz w:val="20"/>
                <w:szCs w:val="20"/>
                <w:color w:val="auto"/>
              </w:rPr>
            </w:pPr>
            <w:r>
              <w:rPr>
                <w:rFonts w:ascii="Arial" w:cs="Arial" w:eastAsia="Arial" w:hAnsi="Arial"/>
                <w:sz w:val="18"/>
                <w:szCs w:val="18"/>
                <w:color w:val="auto"/>
                <w:w w:val="86"/>
              </w:rPr>
              <w:t>Massachusetts</w:t>
            </w:r>
          </w:p>
        </w:tc>
      </w:tr>
      <w:tr>
        <w:trPr>
          <w:trHeight w:val="203"/>
        </w:trPr>
        <w:tc>
          <w:tcPr>
            <w:tcW w:w="56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1"/>
              </w:rPr>
              <w:t>Casebia Therapeutics Limited Liability Partnership</w:t>
            </w:r>
          </w:p>
        </w:tc>
        <w:tc>
          <w:tcPr>
            <w:tcW w:w="5580" w:type="dxa"/>
            <w:vAlign w:val="bottom"/>
          </w:tcPr>
          <w:p>
            <w:pPr>
              <w:jc w:val="center"/>
              <w:spacing w:after="0" w:line="202" w:lineRule="exact"/>
              <w:rPr>
                <w:sz w:val="20"/>
                <w:szCs w:val="20"/>
                <w:color w:val="auto"/>
              </w:rPr>
            </w:pPr>
            <w:r>
              <w:rPr>
                <w:rFonts w:ascii="Arial" w:cs="Arial" w:eastAsia="Arial" w:hAnsi="Arial"/>
                <w:sz w:val="18"/>
                <w:szCs w:val="18"/>
                <w:color w:val="auto"/>
                <w:w w:val="95"/>
              </w:rPr>
              <w:t>United Kingdom</w:t>
            </w:r>
          </w:p>
        </w:tc>
      </w:tr>
      <w:tr>
        <w:trPr>
          <w:trHeight w:val="230"/>
        </w:trPr>
        <w:tc>
          <w:tcPr>
            <w:tcW w:w="5660" w:type="dxa"/>
            <w:vAlign w:val="bottom"/>
          </w:tcPr>
          <w:p>
            <w:pPr>
              <w:jc w:val="center"/>
              <w:ind w:right="50"/>
              <w:spacing w:after="0"/>
              <w:rPr>
                <w:sz w:val="20"/>
                <w:szCs w:val="20"/>
                <w:color w:val="auto"/>
              </w:rPr>
            </w:pPr>
            <w:r>
              <w:rPr>
                <w:rFonts w:ascii="Arial" w:cs="Arial" w:eastAsia="Arial" w:hAnsi="Arial"/>
                <w:sz w:val="18"/>
                <w:szCs w:val="18"/>
                <w:color w:val="auto"/>
                <w:w w:val="90"/>
              </w:rPr>
              <w:t>Casebia Therapeutics LLC</w:t>
            </w:r>
          </w:p>
        </w:tc>
        <w:tc>
          <w:tcPr>
            <w:tcW w:w="558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507"/>
        </w:trPr>
        <w:tc>
          <w:tcPr>
            <w:tcW w:w="56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14"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04" w:lineRule="exact"/>
        <w:rPr>
          <w:sz w:val="20"/>
          <w:szCs w:val="20"/>
          <w:color w:val="auto"/>
        </w:rPr>
      </w:pPr>
    </w:p>
    <w:p>
      <w:pPr>
        <w:ind w:left="1020" w:hanging="50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Registration Statement (Form S-3 No. 333-258274) of CRISPR Therapeutics AG,</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Registration Statement (Form S-8 No. 333-221427) pertaining to the CRISPR Therapeutics AG Amended and Restated 2016 Stock Option and Incentive Plan (the “Amended Plan”),</w:t>
      </w:r>
    </w:p>
    <w:p>
      <w:pPr>
        <w:spacing w:after="0" w:line="62"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Registration Statement (Form S-8 No. 333-214184) pertaining to the CRISPR Therapeutics AG 2015 Stock Option and Grant Plan, the CRISPR Therapeutics AG 2016 Stock Option and Incentive Plan, the CRISPR Therapeutics AG 2016 Employee Stock Purchase Plan, the Non-Qualified Option Agreement with Megan Menner, the Non-Qualified Option Agreement with Paul Schneider, and the Non-Qualified Option Agreement with Pablo Cagnoni of CRISPR Therapeutics AG, and</w:t>
      </w:r>
    </w:p>
    <w:p>
      <w:pPr>
        <w:spacing w:after="0" w:line="7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Registration Statements (Form S-8 Nos. 333-225369, 333-232877, 333-240120) pertaining to the CRISPR Therapeutics AG 2018 Stock Option and Incentive Plan;</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of our reports dated February 15, 2022, with respect to the consolidated financial statements of CRISPR Therapeutics AG and the effectiveness of internal control over financial reporting of CRISPR Therapeutics AG included in this Annual Report (Form 10-K) of CRISPR Therapeutics AG for the year ended December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7" w:name="page198"/>
    <w:bookmarkEnd w:id="197"/>
    <w:p>
      <w:pPr>
        <w:ind w:left="10260"/>
        <w:spacing w:after="0"/>
        <w:rPr>
          <w:sz w:val="20"/>
          <w:szCs w:val="20"/>
          <w:color w:val="auto"/>
        </w:rPr>
      </w:pPr>
      <w:r>
        <w:rPr>
          <w:rFonts w:ascii="Arial" w:cs="Arial" w:eastAsia="Arial" w:hAnsi="Arial"/>
          <w:sz w:val="17"/>
          <w:szCs w:val="17"/>
          <w:b w:val="1"/>
          <w:bCs w:val="1"/>
          <w:color w:val="auto"/>
        </w:rPr>
        <w:t>Exhibit 31.1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Samarth Kulkarni, certify that:</w:t>
      </w:r>
    </w:p>
    <w:p>
      <w:pPr>
        <w:spacing w:after="0" w:line="104" w:lineRule="exact"/>
        <w:rPr>
          <w:sz w:val="20"/>
          <w:szCs w:val="20"/>
          <w:color w:val="auto"/>
        </w:rPr>
      </w:pPr>
    </w:p>
    <w:p>
      <w:pPr>
        <w:ind w:left="760" w:hanging="752"/>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CRISPR Therapeutics AG;</w:t>
      </w:r>
    </w:p>
    <w:p>
      <w:pPr>
        <w:spacing w:after="0" w:line="103" w:lineRule="exact"/>
        <w:rPr>
          <w:rFonts w:ascii="Arial" w:cs="Arial" w:eastAsia="Arial" w:hAnsi="Arial"/>
          <w:sz w:val="18"/>
          <w:szCs w:val="18"/>
          <w:color w:val="auto"/>
        </w:rPr>
      </w:pPr>
    </w:p>
    <w:p>
      <w:pPr>
        <w:jc w:val="both"/>
        <w:ind w:left="760" w:right="20" w:hanging="752"/>
        <w:spacing w:after="0" w:line="248"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60" w:right="240" w:hanging="752"/>
        <w:spacing w:after="0" w:line="291" w:lineRule="auto"/>
        <w:tabs>
          <w:tab w:leader="none" w:pos="7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752"/>
        <w:spacing w:after="0" w:line="248"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500" w:right="140" w:hanging="743"/>
        <w:spacing w:after="0" w:line="270" w:lineRule="auto"/>
        <w:tabs>
          <w:tab w:leader="none" w:pos="15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ind w:left="1500" w:right="240" w:hanging="743"/>
        <w:spacing w:after="0" w:line="248" w:lineRule="auto"/>
        <w:tabs>
          <w:tab w:leader="none" w:pos="15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500" w:right="40" w:hanging="743"/>
        <w:spacing w:after="0" w:line="248" w:lineRule="auto"/>
        <w:tabs>
          <w:tab w:leader="none" w:pos="15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60" w:right="160" w:hanging="752"/>
        <w:spacing w:after="0" w:line="324" w:lineRule="auto"/>
        <w:tabs>
          <w:tab w:leader="none" w:pos="7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00" w:right="260" w:hanging="743"/>
        <w:spacing w:after="0" w:line="324" w:lineRule="auto"/>
        <w:tabs>
          <w:tab w:leader="none" w:pos="1500"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00" w:right="540" w:hanging="743"/>
        <w:spacing w:after="0" w:line="261" w:lineRule="auto"/>
        <w:tabs>
          <w:tab w:leader="none" w:pos="15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2022</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Samarth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Samarth Kulkarni</w:t>
      </w:r>
    </w:p>
    <w:p>
      <w:pPr>
        <w:ind w:left="6780"/>
        <w:spacing w:after="0" w:line="203" w:lineRule="auto"/>
        <w:rPr>
          <w:sz w:val="20"/>
          <w:szCs w:val="20"/>
          <w:color w:val="auto"/>
        </w:rPr>
      </w:pPr>
      <w:r>
        <w:rPr>
          <w:rFonts w:ascii="Arial" w:cs="Arial" w:eastAsia="Arial" w:hAnsi="Arial"/>
          <w:sz w:val="18"/>
          <w:szCs w:val="18"/>
          <w:color w:val="auto"/>
        </w:rPr>
        <w:t>Chief Executive Officer</w:t>
      </w: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8" w:name="page199"/>
    <w:bookmarkEnd w:id="198"/>
    <w:p>
      <w:pPr>
        <w:ind w:left="10260"/>
        <w:spacing w:after="0"/>
        <w:rPr>
          <w:sz w:val="20"/>
          <w:szCs w:val="20"/>
          <w:color w:val="auto"/>
        </w:rPr>
      </w:pPr>
      <w:r>
        <w:rPr>
          <w:rFonts w:ascii="Arial" w:cs="Arial" w:eastAsia="Arial" w:hAnsi="Arial"/>
          <w:sz w:val="17"/>
          <w:szCs w:val="17"/>
          <w:b w:val="1"/>
          <w:bCs w:val="1"/>
          <w:color w:val="auto"/>
        </w:rPr>
        <w:t>Exhibit 31.2</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Brendan Smith, certify that:</w:t>
      </w:r>
    </w:p>
    <w:p>
      <w:pPr>
        <w:spacing w:after="0" w:line="104" w:lineRule="exact"/>
        <w:rPr>
          <w:sz w:val="20"/>
          <w:szCs w:val="20"/>
          <w:color w:val="auto"/>
        </w:rPr>
      </w:pPr>
    </w:p>
    <w:p>
      <w:pPr>
        <w:ind w:left="760" w:hanging="752"/>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CRISPR Therapeutics AG;</w:t>
      </w:r>
    </w:p>
    <w:p>
      <w:pPr>
        <w:spacing w:after="0" w:line="103" w:lineRule="exact"/>
        <w:rPr>
          <w:rFonts w:ascii="Arial" w:cs="Arial" w:eastAsia="Arial" w:hAnsi="Arial"/>
          <w:sz w:val="18"/>
          <w:szCs w:val="18"/>
          <w:color w:val="auto"/>
        </w:rPr>
      </w:pPr>
    </w:p>
    <w:p>
      <w:pPr>
        <w:jc w:val="both"/>
        <w:ind w:left="760" w:right="20" w:hanging="752"/>
        <w:spacing w:after="0" w:line="248"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60" w:right="240" w:hanging="752"/>
        <w:spacing w:after="0" w:line="291" w:lineRule="auto"/>
        <w:tabs>
          <w:tab w:leader="none" w:pos="7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60" w:right="20" w:hanging="752"/>
        <w:spacing w:after="0" w:line="248"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500" w:right="140" w:hanging="743"/>
        <w:spacing w:after="0" w:line="270" w:lineRule="auto"/>
        <w:tabs>
          <w:tab w:leader="none" w:pos="15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5" w:lineRule="exact"/>
        <w:rPr>
          <w:rFonts w:ascii="Arial" w:cs="Arial" w:eastAsia="Arial" w:hAnsi="Arial"/>
          <w:sz w:val="17"/>
          <w:szCs w:val="17"/>
          <w:color w:val="auto"/>
        </w:rPr>
      </w:pPr>
    </w:p>
    <w:p>
      <w:pPr>
        <w:ind w:left="1500" w:right="240" w:hanging="743"/>
        <w:spacing w:after="0" w:line="248" w:lineRule="auto"/>
        <w:tabs>
          <w:tab w:leader="none" w:pos="15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00" w:hanging="743"/>
        <w:spacing w:after="0" w:line="324" w:lineRule="auto"/>
        <w:tabs>
          <w:tab w:leader="none" w:pos="15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500" w:right="40" w:hanging="743"/>
        <w:spacing w:after="0" w:line="248" w:lineRule="auto"/>
        <w:tabs>
          <w:tab w:leader="none" w:pos="15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60" w:right="160" w:hanging="752"/>
        <w:spacing w:after="0" w:line="324" w:lineRule="auto"/>
        <w:tabs>
          <w:tab w:leader="none" w:pos="7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 w:lineRule="exact"/>
        <w:rPr>
          <w:rFonts w:ascii="Arial" w:cs="Arial" w:eastAsia="Arial" w:hAnsi="Arial"/>
          <w:sz w:val="16"/>
          <w:szCs w:val="16"/>
          <w:color w:val="auto"/>
        </w:rPr>
      </w:pPr>
    </w:p>
    <w:p>
      <w:pPr>
        <w:ind w:left="1500" w:right="260" w:hanging="743"/>
        <w:spacing w:after="0" w:line="324" w:lineRule="auto"/>
        <w:tabs>
          <w:tab w:leader="none" w:pos="15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00" w:right="540" w:hanging="743"/>
        <w:spacing w:after="0" w:line="261" w:lineRule="auto"/>
        <w:tabs>
          <w:tab w:leader="none" w:pos="15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15, 2022</w:t>
      </w:r>
    </w:p>
    <w:p>
      <w:pPr>
        <w:spacing w:after="0" w:line="22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Brendan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Brendan Smith</w:t>
      </w:r>
    </w:p>
    <w:p>
      <w:pPr>
        <w:ind w:left="6780"/>
        <w:spacing w:after="0" w:line="203" w:lineRule="auto"/>
        <w:rPr>
          <w:sz w:val="20"/>
          <w:szCs w:val="20"/>
          <w:color w:val="auto"/>
        </w:rPr>
      </w:pPr>
      <w:r>
        <w:rPr>
          <w:rFonts w:ascii="Arial" w:cs="Arial" w:eastAsia="Arial" w:hAnsi="Arial"/>
          <w:sz w:val="18"/>
          <w:szCs w:val="18"/>
          <w:color w:val="auto"/>
        </w:rPr>
        <w:t>Chief Financial Officer</w:t>
      </w:r>
    </w:p>
    <w:p>
      <w:pPr>
        <w:ind w:left="67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32.1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CEO/CFO CERTIFICATION</w:t>
      </w:r>
    </w:p>
    <w:p>
      <w:pPr>
        <w:spacing w:after="0"/>
        <w:rPr>
          <w:sz w:val="20"/>
          <w:szCs w:val="20"/>
          <w:color w:val="auto"/>
        </w:rPr>
      </w:pPr>
      <w:r>
        <w:rPr>
          <w:rFonts w:ascii="Arial" w:cs="Arial" w:eastAsia="Arial" w:hAnsi="Arial"/>
          <w:sz w:val="18"/>
          <w:szCs w:val="18"/>
          <w:color w:val="auto"/>
        </w:rPr>
        <w:t>.</w:t>
      </w:r>
    </w:p>
    <w:p>
      <w:pPr>
        <w:spacing w:after="0" w:line="23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of the undersigned officers of CRISPR Therapeutics AG (the “Company”), does hereby certify, to such officer’s knowledge, that:</w:t>
      </w:r>
    </w:p>
    <w:p>
      <w:pPr>
        <w:spacing w:after="0" w:line="251" w:lineRule="exact"/>
        <w:rPr>
          <w:sz w:val="20"/>
          <w:szCs w:val="20"/>
          <w:color w:val="auto"/>
        </w:rPr>
      </w:pPr>
    </w:p>
    <w:p>
      <w:pPr>
        <w:ind w:right="500" w:firstLine="749"/>
        <w:spacing w:after="0" w:line="279" w:lineRule="auto"/>
        <w:rPr>
          <w:sz w:val="20"/>
          <w:szCs w:val="20"/>
          <w:color w:val="auto"/>
        </w:rPr>
      </w:pPr>
      <w:r>
        <w:rPr>
          <w:rFonts w:ascii="Arial" w:cs="Arial" w:eastAsia="Arial" w:hAnsi="Arial"/>
          <w:sz w:val="18"/>
          <w:szCs w:val="18"/>
          <w:color w:val="auto"/>
        </w:rPr>
        <w:t>The Annual Report on Form 10-K for the year ended December 31, 2021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20" w:type="dxa"/>
            <w:vAlign w:val="bottom"/>
          </w:tcPr>
          <w:p>
            <w:pPr>
              <w:ind w:left="20"/>
              <w:spacing w:after="0"/>
              <w:rPr>
                <w:sz w:val="20"/>
                <w:szCs w:val="20"/>
                <w:color w:val="auto"/>
              </w:rPr>
            </w:pPr>
            <w:r>
              <w:rPr>
                <w:rFonts w:ascii="Arial" w:cs="Arial" w:eastAsia="Arial" w:hAnsi="Arial"/>
                <w:sz w:val="18"/>
                <w:szCs w:val="18"/>
                <w:color w:val="auto"/>
              </w:rPr>
              <w:t>Date: February 15,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Samarth Kulkarni</w:t>
            </w:r>
          </w:p>
        </w:tc>
      </w:tr>
      <w:tr>
        <w:trPr>
          <w:trHeight w:val="182"/>
        </w:trPr>
        <w:tc>
          <w:tcPr>
            <w:tcW w:w="5620" w:type="dxa"/>
            <w:vAlign w:val="bottom"/>
          </w:tcPr>
          <w:p>
            <w:pPr>
              <w:spacing w:after="0"/>
              <w:rPr>
                <w:sz w:val="15"/>
                <w:szCs w:val="15"/>
                <w:color w:val="auto"/>
              </w:rPr>
            </w:pPr>
          </w:p>
        </w:tc>
        <w:tc>
          <w:tcPr>
            <w:tcW w:w="5620" w:type="dxa"/>
            <w:vAlign w:val="bottom"/>
          </w:tcPr>
          <w:p>
            <w:pPr>
              <w:ind w:left="20"/>
              <w:spacing w:after="0" w:line="182" w:lineRule="exact"/>
              <w:rPr>
                <w:sz w:val="20"/>
                <w:szCs w:val="20"/>
                <w:color w:val="auto"/>
              </w:rPr>
            </w:pPr>
            <w:r>
              <w:rPr>
                <w:rFonts w:ascii="Arial" w:cs="Arial" w:eastAsia="Arial" w:hAnsi="Arial"/>
                <w:sz w:val="18"/>
                <w:szCs w:val="18"/>
                <w:color w:val="auto"/>
              </w:rPr>
              <w:t>Samarth Kulkarni</w:t>
            </w:r>
          </w:p>
        </w:tc>
      </w:tr>
      <w:tr>
        <w:trPr>
          <w:trHeight w:val="203"/>
        </w:trPr>
        <w:tc>
          <w:tcPr>
            <w:tcW w:w="5620" w:type="dxa"/>
            <w:vAlign w:val="bottom"/>
          </w:tcPr>
          <w:p>
            <w:pPr>
              <w:spacing w:after="0"/>
              <w:rPr>
                <w:sz w:val="17"/>
                <w:szCs w:val="17"/>
                <w:color w:val="auto"/>
              </w:rPr>
            </w:pPr>
          </w:p>
        </w:tc>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620" w:type="dxa"/>
            <w:vAlign w:val="bottom"/>
          </w:tcPr>
          <w:p>
            <w:pPr>
              <w:ind w:left="20"/>
              <w:spacing w:after="0"/>
              <w:rPr>
                <w:sz w:val="20"/>
                <w:szCs w:val="20"/>
                <w:color w:val="auto"/>
              </w:rPr>
            </w:pPr>
            <w:r>
              <w:rPr>
                <w:rFonts w:ascii="Arial" w:cs="Arial" w:eastAsia="Arial" w:hAnsi="Arial"/>
                <w:sz w:val="18"/>
                <w:szCs w:val="18"/>
                <w:color w:val="auto"/>
              </w:rPr>
              <w:t>Date: February 15,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Brendan Smith</w:t>
            </w:r>
          </w:p>
        </w:tc>
      </w:tr>
      <w:tr>
        <w:trPr>
          <w:trHeight w:val="182"/>
        </w:trPr>
        <w:tc>
          <w:tcPr>
            <w:tcW w:w="5620" w:type="dxa"/>
            <w:vAlign w:val="bottom"/>
          </w:tcPr>
          <w:p>
            <w:pPr>
              <w:spacing w:after="0"/>
              <w:rPr>
                <w:sz w:val="15"/>
                <w:szCs w:val="15"/>
                <w:color w:val="auto"/>
              </w:rPr>
            </w:pPr>
          </w:p>
        </w:tc>
        <w:tc>
          <w:tcPr>
            <w:tcW w:w="5620" w:type="dxa"/>
            <w:vAlign w:val="bottom"/>
          </w:tcPr>
          <w:p>
            <w:pPr>
              <w:ind w:left="20"/>
              <w:spacing w:after="0" w:line="182" w:lineRule="exact"/>
              <w:rPr>
                <w:sz w:val="20"/>
                <w:szCs w:val="20"/>
                <w:color w:val="auto"/>
              </w:rPr>
            </w:pPr>
            <w:r>
              <w:rPr>
                <w:rFonts w:ascii="Arial" w:cs="Arial" w:eastAsia="Arial" w:hAnsi="Arial"/>
                <w:sz w:val="18"/>
                <w:szCs w:val="18"/>
                <w:color w:val="auto"/>
              </w:rPr>
              <w:t>Brendan Smith</w:t>
            </w:r>
          </w:p>
        </w:tc>
      </w:tr>
      <w:tr>
        <w:trPr>
          <w:trHeight w:val="203"/>
        </w:trPr>
        <w:tc>
          <w:tcPr>
            <w:tcW w:w="5620" w:type="dxa"/>
            <w:vAlign w:val="bottom"/>
          </w:tcPr>
          <w:p>
            <w:pPr>
              <w:spacing w:after="0"/>
              <w:rPr>
                <w:sz w:val="17"/>
                <w:szCs w:val="17"/>
                <w:color w:val="auto"/>
              </w:rPr>
            </w:pPr>
          </w:p>
        </w:tc>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507"/>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0" w:name="page201"/>
    <w:bookmarkEnd w:id="2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1)"/>
      <w:numFmt w:val="lowerRoman"/>
      <w:start w:val="1"/>
    </w:lvl>
  </w:abstractNum>
  <w:abstractNum w:abstractNumId="41">
    <w:nsid w:val="23F9C13C"/>
    <w:multiLevelType w:val="hybridMultilevel"/>
    <w:lvl w:ilvl="0">
      <w:lvlJc w:val="left"/>
      <w:lvlText w:val="•"/>
      <w:numFmt w:val="bullet"/>
      <w:start w:val="1"/>
    </w:lvl>
  </w:abstractNum>
  <w:abstractNum w:abstractNumId="42">
    <w:nsid w:val="649BB77C"/>
    <w:multiLevelType w:val="hybridMultilevel"/>
    <w:lvl w:ilvl="0">
      <w:lvlJc w:val="left"/>
      <w:lvlText w:val="•"/>
      <w:numFmt w:val="bullet"/>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
      <w:numFmt w:val="bullet"/>
      <w:start w:val="1"/>
    </w:lvl>
    <w:lvl w:ilvl="1">
      <w:lvlJc w:val="left"/>
      <w:lvlText w:val="%2"/>
      <w:numFmt w:val="decimal"/>
      <w:start w:val="104"/>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decimal"/>
      <w:start w:val="718"/>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1."/>
      <w:numFmt w:val="decimal"/>
      <w:start w:val="8"/>
    </w:lvl>
  </w:abstractNum>
  <w:abstractNum w:abstractNumId="56">
    <w:nsid w:val="7E0C57B1"/>
    <w:multiLevelType w:val="hybridMultilevel"/>
    <w:lvl w:ilvl="0">
      <w:lvlJc w:val="left"/>
      <w:lvlText w:val="(%1)"/>
      <w:numFmt w:val="lowerRoman"/>
      <w:start w:val="1"/>
    </w:lvl>
  </w:abstractNum>
  <w:abstractNum w:abstractNumId="57">
    <w:nsid w:val="77AE35EB"/>
    <w:multiLevelType w:val="hybridMultilevel"/>
    <w:lvl w:ilvl="0">
      <w:lvlJc w:val="left"/>
      <w:lvlText w:val="(%1)"/>
      <w:numFmt w:val="lowerRoman"/>
      <w:start w:val="1"/>
    </w:lvl>
  </w:abstractNum>
  <w:abstractNum w:abstractNumId="58">
    <w:nsid w:val="579BE4F1"/>
    <w:multiLevelType w:val="hybridMultilevel"/>
    <w:lvl w:ilvl="0">
      <w:lvlJc w:val="left"/>
      <w:lvlText w:val="%1."/>
      <w:numFmt w:val="decimal"/>
      <w:start w:val="11"/>
    </w:lvl>
  </w:abstractNum>
  <w:abstractNum w:abstractNumId="59">
    <w:nsid w:val="310C50B3"/>
    <w:multiLevelType w:val="hybridMultilevel"/>
    <w:lvl w:ilvl="0">
      <w:lvlJc w:val="left"/>
      <w:lvlText w:val="%1."/>
      <w:numFmt w:val="decimal"/>
      <w:start w:val="15"/>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1"/>
    </w:lvl>
    <w:lvl w:ilvl="1">
      <w:lvlJc w:val="left"/>
      <w:lvlText w:val="%2."/>
      <w:numFmt w:val="decimal"/>
      <w:start w:val="2"/>
    </w:lvl>
  </w:abstractNum>
  <w:abstractNum w:abstractNumId="64">
    <w:nsid w:val="4AD084E9"/>
    <w:multiLevelType w:val="hybridMultilevel"/>
    <w:lvl w:ilvl="0">
      <w:lvlJc w:val="left"/>
      <w:lvlText w:val="(%1)"/>
      <w:numFmt w:val="decimal"/>
      <w:start w:val="228"/>
    </w:lvl>
    <w:lvl w:ilvl="1">
      <w:lvlJc w:val="left"/>
      <w:lvlText w:val="%2."/>
      <w:numFmt w:val="decimal"/>
      <w:start w:val="4"/>
    </w:lvl>
  </w:abstractNum>
  <w:abstractNum w:abstractNumId="65">
    <w:nsid w:val="1F48EAA1"/>
    <w:multiLevelType w:val="hybridMultilevel"/>
    <w:lvl w:ilvl="0">
      <w:lvlJc w:val="left"/>
      <w:lvlText w:val="%1."/>
      <w:numFmt w:val="decimal"/>
      <w:start w:val="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58" Type="http://schemas.openxmlformats.org/officeDocument/2006/relationships/image" Target="media/image203.png"/><Relationship Id="rId259" Type="http://schemas.openxmlformats.org/officeDocument/2006/relationships/image" Target="media/image204.png"/><Relationship Id="rId260" Type="http://schemas.openxmlformats.org/officeDocument/2006/relationships/image" Target="media/image205.png"/><Relationship Id="rId261" Type="http://schemas.openxmlformats.org/officeDocument/2006/relationships/image" Target="media/image206.png"/><Relationship Id="rId262" Type="http://schemas.openxmlformats.org/officeDocument/2006/relationships/image" Target="media/image207.png"/><Relationship Id="rId263" Type="http://schemas.openxmlformats.org/officeDocument/2006/relationships/image" Target="media/image208.png"/><Relationship Id="rId264" Type="http://schemas.openxmlformats.org/officeDocument/2006/relationships/image" Target="media/image209.png"/><Relationship Id="rId265" Type="http://schemas.openxmlformats.org/officeDocument/2006/relationships/image" Target="media/image210.png"/><Relationship Id="rId266" Type="http://schemas.openxmlformats.org/officeDocument/2006/relationships/image" Target="media/image211.png"/><Relationship Id="rId267" Type="http://schemas.openxmlformats.org/officeDocument/2006/relationships/image" Target="media/image212.png"/><Relationship Id="rId268" Type="http://schemas.openxmlformats.org/officeDocument/2006/relationships/image" Target="media/image213.png"/><Relationship Id="rId269" Type="http://schemas.openxmlformats.org/officeDocument/2006/relationships/image" Target="media/image214.png"/><Relationship Id="rId270" Type="http://schemas.openxmlformats.org/officeDocument/2006/relationships/image" Target="media/image215.png"/><Relationship Id="rId271" Type="http://schemas.openxmlformats.org/officeDocument/2006/relationships/image" Target="media/image216.png"/><Relationship Id="rId272" Type="http://schemas.openxmlformats.org/officeDocument/2006/relationships/image" Target="media/image217.png"/><Relationship Id="rId273" Type="http://schemas.openxmlformats.org/officeDocument/2006/relationships/image" Target="media/image218.png"/><Relationship Id="rId274" Type="http://schemas.openxmlformats.org/officeDocument/2006/relationships/image" Target="media/image219.png"/><Relationship Id="rId275" Type="http://schemas.openxmlformats.org/officeDocument/2006/relationships/image" Target="media/image220.png"/><Relationship Id="rId276" Type="http://schemas.openxmlformats.org/officeDocument/2006/relationships/image" Target="media/image221.png"/><Relationship Id="rId277" Type="http://schemas.openxmlformats.org/officeDocument/2006/relationships/image" Target="media/image222.png"/><Relationship Id="rId278" Type="http://schemas.openxmlformats.org/officeDocument/2006/relationships/image" Target="media/image223.png"/><Relationship Id="rId279" Type="http://schemas.openxmlformats.org/officeDocument/2006/relationships/image" Target="media/image224.png"/><Relationship Id="rId280" Type="http://schemas.openxmlformats.org/officeDocument/2006/relationships/image" Target="media/image225.png"/><Relationship Id="rId281" Type="http://schemas.openxmlformats.org/officeDocument/2006/relationships/image" Target="media/image226.png"/><Relationship Id="rId282" Type="http://schemas.openxmlformats.org/officeDocument/2006/relationships/image" Target="media/image227.png"/><Relationship Id="rId283" Type="http://schemas.openxmlformats.org/officeDocument/2006/relationships/image" Target="media/image228.png"/><Relationship Id="rId284" Type="http://schemas.openxmlformats.org/officeDocument/2006/relationships/image" Target="media/image229.png"/><Relationship Id="rId285" Type="http://schemas.openxmlformats.org/officeDocument/2006/relationships/image" Target="media/image230.png"/><Relationship Id="rId286" Type="http://schemas.openxmlformats.org/officeDocument/2006/relationships/image" Target="media/image231.png"/><Relationship Id="rId287" Type="http://schemas.openxmlformats.org/officeDocument/2006/relationships/image" Target="media/image232.png"/><Relationship Id="rId288" Type="http://schemas.openxmlformats.org/officeDocument/2006/relationships/image" Target="media/image233.png"/><Relationship Id="rId289" Type="http://schemas.openxmlformats.org/officeDocument/2006/relationships/image" Target="media/image234.png"/><Relationship Id="rId290" Type="http://schemas.openxmlformats.org/officeDocument/2006/relationships/image" Target="media/image235.png"/><Relationship Id="rId291" Type="http://schemas.openxmlformats.org/officeDocument/2006/relationships/image" Target="media/image236.png"/><Relationship Id="rId292" Type="http://schemas.openxmlformats.org/officeDocument/2006/relationships/image" Target="media/image237.png"/><Relationship Id="rId293" Type="http://schemas.openxmlformats.org/officeDocument/2006/relationships/image" Target="media/image238.png"/><Relationship Id="rId294" Type="http://schemas.openxmlformats.org/officeDocument/2006/relationships/image" Target="media/image239.png"/><Relationship Id="rId295" Type="http://schemas.openxmlformats.org/officeDocument/2006/relationships/image" Target="media/image240.png"/><Relationship Id="rId296" Type="http://schemas.openxmlformats.org/officeDocument/2006/relationships/image" Target="media/image241.png"/><Relationship Id="rId297" Type="http://schemas.openxmlformats.org/officeDocument/2006/relationships/image" Target="media/image242.png"/><Relationship Id="rId298" Type="http://schemas.openxmlformats.org/officeDocument/2006/relationships/image" Target="media/image243.png"/><Relationship Id="rId299" Type="http://schemas.openxmlformats.org/officeDocument/2006/relationships/image" Target="media/image244.png"/><Relationship Id="rId300" Type="http://schemas.openxmlformats.org/officeDocument/2006/relationships/image" Target="media/image245.png"/><Relationship Id="rId301" Type="http://schemas.openxmlformats.org/officeDocument/2006/relationships/image" Target="media/image246.png"/><Relationship Id="rId302" Type="http://schemas.openxmlformats.org/officeDocument/2006/relationships/image" Target="media/image247.png"/><Relationship Id="rId303" Type="http://schemas.openxmlformats.org/officeDocument/2006/relationships/image" Target="media/image248.png"/><Relationship Id="rId304" Type="http://schemas.openxmlformats.org/officeDocument/2006/relationships/image" Target="media/image249.png"/><Relationship Id="rId305" Type="http://schemas.openxmlformats.org/officeDocument/2006/relationships/image" Target="media/image250.png"/><Relationship Id="rId306" Type="http://schemas.openxmlformats.org/officeDocument/2006/relationships/image" Target="media/image251.png"/><Relationship Id="rId307" Type="http://schemas.openxmlformats.org/officeDocument/2006/relationships/image" Target="media/image252.png"/><Relationship Id="rId308" Type="http://schemas.openxmlformats.org/officeDocument/2006/relationships/image" Target="media/image253.png"/><Relationship Id="rId309" Type="http://schemas.openxmlformats.org/officeDocument/2006/relationships/image" Target="media/image254.png"/><Relationship Id="rId310" Type="http://schemas.openxmlformats.org/officeDocument/2006/relationships/image" Target="media/image255.png"/><Relationship Id="rId311" Type="http://schemas.openxmlformats.org/officeDocument/2006/relationships/image" Target="media/image256.png"/><Relationship Id="rId312" Type="http://schemas.openxmlformats.org/officeDocument/2006/relationships/image" Target="media/image257.png"/><Relationship Id="rId313" Type="http://schemas.openxmlformats.org/officeDocument/2006/relationships/image" Target="media/image258.png"/><Relationship Id="rId314" Type="http://schemas.openxmlformats.org/officeDocument/2006/relationships/image" Target="media/image259.png"/><Relationship Id="rId315" Type="http://schemas.openxmlformats.org/officeDocument/2006/relationships/image" Target="media/image260.png"/><Relationship Id="rId316" Type="http://schemas.openxmlformats.org/officeDocument/2006/relationships/image" Target="media/image261.png"/><Relationship Id="rId317" Type="http://schemas.openxmlformats.org/officeDocument/2006/relationships/image" Target="media/image262.png"/><Relationship Id="rId318" Type="http://schemas.openxmlformats.org/officeDocument/2006/relationships/image" Target="media/image263.png"/><Relationship Id="rId319" Type="http://schemas.openxmlformats.org/officeDocument/2006/relationships/image" Target="media/image264.png"/><Relationship Id="rId320" Type="http://schemas.openxmlformats.org/officeDocument/2006/relationships/image" Target="media/image265.png"/><Relationship Id="rId321" Type="http://schemas.openxmlformats.org/officeDocument/2006/relationships/image" Target="media/image266.png"/><Relationship Id="rId322" Type="http://schemas.openxmlformats.org/officeDocument/2006/relationships/image" Target="media/image267.png"/><Relationship Id="rId323" Type="http://schemas.openxmlformats.org/officeDocument/2006/relationships/image" Target="media/image268.png"/><Relationship Id="rId324" Type="http://schemas.openxmlformats.org/officeDocument/2006/relationships/image" Target="media/image269.png"/><Relationship Id="rId325" Type="http://schemas.openxmlformats.org/officeDocument/2006/relationships/image" Target="media/image270.png"/><Relationship Id="rId326" Type="http://schemas.openxmlformats.org/officeDocument/2006/relationships/image" Target="media/image271.png"/><Relationship Id="rId327" Type="http://schemas.openxmlformats.org/officeDocument/2006/relationships/image" Target="media/image272.png"/><Relationship Id="rId328" Type="http://schemas.openxmlformats.org/officeDocument/2006/relationships/image" Target="media/image273.png"/><Relationship Id="rId329" Type="http://schemas.openxmlformats.org/officeDocument/2006/relationships/image" Target="media/image274.png"/><Relationship Id="rId330" Type="http://schemas.openxmlformats.org/officeDocument/2006/relationships/image" Target="media/image275.png"/><Relationship Id="rId331" Type="http://schemas.openxmlformats.org/officeDocument/2006/relationships/image" Target="media/image276.png"/><Relationship Id="rId332" Type="http://schemas.openxmlformats.org/officeDocument/2006/relationships/image" Target="media/image277.png"/><Relationship Id="rId333" Type="http://schemas.openxmlformats.org/officeDocument/2006/relationships/image" Target="media/image278.png"/><Relationship Id="rId334" Type="http://schemas.openxmlformats.org/officeDocument/2006/relationships/image" Target="media/image279.png"/><Relationship Id="rId335" Type="http://schemas.openxmlformats.org/officeDocument/2006/relationships/image" Target="media/image280.png"/><Relationship Id="rId336" Type="http://schemas.openxmlformats.org/officeDocument/2006/relationships/image" Target="media/image281.png"/><Relationship Id="rId337" Type="http://schemas.openxmlformats.org/officeDocument/2006/relationships/image" Target="media/image282.png"/><Relationship Id="rId338" Type="http://schemas.openxmlformats.org/officeDocument/2006/relationships/image" Target="media/image283.png"/><Relationship Id="rId339" Type="http://schemas.openxmlformats.org/officeDocument/2006/relationships/image" Target="media/image284.png"/><Relationship Id="rId340" Type="http://schemas.openxmlformats.org/officeDocument/2006/relationships/image" Target="media/image285.png"/><Relationship Id="rId341" Type="http://schemas.openxmlformats.org/officeDocument/2006/relationships/image" Target="media/image286.png"/><Relationship Id="rId342" Type="http://schemas.openxmlformats.org/officeDocument/2006/relationships/image" Target="media/image287.png"/><Relationship Id="rId343" Type="http://schemas.openxmlformats.org/officeDocument/2006/relationships/image" Target="media/image288.png"/><Relationship Id="rId344" Type="http://schemas.openxmlformats.org/officeDocument/2006/relationships/image" Target="media/image289.png"/><Relationship Id="rId345" Type="http://schemas.openxmlformats.org/officeDocument/2006/relationships/image" Target="media/image290.png"/><Relationship Id="rId346" Type="http://schemas.openxmlformats.org/officeDocument/2006/relationships/image" Target="media/image291.png"/><Relationship Id="rId347" Type="http://schemas.openxmlformats.org/officeDocument/2006/relationships/image" Target="media/image292.png"/><Relationship Id="rId348" Type="http://schemas.openxmlformats.org/officeDocument/2006/relationships/image" Target="media/image293.png"/><Relationship Id="rId349" Type="http://schemas.openxmlformats.org/officeDocument/2006/relationships/image" Target="media/image294.png"/><Relationship Id="rId350" Type="http://schemas.openxmlformats.org/officeDocument/2006/relationships/image" Target="media/image295.png"/><Relationship Id="rId351" Type="http://schemas.openxmlformats.org/officeDocument/2006/relationships/image" Target="media/image296.png"/><Relationship Id="rId352" Type="http://schemas.openxmlformats.org/officeDocument/2006/relationships/image" Target="media/image297.png"/><Relationship Id="rId353" Type="http://schemas.openxmlformats.org/officeDocument/2006/relationships/image" Target="media/image298.png"/><Relationship Id="rId354" Type="http://schemas.openxmlformats.org/officeDocument/2006/relationships/image" Target="media/image299.png"/><Relationship Id="rId355" Type="http://schemas.openxmlformats.org/officeDocument/2006/relationships/image" Target="media/image300.png"/><Relationship Id="rId356" Type="http://schemas.openxmlformats.org/officeDocument/2006/relationships/image" Target="media/image301.png"/><Relationship Id="rId357" Type="http://schemas.openxmlformats.org/officeDocument/2006/relationships/image" Target="media/image302.png"/><Relationship Id="rId358" Type="http://schemas.openxmlformats.org/officeDocument/2006/relationships/image" Target="media/image303.png"/><Relationship Id="rId359" Type="http://schemas.openxmlformats.org/officeDocument/2006/relationships/image" Target="media/image304.png"/><Relationship Id="rId360" Type="http://schemas.openxmlformats.org/officeDocument/2006/relationships/image" Target="media/image305.png"/><Relationship Id="rId361" Type="http://schemas.openxmlformats.org/officeDocument/2006/relationships/image" Target="media/image306.png"/><Relationship Id="rId362" Type="http://schemas.openxmlformats.org/officeDocument/2006/relationships/image" Target="media/image307.png"/><Relationship Id="rId363" Type="http://schemas.openxmlformats.org/officeDocument/2006/relationships/image" Target="media/image308.png"/><Relationship Id="rId364" Type="http://schemas.openxmlformats.org/officeDocument/2006/relationships/image" Target="media/image309.png"/><Relationship Id="rId365" Type="http://schemas.openxmlformats.org/officeDocument/2006/relationships/image" Target="media/image310.png"/><Relationship Id="rId366" Type="http://schemas.openxmlformats.org/officeDocument/2006/relationships/image" Target="media/image311.png"/><Relationship Id="rId367" Type="http://schemas.openxmlformats.org/officeDocument/2006/relationships/image" Target="media/image312.png"/><Relationship Id="rId368" Type="http://schemas.openxmlformats.org/officeDocument/2006/relationships/image" Target="media/image313.png"/><Relationship Id="rId369" Type="http://schemas.openxmlformats.org/officeDocument/2006/relationships/image" Target="media/image314.png"/><Relationship Id="rId370" Type="http://schemas.openxmlformats.org/officeDocument/2006/relationships/image" Target="media/image315.png"/><Relationship Id="rId371" Type="http://schemas.openxmlformats.org/officeDocument/2006/relationships/image" Target="media/image316.png"/><Relationship Id="rId372" Type="http://schemas.openxmlformats.org/officeDocument/2006/relationships/image" Target="media/image317.png"/><Relationship Id="rId373" Type="http://schemas.openxmlformats.org/officeDocument/2006/relationships/image" Target="media/image318.png"/><Relationship Id="rId374" Type="http://schemas.openxmlformats.org/officeDocument/2006/relationships/image" Target="media/image319.png"/><Relationship Id="rId375" Type="http://schemas.openxmlformats.org/officeDocument/2006/relationships/image" Target="media/image320.png"/><Relationship Id="rId376" Type="http://schemas.openxmlformats.org/officeDocument/2006/relationships/image" Target="media/image321.png"/><Relationship Id="rId377" Type="http://schemas.openxmlformats.org/officeDocument/2006/relationships/image" Target="media/image322.png"/><Relationship Id="rId378" Type="http://schemas.openxmlformats.org/officeDocument/2006/relationships/image" Target="media/image323.png"/><Relationship Id="rId379" Type="http://schemas.openxmlformats.org/officeDocument/2006/relationships/image" Target="media/image324.png"/><Relationship Id="rId380" Type="http://schemas.openxmlformats.org/officeDocument/2006/relationships/image" Target="media/image325.png"/><Relationship Id="rId381" Type="http://schemas.openxmlformats.org/officeDocument/2006/relationships/image" Target="media/image326.png"/><Relationship Id="rId382" Type="http://schemas.openxmlformats.org/officeDocument/2006/relationships/image" Target="media/image327.png"/><Relationship Id="rId383" Type="http://schemas.openxmlformats.org/officeDocument/2006/relationships/image" Target="media/image328.png"/><Relationship Id="rId384" Type="http://schemas.openxmlformats.org/officeDocument/2006/relationships/image" Target="media/image329.png"/><Relationship Id="rId385" Type="http://schemas.openxmlformats.org/officeDocument/2006/relationships/image" Target="media/image330.png"/><Relationship Id="rId386" Type="http://schemas.openxmlformats.org/officeDocument/2006/relationships/image" Target="media/image331.png"/><Relationship Id="rId387" Type="http://schemas.openxmlformats.org/officeDocument/2006/relationships/image" Target="media/image332.png"/><Relationship Id="rId388" Type="http://schemas.openxmlformats.org/officeDocument/2006/relationships/image" Target="media/image333.png"/><Relationship Id="rId389" Type="http://schemas.openxmlformats.org/officeDocument/2006/relationships/image" Target="media/image334.png"/><Relationship Id="rId390" Type="http://schemas.openxmlformats.org/officeDocument/2006/relationships/image" Target="media/image335.png"/><Relationship Id="rId391" Type="http://schemas.openxmlformats.org/officeDocument/2006/relationships/image" Target="media/image336.png"/><Relationship Id="rId392" Type="http://schemas.openxmlformats.org/officeDocument/2006/relationships/image" Target="media/image337.png"/><Relationship Id="rId393" Type="http://schemas.openxmlformats.org/officeDocument/2006/relationships/image" Target="media/image338.png"/><Relationship Id="rId394" Type="http://schemas.openxmlformats.org/officeDocument/2006/relationships/image" Target="media/image339.png"/><Relationship Id="rId395" Type="http://schemas.openxmlformats.org/officeDocument/2006/relationships/image" Target="media/image340.png"/><Relationship Id="rId396" Type="http://schemas.openxmlformats.org/officeDocument/2006/relationships/image" Target="media/image341.png"/><Relationship Id="rId397" Type="http://schemas.openxmlformats.org/officeDocument/2006/relationships/image" Target="media/image342.png"/><Relationship Id="rId398" Type="http://schemas.openxmlformats.org/officeDocument/2006/relationships/image" Target="media/image343.png"/><Relationship Id="rId399" Type="http://schemas.openxmlformats.org/officeDocument/2006/relationships/image" Target="media/image344.png"/><Relationship Id="rId400" Type="http://schemas.openxmlformats.org/officeDocument/2006/relationships/image" Target="media/image345.png"/><Relationship Id="rId401" Type="http://schemas.openxmlformats.org/officeDocument/2006/relationships/image" Target="media/image346.png"/><Relationship Id="rId402" Type="http://schemas.openxmlformats.org/officeDocument/2006/relationships/image" Target="media/image347.png"/><Relationship Id="rId403" Type="http://schemas.openxmlformats.org/officeDocument/2006/relationships/image" Target="media/image348.png"/><Relationship Id="rId404" Type="http://schemas.openxmlformats.org/officeDocument/2006/relationships/image" Target="media/image349.png"/><Relationship Id="rId405" Type="http://schemas.openxmlformats.org/officeDocument/2006/relationships/image" Target="media/image350.png"/><Relationship Id="rId406" Type="http://schemas.openxmlformats.org/officeDocument/2006/relationships/image" Target="media/image351.png"/><Relationship Id="rId407" Type="http://schemas.openxmlformats.org/officeDocument/2006/relationships/image" Target="media/image352.png"/><Relationship Id="rId408" Type="http://schemas.openxmlformats.org/officeDocument/2006/relationships/image" Target="media/image353.png"/><Relationship Id="rId409" Type="http://schemas.openxmlformats.org/officeDocument/2006/relationships/image" Target="media/image354.png"/><Relationship Id="rId410" Type="http://schemas.openxmlformats.org/officeDocument/2006/relationships/image" Target="media/image355.png"/><Relationship Id="rId411" Type="http://schemas.openxmlformats.org/officeDocument/2006/relationships/image" Target="media/image356.png"/><Relationship Id="rId412" Type="http://schemas.openxmlformats.org/officeDocument/2006/relationships/image" Target="media/image357.png"/><Relationship Id="rId413" Type="http://schemas.openxmlformats.org/officeDocument/2006/relationships/image" Target="media/image358.png"/><Relationship Id="rId414" Type="http://schemas.openxmlformats.org/officeDocument/2006/relationships/image" Target="media/image359.png"/><Relationship Id="rId415" Type="http://schemas.openxmlformats.org/officeDocument/2006/relationships/image" Target="media/image360.png"/><Relationship Id="rId416" Type="http://schemas.openxmlformats.org/officeDocument/2006/relationships/image" Target="media/image361.png"/><Relationship Id="rId417" Type="http://schemas.openxmlformats.org/officeDocument/2006/relationships/image" Target="media/image362.png"/><Relationship Id="rId418" Type="http://schemas.openxmlformats.org/officeDocument/2006/relationships/image" Target="media/image363.png"/><Relationship Id="rId419" Type="http://schemas.openxmlformats.org/officeDocument/2006/relationships/image" Target="media/image364.png"/><Relationship Id="rId420" Type="http://schemas.openxmlformats.org/officeDocument/2006/relationships/image" Target="media/image365.png"/><Relationship Id="rId421" Type="http://schemas.openxmlformats.org/officeDocument/2006/relationships/image" Target="media/image366.png"/><Relationship Id="rId422" Type="http://schemas.openxmlformats.org/officeDocument/2006/relationships/image" Target="media/image367.png"/><Relationship Id="rId423" Type="http://schemas.openxmlformats.org/officeDocument/2006/relationships/image" Target="media/image368.png"/><Relationship Id="rId424" Type="http://schemas.openxmlformats.org/officeDocument/2006/relationships/image" Target="media/image369.png"/><Relationship Id="rId425" Type="http://schemas.openxmlformats.org/officeDocument/2006/relationships/image" Target="media/image370.png"/><Relationship Id="rId426" Type="http://schemas.openxmlformats.org/officeDocument/2006/relationships/image" Target="media/image371.png"/><Relationship Id="rId427" Type="http://schemas.openxmlformats.org/officeDocument/2006/relationships/image" Target="media/image372.png"/><Relationship Id="rId428" Type="http://schemas.openxmlformats.org/officeDocument/2006/relationships/image" Target="media/image373.png"/><Relationship Id="rId429" Type="http://schemas.openxmlformats.org/officeDocument/2006/relationships/image" Target="media/image374.png"/><Relationship Id="rId430" Type="http://schemas.openxmlformats.org/officeDocument/2006/relationships/image" Target="media/image375.png"/><Relationship Id="rId431" Type="http://schemas.openxmlformats.org/officeDocument/2006/relationships/image" Target="media/image376.png"/><Relationship Id="rId432" Type="http://schemas.openxmlformats.org/officeDocument/2006/relationships/image" Target="media/image377.png"/><Relationship Id="rId433" Type="http://schemas.openxmlformats.org/officeDocument/2006/relationships/image" Target="media/image378.png"/><Relationship Id="rId434" Type="http://schemas.openxmlformats.org/officeDocument/2006/relationships/image" Target="media/image379.png"/><Relationship Id="rId435" Type="http://schemas.openxmlformats.org/officeDocument/2006/relationships/image" Target="media/image380.png"/><Relationship Id="rId436" Type="http://schemas.openxmlformats.org/officeDocument/2006/relationships/image" Target="media/image381.png"/><Relationship Id="rId437" Type="http://schemas.openxmlformats.org/officeDocument/2006/relationships/image" Target="media/image382.png"/><Relationship Id="rId438" Type="http://schemas.openxmlformats.org/officeDocument/2006/relationships/image" Target="media/image383.png"/><Relationship Id="rId439" Type="http://schemas.openxmlformats.org/officeDocument/2006/relationships/image" Target="media/image384.png"/><Relationship Id="rId440" Type="http://schemas.openxmlformats.org/officeDocument/2006/relationships/image" Target="media/image385.png"/><Relationship Id="rId441" Type="http://schemas.openxmlformats.org/officeDocument/2006/relationships/image" Target="media/image386.png"/><Relationship Id="rId442" Type="http://schemas.openxmlformats.org/officeDocument/2006/relationships/image" Target="media/image387.png"/><Relationship Id="rId443" Type="http://schemas.openxmlformats.org/officeDocument/2006/relationships/image" Target="media/image388.png"/><Relationship Id="rId444" Type="http://schemas.openxmlformats.org/officeDocument/2006/relationships/image" Target="media/image389.png"/><Relationship Id="rId445" Type="http://schemas.openxmlformats.org/officeDocument/2006/relationships/image" Target="media/image390.png"/><Relationship Id="rId446" Type="http://schemas.openxmlformats.org/officeDocument/2006/relationships/image" Target="media/image391.png"/><Relationship Id="rId447" Type="http://schemas.openxmlformats.org/officeDocument/2006/relationships/image" Target="media/image392.png"/><Relationship Id="rId448" Type="http://schemas.openxmlformats.org/officeDocument/2006/relationships/image" Target="media/image393.png"/><Relationship Id="rId449" Type="http://schemas.openxmlformats.org/officeDocument/2006/relationships/image" Target="media/image394.png"/><Relationship Id="rId450" Type="http://schemas.openxmlformats.org/officeDocument/2006/relationships/image" Target="media/image395.png"/><Relationship Id="rId451" Type="http://schemas.openxmlformats.org/officeDocument/2006/relationships/image" Target="media/image396.png"/><Relationship Id="rId452" Type="http://schemas.openxmlformats.org/officeDocument/2006/relationships/image" Target="media/image397.png"/><Relationship Id="rId453" Type="http://schemas.openxmlformats.org/officeDocument/2006/relationships/image" Target="media/image398.png"/><Relationship Id="rId454" Type="http://schemas.openxmlformats.org/officeDocument/2006/relationships/image" Target="media/image399.png"/><Relationship Id="rId455" Type="http://schemas.openxmlformats.org/officeDocument/2006/relationships/image" Target="media/image400.png"/><Relationship Id="rId456" Type="http://schemas.openxmlformats.org/officeDocument/2006/relationships/image" Target="media/image401.png"/><Relationship Id="rId457" Type="http://schemas.openxmlformats.org/officeDocument/2006/relationships/image" Target="media/image402.png"/><Relationship Id="rId458" Type="http://schemas.openxmlformats.org/officeDocument/2006/relationships/image" Target="media/image403.png"/><Relationship Id="rId459" Type="http://schemas.openxmlformats.org/officeDocument/2006/relationships/image" Target="media/image404.png"/><Relationship Id="rId460" Type="http://schemas.openxmlformats.org/officeDocument/2006/relationships/image" Target="media/image405.png"/><Relationship Id="rId461" Type="http://schemas.openxmlformats.org/officeDocument/2006/relationships/image" Target="media/image406.png"/><Relationship Id="rId462" Type="http://schemas.openxmlformats.org/officeDocument/2006/relationships/image" Target="media/image407.png"/><Relationship Id="rId463" Type="http://schemas.openxmlformats.org/officeDocument/2006/relationships/image" Target="media/image408.png"/><Relationship Id="rId464" Type="http://schemas.openxmlformats.org/officeDocument/2006/relationships/image" Target="media/image409.png"/><Relationship Id="rId465" Type="http://schemas.openxmlformats.org/officeDocument/2006/relationships/image" Target="media/image410.png"/><Relationship Id="rId466" Type="http://schemas.openxmlformats.org/officeDocument/2006/relationships/image" Target="media/image411.png"/><Relationship Id="rId467" Type="http://schemas.openxmlformats.org/officeDocument/2006/relationships/image" Target="media/image412.png"/><Relationship Id="rId468" Type="http://schemas.openxmlformats.org/officeDocument/2006/relationships/image" Target="media/image413.png"/><Relationship Id="rId469" Type="http://schemas.openxmlformats.org/officeDocument/2006/relationships/image" Target="media/image414.png"/><Relationship Id="rId470" Type="http://schemas.openxmlformats.org/officeDocument/2006/relationships/image" Target="media/image415.png"/><Relationship Id="rId471" Type="http://schemas.openxmlformats.org/officeDocument/2006/relationships/image" Target="media/image416.png"/><Relationship Id="rId472" Type="http://schemas.openxmlformats.org/officeDocument/2006/relationships/image" Target="media/image417.png"/><Relationship Id="rId473" Type="http://schemas.openxmlformats.org/officeDocument/2006/relationships/image" Target="media/image418.png"/><Relationship Id="rId474" Type="http://schemas.openxmlformats.org/officeDocument/2006/relationships/image" Target="media/image419.png"/><Relationship Id="rId475" Type="http://schemas.openxmlformats.org/officeDocument/2006/relationships/image" Target="media/image420.png"/><Relationship Id="rId476" Type="http://schemas.openxmlformats.org/officeDocument/2006/relationships/image" Target="media/image421.png"/><Relationship Id="rId477" Type="http://schemas.openxmlformats.org/officeDocument/2006/relationships/image" Target="media/image422.png"/><Relationship Id="rId478" Type="http://schemas.openxmlformats.org/officeDocument/2006/relationships/image" Target="media/image423.png"/><Relationship Id="rId479" Type="http://schemas.openxmlformats.org/officeDocument/2006/relationships/image" Target="media/image424.png"/><Relationship Id="rId480" Type="http://schemas.openxmlformats.org/officeDocument/2006/relationships/image" Target="media/image425.png"/><Relationship Id="rId481" Type="http://schemas.openxmlformats.org/officeDocument/2006/relationships/image" Target="media/image426.png"/><Relationship Id="rId482" Type="http://schemas.openxmlformats.org/officeDocument/2006/relationships/image" Target="media/image427.png"/><Relationship Id="rId483" Type="http://schemas.openxmlformats.org/officeDocument/2006/relationships/image" Target="media/image428.png"/><Relationship Id="rId484" Type="http://schemas.openxmlformats.org/officeDocument/2006/relationships/image" Target="media/image429.png"/><Relationship Id="rId485" Type="http://schemas.openxmlformats.org/officeDocument/2006/relationships/image" Target="media/image430.png"/><Relationship Id="rId486" Type="http://schemas.openxmlformats.org/officeDocument/2006/relationships/image" Target="media/image431.png"/><Relationship Id="rId487" Type="http://schemas.openxmlformats.org/officeDocument/2006/relationships/image" Target="media/image432.png"/><Relationship Id="rId488" Type="http://schemas.openxmlformats.org/officeDocument/2006/relationships/image" Target="media/image433.png"/><Relationship Id="rId489" Type="http://schemas.openxmlformats.org/officeDocument/2006/relationships/image" Target="media/image434.png"/><Relationship Id="rId490" Type="http://schemas.openxmlformats.org/officeDocument/2006/relationships/image" Target="media/image435.png"/><Relationship Id="rId491" Type="http://schemas.openxmlformats.org/officeDocument/2006/relationships/image" Target="media/image436.png"/><Relationship Id="rId492" Type="http://schemas.openxmlformats.org/officeDocument/2006/relationships/image" Target="media/image437.png"/><Relationship Id="rId493" Type="http://schemas.openxmlformats.org/officeDocument/2006/relationships/image" Target="media/image438.png"/><Relationship Id="rId494" Type="http://schemas.openxmlformats.org/officeDocument/2006/relationships/image" Target="media/image439.png"/><Relationship Id="rId495" Type="http://schemas.openxmlformats.org/officeDocument/2006/relationships/image" Target="media/image440.png"/><Relationship Id="rId496" Type="http://schemas.openxmlformats.org/officeDocument/2006/relationships/image" Target="media/image441.png"/><Relationship Id="rId497" Type="http://schemas.openxmlformats.org/officeDocument/2006/relationships/image" Target="media/image442.png"/><Relationship Id="rId498" Type="http://schemas.openxmlformats.org/officeDocument/2006/relationships/image" Target="media/image443.png"/><Relationship Id="rId499" Type="http://schemas.openxmlformats.org/officeDocument/2006/relationships/image" Target="media/image444.png"/><Relationship Id="rId500" Type="http://schemas.openxmlformats.org/officeDocument/2006/relationships/image" Target="media/image445.png"/><Relationship Id="rId501" Type="http://schemas.openxmlformats.org/officeDocument/2006/relationships/image" Target="media/image446.png"/><Relationship Id="rId502" Type="http://schemas.openxmlformats.org/officeDocument/2006/relationships/image" Target="media/image447.png"/><Relationship Id="rId503" Type="http://schemas.openxmlformats.org/officeDocument/2006/relationships/image" Target="media/image448.png"/><Relationship Id="rId504" Type="http://schemas.openxmlformats.org/officeDocument/2006/relationships/image" Target="media/image449.png"/><Relationship Id="rId505" Type="http://schemas.openxmlformats.org/officeDocument/2006/relationships/image" Target="media/image450.png"/><Relationship Id="rId506" Type="http://schemas.openxmlformats.org/officeDocument/2006/relationships/image" Target="media/image451.png"/><Relationship Id="rId507" Type="http://schemas.openxmlformats.org/officeDocument/2006/relationships/image" Target="media/image452.png"/><Relationship Id="rId508" Type="http://schemas.openxmlformats.org/officeDocument/2006/relationships/image" Target="media/image453.png"/><Relationship Id="rId509" Type="http://schemas.openxmlformats.org/officeDocument/2006/relationships/image" Target="media/image454.png"/><Relationship Id="rId510" Type="http://schemas.openxmlformats.org/officeDocument/2006/relationships/image" Target="media/image455.png"/><Relationship Id="rId511" Type="http://schemas.openxmlformats.org/officeDocument/2006/relationships/image" Target="media/image456.png"/><Relationship Id="rId512" Type="http://schemas.openxmlformats.org/officeDocument/2006/relationships/image" Target="media/image457.png"/><Relationship Id="rId513" Type="http://schemas.openxmlformats.org/officeDocument/2006/relationships/image" Target="media/image458.png"/><Relationship Id="rId514" Type="http://schemas.openxmlformats.org/officeDocument/2006/relationships/image" Target="media/image459.png"/><Relationship Id="rId515" Type="http://schemas.openxmlformats.org/officeDocument/2006/relationships/image" Target="media/image460.png"/><Relationship Id="rId516" Type="http://schemas.openxmlformats.org/officeDocument/2006/relationships/image" Target="media/image461.png"/><Relationship Id="rId517" Type="http://schemas.openxmlformats.org/officeDocument/2006/relationships/image" Target="media/image462.png"/><Relationship Id="rId518" Type="http://schemas.openxmlformats.org/officeDocument/2006/relationships/image" Target="media/image463.png"/><Relationship Id="rId519" Type="http://schemas.openxmlformats.org/officeDocument/2006/relationships/image" Target="media/image464.png"/><Relationship Id="rId520" Type="http://schemas.openxmlformats.org/officeDocument/2006/relationships/image" Target="media/image465.png"/><Relationship Id="rId521" Type="http://schemas.openxmlformats.org/officeDocument/2006/relationships/image" Target="media/image466.png"/><Relationship Id="rId522" Type="http://schemas.openxmlformats.org/officeDocument/2006/relationships/image" Target="media/image467.png"/><Relationship Id="rId523" Type="http://schemas.openxmlformats.org/officeDocument/2006/relationships/image" Target="media/image468.png"/><Relationship Id="rId524" Type="http://schemas.openxmlformats.org/officeDocument/2006/relationships/image" Target="media/image469.png"/><Relationship Id="rId525" Type="http://schemas.openxmlformats.org/officeDocument/2006/relationships/image" Target="media/image470.png"/><Relationship Id="rId526" Type="http://schemas.openxmlformats.org/officeDocument/2006/relationships/image" Target="media/image471.png"/><Relationship Id="rId527" Type="http://schemas.openxmlformats.org/officeDocument/2006/relationships/image" Target="media/image472.png"/><Relationship Id="rId528" Type="http://schemas.openxmlformats.org/officeDocument/2006/relationships/image" Target="media/image473.png"/><Relationship Id="rId529" Type="http://schemas.openxmlformats.org/officeDocument/2006/relationships/image" Target="media/image474.png"/><Relationship Id="rId530" Type="http://schemas.openxmlformats.org/officeDocument/2006/relationships/image" Target="media/image475.png"/><Relationship Id="rId531" Type="http://schemas.openxmlformats.org/officeDocument/2006/relationships/image" Target="media/image476.png"/><Relationship Id="rId532" Type="http://schemas.openxmlformats.org/officeDocument/2006/relationships/image" Target="media/image477.png"/><Relationship Id="rId533" Type="http://schemas.openxmlformats.org/officeDocument/2006/relationships/image" Target="media/image478.png"/><Relationship Id="rId534" Type="http://schemas.openxmlformats.org/officeDocument/2006/relationships/image" Target="media/image479.png"/><Relationship Id="rId535" Type="http://schemas.openxmlformats.org/officeDocument/2006/relationships/image" Target="media/image480.png"/><Relationship Id="rId536" Type="http://schemas.openxmlformats.org/officeDocument/2006/relationships/image" Target="media/image481.png"/><Relationship Id="rId537" Type="http://schemas.openxmlformats.org/officeDocument/2006/relationships/image" Target="media/image482.png"/><Relationship Id="rId538" Type="http://schemas.openxmlformats.org/officeDocument/2006/relationships/image" Target="media/image483.png"/><Relationship Id="rId539" Type="http://schemas.openxmlformats.org/officeDocument/2006/relationships/image" Target="media/image484.png"/><Relationship Id="rId540" Type="http://schemas.openxmlformats.org/officeDocument/2006/relationships/image" Target="media/image485.png"/><Relationship Id="rId541" Type="http://schemas.openxmlformats.org/officeDocument/2006/relationships/image" Target="media/image486.png"/><Relationship Id="rId542" Type="http://schemas.openxmlformats.org/officeDocument/2006/relationships/image" Target="media/image487.png"/><Relationship Id="rId543" Type="http://schemas.openxmlformats.org/officeDocument/2006/relationships/image" Target="media/image488.png"/><Relationship Id="rId544" Type="http://schemas.openxmlformats.org/officeDocument/2006/relationships/image" Target="media/image489.png"/><Relationship Id="rId545" Type="http://schemas.openxmlformats.org/officeDocument/2006/relationships/image" Target="media/image490.png"/><Relationship Id="rId546" Type="http://schemas.openxmlformats.org/officeDocument/2006/relationships/image" Target="media/image491.png"/><Relationship Id="rId547" Type="http://schemas.openxmlformats.org/officeDocument/2006/relationships/image" Target="media/image492.png"/><Relationship Id="rId548" Type="http://schemas.openxmlformats.org/officeDocument/2006/relationships/image" Target="media/image493.jpeg"/><Relationship Id="rId549" Type="http://schemas.openxmlformats.org/officeDocument/2006/relationships/image" Target="media/image494.png"/><Relationship Id="rId550" Type="http://schemas.openxmlformats.org/officeDocument/2006/relationships/image" Target="media/image495.png"/><Relationship Id="rId551" Type="http://schemas.openxmlformats.org/officeDocument/2006/relationships/image" Target="media/image496.png"/><Relationship Id="rId552" Type="http://schemas.openxmlformats.org/officeDocument/2006/relationships/image" Target="media/image497.png"/><Relationship Id="rId553" Type="http://schemas.openxmlformats.org/officeDocument/2006/relationships/image" Target="media/image498.png"/><Relationship Id="rId554" Type="http://schemas.openxmlformats.org/officeDocument/2006/relationships/image" Target="media/image499.png"/><Relationship Id="rId555" Type="http://schemas.openxmlformats.org/officeDocument/2006/relationships/image" Target="media/image500.png"/><Relationship Id="rId556" Type="http://schemas.openxmlformats.org/officeDocument/2006/relationships/image" Target="media/image501.png"/><Relationship Id="rId557" Type="http://schemas.openxmlformats.org/officeDocument/2006/relationships/image" Target="media/image502.png"/><Relationship Id="rId558" Type="http://schemas.openxmlformats.org/officeDocument/2006/relationships/image" Target="media/image503.png"/><Relationship Id="rId559" Type="http://schemas.openxmlformats.org/officeDocument/2006/relationships/image" Target="media/image504.png"/><Relationship Id="rId560" Type="http://schemas.openxmlformats.org/officeDocument/2006/relationships/image" Target="media/image505.png"/><Relationship Id="rId561" Type="http://schemas.openxmlformats.org/officeDocument/2006/relationships/image" Target="media/image506.png"/><Relationship Id="rId562" Type="http://schemas.openxmlformats.org/officeDocument/2006/relationships/image" Target="media/image507.png"/><Relationship Id="rId563" Type="http://schemas.openxmlformats.org/officeDocument/2006/relationships/image" Target="media/image508.png"/><Relationship Id="rId564" Type="http://schemas.openxmlformats.org/officeDocument/2006/relationships/image" Target="media/image509.png"/><Relationship Id="rId565" Type="http://schemas.openxmlformats.org/officeDocument/2006/relationships/image" Target="media/image510.png"/><Relationship Id="rId566" Type="http://schemas.openxmlformats.org/officeDocument/2006/relationships/image" Target="media/image511.png"/><Relationship Id="rId203" Type="http://schemas.openxmlformats.org/officeDocument/2006/relationships/hyperlink" Target="https://www.sec.gov/Archives/edgar/data/1674416/000156459021032800/crsp-ex31_6.htm" TargetMode="External"/><Relationship Id="rId204" Type="http://schemas.openxmlformats.org/officeDocument/2006/relationships/hyperlink" Target="https://www.sec.gov/Archives/edgar/data/0001674416/000119312516733213/d183927dex105.htm" TargetMode="External"/><Relationship Id="rId205" Type="http://schemas.openxmlformats.org/officeDocument/2006/relationships/hyperlink" Target="https://www.sec.gov/Archives/edgar/data/0001674416/000119312516733213/d183927dex106.htm" TargetMode="External"/><Relationship Id="rId206" Type="http://schemas.openxmlformats.org/officeDocument/2006/relationships/hyperlink" Target="https://www.sec.gov/Archives/edgar/data/0001674416/000119312516733213/d183927dex107.htm" TargetMode="External"/><Relationship Id="rId207" Type="http://schemas.openxmlformats.org/officeDocument/2006/relationships/hyperlink" Target="https://www.sec.gov/Archives/edgar/data/0001674416/000119312516733213/d183927dex108.htm" TargetMode="External"/><Relationship Id="rId208" Type="http://schemas.openxmlformats.org/officeDocument/2006/relationships/hyperlink" Target="https://www.sec.gov/Archives/edgar/data/0001674416/000119312517375580/d473912dex102.htm" TargetMode="External"/><Relationship Id="rId209" Type="http://schemas.openxmlformats.org/officeDocument/2006/relationships/hyperlink" Target="https://www.sec.gov/Archives/edgar/data/1674416/000119312519324924/d860203dex101.htm" TargetMode="External"/><Relationship Id="rId210" Type="http://schemas.openxmlformats.org/officeDocument/2006/relationships/hyperlink" Target="https://www.sec.gov/Archives/edgar/data/1674416/000119312519324924/d860203dex102.htm" TargetMode="External"/><Relationship Id="rId213" Type="http://schemas.openxmlformats.org/officeDocument/2006/relationships/hyperlink" Target="https://www.sec.gov/Archives/edgar/data/0001674416/000119312517300284/d406376dex101.htm" TargetMode="External"/><Relationship Id="rId214" Type="http://schemas.openxmlformats.org/officeDocument/2006/relationships/hyperlink" Target="https://www.sec.gov/Archives/edgar/data/1674416/000156459018004920/crsp-ex1016_540.htm" TargetMode="External"/><Relationship Id="rId215" Type="http://schemas.openxmlformats.org/officeDocument/2006/relationships/hyperlink" Target="https://www.sec.gov/Archives/edgar/data/1674416/000156459019004115/crsp-ex1016_355.htm" TargetMode="External"/><Relationship Id="rId216" Type="http://schemas.openxmlformats.org/officeDocument/2006/relationships/hyperlink" Target="https://www.sec.gov/Archives/edgar/data/1674416/000119312521298277/d212374dex101.htm" TargetMode="External"/><Relationship Id="rId217" Type="http://schemas.openxmlformats.org/officeDocument/2006/relationships/hyperlink" Target="https://www.sec.gov/Archives/edgar/data/1674416/000156459018004920/crsp-ex1026_549.htm" TargetMode="External"/><Relationship Id="rId218" Type="http://schemas.openxmlformats.org/officeDocument/2006/relationships/hyperlink" Target="https://www.sec.gov/Archives/edgar/data/0001674416/000119312516706569/d183927dex1014.htm" TargetMode="External"/><Relationship Id="rId219" Type="http://schemas.openxmlformats.org/officeDocument/2006/relationships/hyperlink" Target="https://www.sec.gov/Archives/edgar/data/0001674416/000119312517191981/d514417dex101.htm" TargetMode="External"/><Relationship Id="rId220" Type="http://schemas.openxmlformats.org/officeDocument/2006/relationships/hyperlink" Target="https://www.sec.gov/Archives/edgar/data/0001674416/000156459017022720/crsp-ex102_310.htm" TargetMode="External"/><Relationship Id="rId221" Type="http://schemas.openxmlformats.org/officeDocument/2006/relationships/hyperlink" Target="https://www.sec.gov/Archives/edgar/data/0001674416/000156459017022720/crsp-ex103_311.htm" TargetMode="External"/><Relationship Id="rId222" Type="http://schemas.openxmlformats.org/officeDocument/2006/relationships/hyperlink" Target="https://www.sec.gov/Archives/edgar/data/0001674416/000156459017022720/crsp-ex104_312.htm" TargetMode="External"/><Relationship Id="rId223" Type="http://schemas.openxmlformats.org/officeDocument/2006/relationships/hyperlink" Target="https://www.sec.gov/Archives/edgar/data/0001674416/000156459017022720/crsp-ex105_313.htm" TargetMode="External"/><Relationship Id="rId224" Type="http://schemas.openxmlformats.org/officeDocument/2006/relationships/hyperlink" Target="https://www.sec.gov/Archives/edgar/data/0001674416/000156459017022720/crsp-ex106_314.htm" TargetMode="External"/><Relationship Id="rId225" Type="http://schemas.openxmlformats.org/officeDocument/2006/relationships/hyperlink" Target="https://www.sec.gov/Archives/edgar/data/0001674416/000156459017022720/crsp-ex107_315.htm" TargetMode="External"/><Relationship Id="rId226" Type="http://schemas.openxmlformats.org/officeDocument/2006/relationships/hyperlink" Target="https://www.sec.gov/Archives/edgar/data/1674416/000119312518181742/d588659dex991.htm" TargetMode="External"/><Relationship Id="rId227" Type="http://schemas.openxmlformats.org/officeDocument/2006/relationships/hyperlink" Target="https://www.sec.gov/Archives/edgar/data/1674416/000119312518181742/d588659dex992.htm" TargetMode="External"/><Relationship Id="rId228" Type="http://schemas.openxmlformats.org/officeDocument/2006/relationships/hyperlink" Target="https://www.sec.gov/Archives/edgar/data/1674416/000119312518181742/d588659dex993.htm" TargetMode="External"/><Relationship Id="rId229" Type="http://schemas.openxmlformats.org/officeDocument/2006/relationships/hyperlink" Target="https://www.sec.gov/Archives/edgar/data/1674416/000119312518181742/d588659dex994.htm" TargetMode="External"/><Relationship Id="rId232" Type="http://schemas.openxmlformats.org/officeDocument/2006/relationships/hyperlink" Target="https://www.sec.gov/Archives/edgar/data/1674416/000119312518181742/d588659dex995.htm" TargetMode="External"/><Relationship Id="rId233" Type="http://schemas.openxmlformats.org/officeDocument/2006/relationships/hyperlink" Target="https://www.sec.gov/Archives/edgar/data/1674416/000119312518181742/d588659dex996.htm" TargetMode="External"/><Relationship Id="rId234" Type="http://schemas.openxmlformats.org/officeDocument/2006/relationships/hyperlink" Target="https://www.sec.gov/Archives/edgar/data/1674416/000119312518181742/d588659dex997.htm" TargetMode="External"/><Relationship Id="rId235" Type="http://schemas.openxmlformats.org/officeDocument/2006/relationships/hyperlink" Target="https://www.sec.gov/Archives/edgar/data/1674416/000119312519129267/d660374ddef14a.htm" TargetMode="External"/><Relationship Id="rId236" Type="http://schemas.openxmlformats.org/officeDocument/2006/relationships/hyperlink" Target="https://www.sec.gov/Archives/edgar/data/1674416/000156459020018495/crsp-def14a_20200611.htm" TargetMode="External"/><Relationship Id="rId237" Type="http://schemas.openxmlformats.org/officeDocument/2006/relationships/hyperlink" Target="https://www.sec.gov/Archives/edgar/data/0001674416/000119312516706569/d183927dex1016.htm" TargetMode="External"/><Relationship Id="rId238" Type="http://schemas.openxmlformats.org/officeDocument/2006/relationships/hyperlink" Target="https://www.sec.gov/Archives/edgar/data/0001674416/000119312516795948/d283294dex101.htm" TargetMode="External"/><Relationship Id="rId239" Type="http://schemas.openxmlformats.org/officeDocument/2006/relationships/hyperlink" Target="https://www.sec.gov/Archives/edgar/data/0001674416/000119312516733213/d183927dex104.htm" TargetMode="External"/><Relationship Id="rId240" Type="http://schemas.openxmlformats.org/officeDocument/2006/relationships/hyperlink" Target="https://www.sec.gov/Archives/edgar/data/0001674416/000119312517372224/d492785dex102.htm" TargetMode="External"/><Relationship Id="rId241" Type="http://schemas.openxmlformats.org/officeDocument/2006/relationships/hyperlink" Target="https://www.sec.gov/Archives/edgar/data/1674416/000156459019026600/crsp-ex101_284.htm" TargetMode="External"/><Relationship Id="rId242" Type="http://schemas.openxmlformats.org/officeDocument/2006/relationships/hyperlink" Target="https://www.sec.gov/Archives/edgar/data/1674416/000156459019026600/crsp-ex102_285.htm" TargetMode="External"/><Relationship Id="rId243" Type="http://schemas.openxmlformats.org/officeDocument/2006/relationships/hyperlink" Target="https://www.sec.gov/Archives/edgar/data/1674416/000156459021020902/crsp-ex103_11.htm" TargetMode="External"/><Relationship Id="rId244" Type="http://schemas.openxmlformats.org/officeDocument/2006/relationships/hyperlink" Target="https://www.sec.gov/Archives/edgar/data/1674416/000156459021020902/crsp-ex104_533.htm" TargetMode="External"/><Relationship Id="rId245" Type="http://schemas.openxmlformats.org/officeDocument/2006/relationships/hyperlink" Target="https://www.sec.gov/Archives/edgar/data/1674416/000156459020004355/crsp-ex1029_517.htm" TargetMode="External"/><Relationship Id="rId249" Type="http://schemas.openxmlformats.org/officeDocument/2006/relationships/hyperlink" Target="https://www.sec.gov/Archives/edgar/data/1674416/000156459020004355/crsp-ex1030_515.htm" TargetMode="External"/><Relationship Id="rId250" Type="http://schemas.openxmlformats.org/officeDocument/2006/relationships/hyperlink" Target="https://www.sec.gov/Archives/edgar/data/1674416/000156459020004355/crsp-ex1031_516.htm" TargetMode="External"/><Relationship Id="rId251" Type="http://schemas.openxmlformats.org/officeDocument/2006/relationships/hyperlink" Target="https://www.sec.gov/Archives/edgar/data/0001674416/000119312516706569/d183927dex1017.htm" TargetMode="External"/><Relationship Id="rId252" Type="http://schemas.openxmlformats.org/officeDocument/2006/relationships/hyperlink" Target="https://www.sec.gov/Archives/edgar/data/1674416/000156459020004355/crsp-ex1032_254.htm" TargetMode="External"/><Relationship Id="rId253" Type="http://schemas.openxmlformats.org/officeDocument/2006/relationships/hyperlink" Target="https://www.sec.gov/Archives/edgar/data/1674416/000156459021039178/crsp-ex102_184.htm" TargetMode="External"/><Relationship Id="rId254" Type="http://schemas.openxmlformats.org/officeDocument/2006/relationships/hyperlink" Target="https://www.sec.gov/Archives/edgar/data/1674416/000156459021020902/crsp-ex101_13.htm" TargetMode="External"/><Relationship Id="rId255" Type="http://schemas.openxmlformats.org/officeDocument/2006/relationships/hyperlink" Target="https://www.sec.gov/Archives/edgar/data/1674416/000156459021020902/crsp-ex102_12.htm" TargetMode="External"/><Relationship Id="rId256" Type="http://schemas.openxmlformats.org/officeDocument/2006/relationships/hyperlink" Target="https://www.sec.gov/Archives/edgar/data/1674416/000156459021039178/crsp-ex101_103.htm" TargetMode="External"/><Relationship Id="rId257" Type="http://schemas.openxmlformats.org/officeDocument/2006/relationships/hyperlink" Target="https://www.sec.gov/Archives/edgar/data/1674416/000156459020033602/crsp-ex101_2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2022-02-15T15:34:17Z</dcterms:created>
  <dcterms:modified xsi:type="dcterms:W3CDTF">2022-02-15T15:34:17Z</dcterms:modified>
</cp:coreProperties>
</file>